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{{identificacion.isin}} · {{identificacion.ticker}} · {{identificacion.gestora}} · {{identificacion.clase_activo}}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{{costes.ter_pct|pct2}}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{{tamano.aum|0}} M {{meta.divisa}}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{{replicacion.td_media_pct|+pct2}}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{{rentabilidad.anualizada_5a_pct|pct}}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{{riesgo.volatilidad_3a_pct|pct}}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{{composicion.numero_posiciones|0}}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{{composicion.peso_top10_pct|pct}}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{{identificacion.isin}} / {{identificacion.ticker}}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{{identificacion.gestora}}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{{identificacion.domicilio}}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{{identificacion.fecha_lanzamiento|fecha}}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{{identificacion.ucits}}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{{identificacion.divisa_fondo}}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{{identificacion.cobertura_divisa}}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{{identificacion.distribucion}}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{{identificacion.replicacion}}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{{identificacion.clase_activo}}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{{identificacion.categoria}}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{{identificacion.bolsas}}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{{riesgo.sri}}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 · </w:t>
      </w:r>
      <w:r>
        <w:rPr>
          <w:b/>
          <w:bCs/>
        </w:rPr>
        <w:t xml:space="preserve">Para quién:</w:t>
      </w:r>
      <w:r>
        <w:t xml:space="preserve"> {{resumen.para_quien}}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{{lista:resumen.puntos_fuertes}}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{{lista:resumen.puntos_debiles}}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{{indice.confianza}}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{{indice.proveedor}}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{{indice.ponderacion}}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{{indice.rebalanceo}}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{{indice.componentes|0}}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{{indice.tipo_rentabilidad}}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{{texto:indice.metodologia}}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{{texto:indice.exclusiones}}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{{costes.confianza}}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{{costes.partidas[].concepto}}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{{costes.partidas[].valor}}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{{texto:costes.comentario}}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{{tamano.confianza}}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{{tamano.aum|0}} M {{meta.divisa}} ({{tamano.aum_fecha|fecha}})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{{tamano.aum_clase}}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{{tamano.flujos_12m|0}} M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{{tamano.volumen_diario}}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{{tamano.spread_pct|pct2}}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{{tamano.creadores_mercado}}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{{grafico:aum}}</w:t>
      </w:r>
    </w:p>
    <w:p>
      <w:pPr>
        <w:spacing w:after="100"/>
      </w:pPr>
      <w:r>
        <w:t xml:space="preserve">{{texto:tamano.comentario}}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{{replicacion.confianza}}</w:t>
      </w:r>
    </w:p>
    <w:p>
      <w:pPr>
        <w:spacing w:after="100"/>
      </w:pPr>
      <w:r>
        <w:t xml:space="preserve">{{texto:replicacion.metodo}}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{{replicacion.historico[].anio}}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{{replicacion.historico[].etf_pct|+pct2}}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{{replicacion.historico[].indice_pct|+pct2}}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{{replicacion.historico[].diferencia_pct|+pct2}}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{{grafico:tracking}}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{{replicacion.td_media_pct|+pct2}}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{{replicacion.tracking_error_pct|pct2}}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{{texto:replicacion.prestamo}}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{{composicion.confianza}}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{{composicion.numero_posiciones|0}}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{{composicion.peso_top10_pct|pct}}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{{composicion.fecha|fecha}}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{{composicion.top10[0].nombre}} ({{composicion.top10[0].peso_pct|pct}})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{{composicion.top10[].nombre}}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{{composicion.top10[].peso_pct|pct2}}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{{composicion.top10[].sector}}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{{composicion.top10[].pais}}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{{grafico:top10}}</w:t>
      </w:r>
    </w:p>
    <w:p>
      <w:pPr>
        <w:spacing w:after="100"/>
      </w:pPr>
      <w:r>
        <w:t xml:space="preserve">{{texto:composicion.concentracion}}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{{exposicion.confianza}}</w:t>
      </w:r>
    </w:p>
    <w:p>
      <w:pPr>
        <w:keepNext w:val="false"/>
        <w:spacing w:after="160" w:before="120"/>
        <w:jc w:val="center"/>
      </w:pPr>
      <w:r>
        <w:t xml:space="preserve">{{grafico:primaria}}</w:t>
      </w:r>
    </w:p>
    <w:p>
      <w:pPr>
        <w:keepNext w:val="false"/>
        <w:spacing w:after="160" w:before="120"/>
        <w:jc w:val="center"/>
      </w:pPr>
      <w:r>
        <w:t xml:space="preserve">{{grafico:geografica}}</w:t>
      </w:r>
    </w:p>
    <w:p>
      <w:pPr>
        <w:keepNext w:val="false"/>
        <w:spacing w:after="160" w:before="120"/>
        <w:jc w:val="center"/>
      </w:pPr>
      <w:r>
        <w:t xml:space="preserve">{{grafico:divisa}}</w:t>
      </w:r>
    </w:p>
    <w:p>
      <w:pPr>
        <w:keepNext w:val="false"/>
        <w:spacing w:after="160" w:before="120"/>
        <w:jc w:val="center"/>
      </w:pPr>
      <w:r>
        <w:t xml:space="preserve">{{grafico:secundaria}}</w:t>
      </w:r>
    </w:p>
    <w:p>
      <w:pPr>
        <w:spacing w:after="100"/>
      </w:pPr>
      <w:r>
        <w:t xml:space="preserve">{{texto:exposicion.comentario}}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{{caracteristicas.confianza}}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{{caracteristicas.metricas[].metrica}}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{{caracteristicas.metricas[].etf}}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{{caracteristicas.metricas[].referencia}}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{{texto:caracteristicas.comentario}}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{{rentabilidad.confianza}}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{{rentabilidad.acumulada[].periodo}}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{{rentabilidad.acumulada[].etf_pct|+pct}}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{{rentabilidad.acumulada[].indice_pct|+pct}}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{{rentabilidad.acumulada[].categoria_pct|+pct}}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{{grafico:rent_anual}}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{{rentabilidad.anual[].anio}}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{{rentabilidad.anual[].etf_pct|+pct}}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{{rentabilidad.anual[].indice_pct|+pct}}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{{rentabilidad.anual[].categoria_pct|+pct}}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{{texto:rentabilidad.comentario}}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{{riesgo.confianza}}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{{riesgo.metricas[].metrica}}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{{riesgo.metricas[].valor}}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{{riesgo.metricas[].periodo}}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{{grafico:caidas}}</w:t>
      </w:r>
    </w:p>
    <w:p>
      <w:pPr>
        <w:spacing w:after="100"/>
      </w:pPr>
      <w:r>
        <w:t xml:space="preserve">{{texto:riesgo.comentario}}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{{alternativas.confianza}}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{{alternativas.etfs[].nombre}}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{{alternativas.etfs[].isin}}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{{alternativas.etfs[].ter_pct|pct2}}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{{alternativas.etfs[].aum|0}}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{{alternativas.etfs[].replicacion}}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{{alternativas.etfs[].distribucion}}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{{alternativas.etfs[].td_pct|+pct2}}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{{grafico:alternativas_ter}}</w:t>
      </w:r>
    </w:p>
    <w:p>
      <w:pPr>
        <w:spacing w:after="100"/>
      </w:pPr>
      <w:r>
        <w:t xml:space="preserve">{{texto:alternativas.comentario}}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{{fiscalidad.confianza}}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{{fiscalidad.registro_cnmv}}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{{fiscalidad.kid_espanol}}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{{fiscalidad.traspasable}}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{{fiscalidad.retencion_origen}}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{{texto:fiscalidad.comentario}}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{{encaje.confianza}}</w:t>
      </w:r>
    </w:p>
    <w:p>
      <w:pPr>
        <w:spacing w:after="100"/>
      </w:pPr>
      <w:r>
        <w:t xml:space="preserve">{{texto:encaje.rol}}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{{texto:encaje.correlaciones}}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{{encaje.riesgos[].riesgo}}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{{encaje.riesgos[].descripcion}}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{{encaje.riesgos[].importancia}}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({{identificacion.isin}})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2026-10-06T14:59:42.439Z</dcterms:created>
  <dcterms:modified xsi:type="dcterms:W3CDTF">2026-10-06T14:59:42.440Z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