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c3dd69f25dd00ffe4a163f5eb5cefc0f3be3a16"/>
    <w:p>
      <w:pPr>
        <w:pStyle w:val="Heading1"/>
      </w:pPr>
      <w:r>
        <w:t xml:space="preserve">Uranium Energy Corp (UEC): análisis growth, 24-oct-2026</w:t>
      </w:r>
    </w:p>
    <w:p>
      <w:pPr>
        <w:pStyle w:val="FirstParagraph"/>
      </w:pPr>
      <w:r>
        <w:rPr>
          <w:bCs/>
          <w:b/>
        </w:rPr>
        <w:t xml:space="preserve">Señal: Vender / no comprar</w:t>
      </w:r>
      <w:r>
        <w:t xml:space="preserve"> </w:t>
      </w:r>
      <w:r>
        <w:t xml:space="preserve">· Puntuación 36,8/100 · Señales de cambio de tendencia 1/8</w:t>
      </w:r>
      <w:r>
        <w:t xml:space="preserve"> </w:t>
      </w:r>
      <w:r>
        <w:t xml:space="preserve">Precio 7,35 USD (cierre del viernes 23-oct-2026, NYSE American; sábado, bolsa cerrada) · Objetivo 12 m 5,70 USD (ponderada −23,0 %, base −14,6 %, bajista −53,7 %, alcista +19,2 %) · Compra hasta 3,00 USD</w:t>
      </w:r>
      <w:r>
        <w:t xml:space="preserve"> </w:t>
      </w:r>
      <w:r>
        <w:t xml:space="preserve">Peso orientativo: no entra.</w:t>
      </w:r>
      <w:r>
        <w:t xml:space="preserve"> </w:t>
      </w:r>
      <w:r>
        <w:rPr>
          <w:bCs/>
          <w:b/>
        </w:rPr>
        <w:t xml:space="preserve">Regla 15 (growth): no cumple</w:t>
      </w:r>
      <w:r>
        <w:t xml:space="preserve"> </w:t>
      </w:r>
      <w:r>
        <w:t xml:space="preserve">(12 m −23 % frente a ≥ +25 %; cociente con la caída del escenario malo negativo, frente a ≥ 0,75) → como mucho «Esperar»; con la señal del método, no comprar.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pStyle w:val="FirstParagraph"/>
      </w:pPr>
      <w:r>
        <w:t xml:space="preserve">UEC es una minera de uranio por recuperación in situ (ISR) en Wyoming y Texas que está empezando a producir: 229.294 lb en el ejercicio cerrado el 31-jul-2026, 82.744 en el último trimestre [1][3]. Todavía no ha vendido ni una libra propia: sus 37,25 M USD de ventas son reventa de uranio comprado y caen un 44 % [1]. El uranio a largo plazo está en máximos de 18 años (96,5-97 USD/lb) y EE. UU. quiere uranio nacional [8][12], pero la acción ha caído un 47 % en un año por dos trimestres de pérdidas mucho peores de lo esperado, la dilución y la retirada de todo el sector [5][6][13]. El método growth no compra: puntuación 36,8 (mínimo 60), EV/beneficio bruto de 110,6 veces (máximo 35) y ponderada negativa. Es una opción sobre el precio del uranio y la política de EE. UU., no una empresa de crecimiento con economía demostrada.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Qué vende</w:t>
      </w:r>
      <w:r>
        <w:t xml:space="preserve">: U3O8 (concentrado de uranio) a eléctricas y operadores, al contado y sin contratos a largo plazo ni coberturas [1]. Un solo cliente pesó el 54 % de las ventas de FY2026 [1].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Cómo lo produce</w:t>
      </w:r>
      <w:r>
        <w:t xml:space="preserve">: ISR, una técnica estándar en Kazajistán y EE. UU. (inyectar agua con oxígeno, disolver el uranio y bombearlo a una planta). No hay tecnología propia: el producto es una materia prima (tecnología 1/5).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Activos</w:t>
      </w:r>
      <w:r>
        <w:t xml:space="preserve">: 12,1 M lb al año de capacidad licenciada (Irigaray/Christensen Ranch, Ludeman y Sweetwater en Wyoming; Hobson, Palangana y Burke Hollow en Texas), 230,1 M lb de recursos medidos e indicados y 100,0 M lb inferidos, sin reservas probadas; Roughrider (Canadá) en prefactibilidad [1].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 nuevo</w:t>
      </w:r>
      <w:r>
        <w:t xml:space="preserve">: la rampa de producción propia (el 4T26 multiplica por 2,6 el 3T) y una posible venta de uranio estadounidense al Gobierno (petición de información de la NNSA por ≈ 4 M lb al año desde 2030) [3][12]. También planea una planta de conversión con Fluor, con estimación de coste a mediados de 2027 [3].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 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Producción (lb)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68.612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82.744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Ejercicio (julio)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FY2027e (consenso)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FY2028e (consenso / propio)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177,2 / 150</w:t>
            </w:r>
          </w:p>
        </w:tc>
      </w:tr>
    </w:tbl>
    <w:p>
      <w:pPr>
        <w:pStyle w:val="BodyText"/>
      </w:pPr>
      <w:r>
        <w:t xml:space="preserve">Fuentes: [1][2][4]. Las ventas van a saltos porque dependen de cuándo decide vender el inventario comprado. Crecimiento a 12 meses −44,3 %; el último trimestre frente a cero y la aceleración no tienen sentido (null). No hay guía de la empresa [1]. CAGR propio a 2 años +100,7 % (de 37,25 a 150 M USD), que exige pasar de ≈ 0,33 M lb anualizadas a ≈ 1,4 M lb vendidas.</w:t>
      </w:r>
      <w:r>
        <w:t xml:space="preserve"> </w:t>
      </w:r>
      <w:r>
        <w:rPr>
          <w:bCs/>
          <w:b/>
        </w:rPr>
        <w:t xml:space="preserve">El motor proyecta 59 M USD en el base</w:t>
      </w:r>
      <w:r>
        <w:t xml:space="preserve"> </w:t>
      </w:r>
      <w:r>
        <w:t xml:space="preserve">(mecánica: mitad del pasado, que es negativo, y mitad del CAGR propio, con techo); el propio (150) queda solo de contraste porque v11 toma la menor de las dos.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Mercado alcanzable</w:t>
      </w:r>
      <w:r>
        <w:t xml:space="preserve">: 4.526 M USD = compras de las eléctricas de EE. UU. en 2025 (46,9 M lb, EIA) × precio a largo plazo (96,50 USD/lb) [7][8]. Penetración de UEC: 0,8 %. El mundial (≈ 179 M lb) sería ≈ 17.000 M USD [12].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Cuota</w:t>
      </w:r>
      <w:r>
        <w:t xml:space="preserve">: ≈ 0,15 % de la producción mundial y ≈ 11 % de la de EE. UU. (2,1 M lb en 2025) [1][12].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Rivales</w:t>
      </w:r>
      <w:r>
        <w:t xml:space="preserve">: Kazatomprom (21 % de la producción mundial) y Cameco (17 %) mandan [12]; en EE. UU., Energy Fuels, enCore y Ur-Energy, también pequeños y en arranque.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Por qué podría ganar</w:t>
      </w:r>
      <w:r>
        <w:t xml:space="preserve">: la mayor capacidad licenciada de EE. UU., balance sin deuda y la preferencia por el uranio nacional.</w:t>
      </w:r>
      <w:r>
        <w:t xml:space="preserve"> </w:t>
      </w:r>
      <w:r>
        <w:rPr>
          <w:bCs/>
          <w:b/>
        </w:rPr>
        <w:t xml:space="preserve">Por qué no</w:t>
      </w:r>
      <w:r>
        <w:t xml:space="preserve">: es precio-aceptante, sin contratos, y su coste completo no está demostrado.</w:t>
      </w:r>
    </w:p>
    <w:bookmarkEnd w:id="23"/>
    <w:bookmarkStart w:id="24" w:name="bis.-foso-riesgo-de-ia-y-sector"/>
    <w:p>
      <w:pPr>
        <w:pStyle w:val="Heading2"/>
      </w:pPr>
      <w:r>
        <w:t xml:space="preserve">4 bis. Foso, riesgo de IA y sector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Apartado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Veredicto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Débil</w:t>
            </w:r>
            <w:r>
              <w:t xml:space="preserve"> </w:t>
            </w:r>
            <w:r>
              <w:t xml:space="preserve">(regulación y escala)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 para 12,1 M lb al año, difíciles de replicar (Sweetwater lleva desde 2024 y su evaluación ambiental llega en mar-2027) [1]. Recursos de 230 M lb medidos e indicados, sin reservas [1]. Coste en efectivo publicado de 34,24 USD/lb (30,01 en el 4T), sin el desarrollo de pozos, que va a gasto (102,4 M USD en FY2026) [1][3]. Cuota ≈ 0,15 % mundial.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 de 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Impulsa (bajo)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favor: los centros de datos piden electricidad estable y las tecnológicas firman con centrales nucleares. En contra: puede estar ya en el precio, y los reactores modulares no llegan antes de 2030.</w:t>
            </w:r>
            <w:r>
              <w:t xml:space="preserve"> </w:t>
            </w:r>
            <w:r>
              <w:rPr>
                <w:bCs/>
                <w:b/>
              </w:rPr>
              <w:t xml:space="preserve">Vigilar</w:t>
            </w:r>
            <w:r>
              <w:t xml:space="preserve">: contratación anual de las eléctricas de EE. UU.; por debajo de ≈ 40 M lb, la tesis de demanda se debilita.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 y sector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Sensibilidad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uranio al contado cayó de 107 USD/lb (2024) a 63,45 (17-mar-2025), un −41 %, y volvió a 101,5 en ene-2026 [1]. La acción cayó un 63,8 % entre abr-2022 y may-2023 y un 47 % en los últimos 12 meses [5]. Hoy las acciones del sector caen con el uranio a largo plazo en máximos (URA −31 % en un año; descuento del fondo físico de Sprott ≈ 12 %) [13].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 la prohibición del uranio ruso (exenciones hasta 2027), de las compras del Gobierno y de los permisos federales [12].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Oferta concentrada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Kazatomprom y Cameco; las eléctricas compran el 87 % con contratos a largo plazo [7][12].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qué podría perder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 productor de bajo coste puede subir producción y bajar el precio, y UEC vende al contado. enCore vende con pérdida y Energy Fuels dice extraer a ≈ 23 USD/lb; el desarrollo de pozos de UEC (≈ 171 USD por libra producida en Christensen Ranch en FY2026, cálculo de la nota A del análisis value) apunta a un coste completo muy superior al publicado [1].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Fuente del mercado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EIA 2025 (46,9 M lb) × largo plazo de 96,50 USD/lb (Cameco/UxC/TradeTech) [7][8].</w:t>
            </w:r>
          </w:p>
        </w:tc>
      </w:tr>
    </w:tbl>
    <w:bookmarkEnd w:id="24"/>
    <w:bookmarkStart w:id="25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BPA de FY2027 de −0,107 a −0,234 USD en 90 días; coberturas nuevas en Mantener (RBC 10, Jefferies 11,50) [4][6]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 sobre la media de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7,35 frente a ≈ 11,56 USD (−42 %) [5][6]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−47,7 % frente a un S&amp;P 500 al alza 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Mejora del 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EV/ventas adelantado de ≈ 67x en julio a ≈ 50x hoy 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Producción +157 % en el 4T, pero resultado operativo de −133,1 M USD frente a −73,3 M [1][3]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entusiasmo a capitulación incipiente en los foros [11]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Compras de directivos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compra en mercado en 12 meses [10]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Catalizador nuevo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 FY2027 (≈ 9-dic-2026), Sweetwater (mar-2027), NNSA [1][3][12]</w:t>
            </w:r>
          </w:p>
        </w:tc>
      </w:tr>
    </w:tbl>
    <w:p>
      <w:pPr>
        <w:pStyle w:val="BodyText"/>
      </w:pPr>
      <w:r>
        <w:t xml:space="preserve">Euforia: no (−47 % en 12 meses).</w:t>
      </w:r>
    </w:p>
    <w:bookmarkEnd w:id="25"/>
    <w:bookmarkStart w:id="26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pStyle w:val="FirstParagraph"/>
      </w:pPr>
      <w:r>
        <w:t xml:space="preserve">Margen bruto del 45,4 % (16,9 M USD sobre 37,25 M, reventa de uranio comprado a 93,13 USD/lb) [1]. Margen FCF del −288 % (flujo operativo −98,6 M USD y capex −8,8 M) [1]. Regla del 40: −332. Camino a la rentabilidad:</w:t>
      </w:r>
      <w:r>
        <w:t xml:space="preserve"> </w:t>
      </w:r>
      <w:r>
        <w:rPr>
          <w:bCs/>
          <w:b/>
        </w:rPr>
        <w:t xml:space="preserve">lejos</w:t>
      </w:r>
      <w:r>
        <w:t xml:space="preserve">; el consenso sigue en pérdidas en FY2028 (BPA −0,07 USD) y nuestro análisis value no ve beneficio operativo hasta FY2030e [4]. Contabilidad de «fase de exploración»: el desarrollo de pozos va a gasto, lo que agranda las pérdidas de hoy y abarata el coste de ventas de mañana [1].</w:t>
      </w:r>
    </w:p>
    <w:bookmarkEnd w:id="26"/>
    <w:bookmarkStart w:id="27" w:name="caja-deuda-y-dilución"/>
    <w:p>
      <w:pPr>
        <w:pStyle w:val="Heading2"/>
      </w:pPr>
      <w:r>
        <w:t xml:space="preserve">7. Caja, deuda y dilución</w:t>
      </w:r>
    </w:p>
    <w:p>
      <w:pPr>
        <w:pStyle w:val="FirstParagraph"/>
      </w:pPr>
      <w:r>
        <w:t xml:space="preserve">Caja de 495,5 M USD y sin deuda; activos líquidos de 752,8 M USD con acciones cotizadas y uranio a mercado [1][3]. Quema ≈ 107 M USD al año → pista de ≈ 55 meses. Dilución de +6,6 % en 12 meses (464,7 a 495,6 M de acciones de portada) y +71 % desde jul-2022 [2]. Programa ATM de 600 M USD con ≈ 409 M disponibles [1][10].</w:t>
      </w:r>
      <w:r>
        <w:t xml:space="preserve"> </w:t>
      </w:r>
      <w:r>
        <w:rPr>
          <w:bCs/>
          <w:b/>
        </w:rPr>
        <w:t xml:space="preserve">Pagos en acciones del 21,6 % de las ventas</w:t>
      </w:r>
      <w:r>
        <w:t xml:space="preserve"> </w:t>
      </w:r>
      <w:r>
        <w:t xml:space="preserve">(8,0 M USD), por encima del 15 % que el método marca en rojo [2].</w:t>
      </w:r>
    </w:p>
    <w:bookmarkEnd w:id="27"/>
    <w:bookmarkStart w:id="28" w:name="dirección-y-ejecución"/>
    <w:p>
      <w:pPr>
        <w:pStyle w:val="Heading2"/>
      </w:pPr>
      <w:r>
        <w:t xml:space="preserve">8. Dirección y ejecución</w:t>
      </w:r>
    </w:p>
    <w:p>
      <w:pPr>
        <w:pStyle w:val="FirstParagraph"/>
      </w:pPr>
      <w:r>
        <w:t xml:space="preserve">Historial 2/5: no da guía, y la producción del 3T26 (32.195 lb) decepcionó; el 4T recuperó [1][3]. Dirección 2/5: el fundador y primer ejecutivo, Amir Adnani, cobró 9,28 M USD en FY2026 (+46 %), los objetivos de su variable son poco exigentes (activos líquidos de 100 M USD, logrados 752,8 M), y en abril UEC pagó 40 M USD por recibos de Uranium Royalty, que él preside, sin declararlo como operación vinculada; los directivos tienen ≈ 1,9 % del capital y no han comprado en mercado [10].</w:t>
      </w:r>
    </w:p>
    <w:bookmarkEnd w:id="28"/>
    <w:bookmarkStart w:id="29" w:name="valoración"/>
    <w:p>
      <w:pPr>
        <w:pStyle w:val="Heading2"/>
      </w:pPr>
      <w:r>
        <w:t xml:space="preserve">9. Valoración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FY2028e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−53,7 %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−14,6 %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67,0x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5,70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−23,0 %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Probabilidades 35/50/15 por ejecución dudosa y dependencia de un solo producto. EV/ventas de los 12 meses siguientes: 50,2x (EV 3.194 M USD sobre el consenso de FY2027, 63,6 M); EV/beneficio bruto: 110,6x, tres veces el máximo del método (35x) [4]. Compra hasta: 3,00 USD. Contraste con el consenso: objetivo medio de 11 analistas 16,03 USD (10-26,75) [4]; con nuestras ventas propias de FY2028e (150 M USD) y el múltiplo de hoy saldría ≈ 15 USD, pero eso supone pagar 50 veces ventas por una minera, un múltiplo que solo se sostiene si el mercado mantiene el entusiasmo; los productores con ventas cotizan a 3-16 veces (mediana 7,9x) [9]. El análisis value da un valor intrínseco de 2,26 USD por DCF.</w:t>
      </w:r>
    </w:p>
    <w:bookmarkEnd w:id="29"/>
    <w:bookmarkStart w:id="30" w:name="foros-y-sentimiento"/>
    <w:p>
      <w:pPr>
        <w:pStyle w:val="Heading2"/>
      </w:pPr>
      <w:r>
        <w:t xml:space="preserve">10. Foros y sentimiento</w:t>
      </w:r>
    </w:p>
    <w:p>
      <w:pPr>
        <w:pStyle w:val="FirstParagraph"/>
      </w:pPr>
      <w:r>
        <w:t xml:space="preserve">Stocktwits (≈ 210 mensajes del 25-sep al 23-oct): entusiasmo tras los resultados (rampa, caja, ventas sin cobertura, Gobierno) y, desde mediados de octubre, mezcla de compras en la caída y capitulación con objetivos de 5 USD [11]. Seeking Alpha: titulares escépticos por la dilución y la valoración. Motley Fool: «la apuesta de mayor riesgo del combustible nuclear»; prefiere Cameco. La paradoja que más se repite: uranio en máximos y acciones en mínimos [11][13]. Reddit no se pudo leer (acceso bloqueado). El sentimiento empeora, pero no hay euforia que vender ni capitulación que la valoración respalde.</w:t>
      </w:r>
    </w:p>
    <w:bookmarkEnd w:id="30"/>
    <w:bookmarkStart w:id="31" w:name="bis.-precio-y-noticias-antes-de-decidir"/>
    <w:p>
      <w:pPr>
        <w:pStyle w:val="Heading2"/>
      </w:pPr>
      <w:r>
        <w:t xml:space="preserve">10 bis. Precio y noticias antes de decidir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23-oct-2026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7,35 USD: −22,4 % en un mes, −47,1 % en 12 meses, mínimo de 52 semanas, −42 % frente a la media de 200 sesiones (P3, P4, P5) [5]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explicada abajo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+53,6 %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Uranio al contado en 101 USD/lb [5][8]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may-jun-2026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−42,8 %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3T26: −0,11 USD por acción frente a −0,03 y sin ventas; Goldman baja de 18 a 16 USD [6]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jul-ago-2026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Rebote del sector con el uranio en máximos del trimestre [5][8]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sep-oct-2026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−22,4 %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4T26: −0,12 frente a −0,04; ventas de FY2026 a la mitad; coberturas en Mantener; sector débil [6][13]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25-sep-2026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 con ≈ 409 M USD disponibles; 530 M USD captados en FY2026; sin colocación anunciada [1][10]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29-abr-2026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Vinculada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 USD en recibos de Uranium Royalty [10]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≈ 9-dic-2026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 FY2027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 (a más de 15 días)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Veredicto global: no cambia.</w:t>
      </w:r>
      <w:r>
        <w:t xml:space="preserve"> </w:t>
      </w:r>
      <w:r>
        <w:t xml:space="preserve">La caída tiene causas propias (pérdidas, ventas a la mitad, dilución) y de sector; no hay hecho pendiente con fecha que retrase la decisión. La señal es «no comprar» por el método, no por el momento.</w:t>
      </w:r>
    </w:p>
    <w:bookmarkEnd w:id="31"/>
    <w:bookmarkStart w:id="32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Dilución continua</w:t>
      </w:r>
      <w:r>
        <w:t xml:space="preserve"> </w:t>
      </w:r>
      <w:r>
        <w:t xml:space="preserve">(6-9 % al año) para pagar la rampa, la conversión y Roughrider.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Rampa lenta</w:t>
      </w:r>
      <w:r>
        <w:t xml:space="preserve">: si la producción trimestral no pasa de 100.000 lb en 2027.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Precio del uranio</w:t>
      </w:r>
      <w:r>
        <w:t xml:space="preserve">: sin contratos ni coberturas; por debajo de 85 USD/lb a largo plazo, la tesis se cae.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Gobierno</w:t>
      </w:r>
      <w:r>
        <w:t xml:space="preserve">: retribución alta y operaciones con sociedades del primer ejecutivo.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Alertas del método</w:t>
      </w:r>
      <w:r>
        <w:t xml:space="preserve">: (a) sin guía anual: la proyección es la mecánica; (b) un cliente pesa el 54 % de las ventas: no es estructural (las compras de inventario cambian de comprador), pero muestra lo estrecho del negocio; (c) pagos en acciones del 21,6 % de las ventas: la regla del 40 y el FCF no los restan, así que la economía real es todavía peor que la que puntúa el método. El aviso G3 de robustez (ventas propias de 150 M frente a 59 M mecánicas) no es un error de unidad: es el salto de reventa a producción propia que el método no proyecta; aun con 150 M, el EV/beneficio bruto seguiría por encima de 35 y la puntuación por debajo de 60.</w:t>
      </w:r>
    </w:p>
    <w:bookmarkEnd w:id="32"/>
    <w:bookmarkStart w:id="33" w:name="catalizadores-con-fecha"/>
    <w:p>
      <w:pPr>
        <w:pStyle w:val="Heading2"/>
      </w:pPr>
      <w:r>
        <w:t xml:space="preserve">12. Catalizadores con fecha</w:t>
      </w:r>
    </w:p>
    <w:p>
      <w:pPr>
        <w:numPr>
          <w:ilvl w:val="0"/>
          <w:numId w:val="1004"/>
        </w:numPr>
        <w:pStyle w:val="Compact"/>
      </w:pPr>
      <w:r>
        <w:t xml:space="preserve">≈ 9-dic-2026: resultados del 1T FY2027 (primeras ventas de producción propia, ritmo de la rampa).</w:t>
      </w:r>
    </w:p>
    <w:p>
      <w:pPr>
        <w:numPr>
          <w:ilvl w:val="0"/>
          <w:numId w:val="1004"/>
        </w:numPr>
        <w:pStyle w:val="Compact"/>
      </w:pPr>
      <w:r>
        <w:t xml:space="preserve">Mar-2027: evaluación ambiental de Sweetwater; may-2027, plan de operaciones.</w:t>
      </w:r>
    </w:p>
    <w:p>
      <w:pPr>
        <w:numPr>
          <w:ilvl w:val="0"/>
          <w:numId w:val="1004"/>
        </w:numPr>
        <w:pStyle w:val="Compact"/>
      </w:pPr>
      <w:r>
        <w:t xml:space="preserve">Mediados de 2027: estimación de coste de la planta de conversión (probable ampliación de capital).</w:t>
      </w:r>
    </w:p>
    <w:p>
      <w:pPr>
        <w:numPr>
          <w:ilvl w:val="0"/>
          <w:numId w:val="1004"/>
        </w:numPr>
        <w:pStyle w:val="Compact"/>
      </w:pPr>
      <w:r>
        <w:t xml:space="preserve">2027-2030: compras de uranio estadounidense por el Gobierno (NNSA).</w:t>
      </w:r>
    </w:p>
    <w:bookmarkEnd w:id="33"/>
    <w:bookmarkStart w:id="34" w:name="encaje-en-cartera"/>
    <w:p>
      <w:pPr>
        <w:pStyle w:val="Heading2"/>
      </w:pPr>
      <w:r>
        <w:t xml:space="preserve">13. Encaje en cartera</w:t>
      </w:r>
    </w:p>
    <w:p>
      <w:pPr>
        <w:pStyle w:val="FirstParagraph"/>
      </w:pPr>
      <w:r>
        <w:t xml:space="preserve">No entra. El bolsillo growth (≤ 20 %) no tiene hueco para una señal Vender; además no cumple la regla 15 (rentabilidad ≥ +25 % y cociente con la caída ≥ 0,75) y la acción robusta es Vender. Pasaría a revisión solo con ventas de producción propia con margen, dos trimestres seguidos de mejora operativa y un precio por debajo de 3,00 USD (compra hasta del método).</w:t>
      </w:r>
    </w:p>
    <w:bookmarkEnd w:id="34"/>
    <w:bookmarkStart w:id="35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36,8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</w:tr>
    </w:tbl>
    <w:p>
      <w:pPr>
        <w:pStyle w:val="BodyText"/>
      </w:pPr>
      <w:r>
        <w:t xml:space="preserve">Robustez (</w:t>
      </w:r>
      <w:r>
        <w:rPr>
          <w:rStyle w:val="VerbatimChar"/>
        </w:rPr>
        <w:t xml:space="preserve">robustez-growth.mjs --precios</w:t>
      </w:r>
      <w:r>
        <w:t xml:space="preserve">, cierre del 23-oct-2026):</w:t>
      </w:r>
      <w:r>
        <w:t xml:space="preserve"> </w:t>
      </w:r>
      <w:r>
        <w:rPr>
          <w:bCs/>
          <w:b/>
        </w:rPr>
        <w:t xml:space="preserve">SÓLIDA, señal robusta Vender</w:t>
      </w:r>
      <w:r>
        <w:t xml:space="preserve"> </w:t>
      </w:r>
      <w:r>
        <w:t xml:space="preserve">en todas las variantes (v11, v7, pesos 25/50/25, precio de hoy con el objetivo fijo).</w:t>
      </w:r>
    </w:p>
    <w:bookmarkEnd w:id="35"/>
    <w:bookmarkStart w:id="36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Uranium Energy Corp, Form 10-K del ejercicio cerrado el 31-jul-2026 (SEC, 29-sep-2026).</w:t>
      </w:r>
      <w:r>
        <w:t xml:space="preserve"> </w:t>
      </w:r>
      <w:r>
        <w:t xml:space="preserve">[2] SEC EDGAR, hechos XBRL de UEC (companyfacts, CIK 0001334933): ventas trimestrales, acciones de portada, pagos en acciones.</w:t>
      </w:r>
      <w:r>
        <w:t xml:space="preserve"> </w:t>
      </w:r>
      <w:r>
        <w:t xml:space="preserve">[3] UEC, nota de prensa de resultados de FY2026 (PR Newswire, 29-sep-2026).</w:t>
      </w:r>
      <w:r>
        <w:t xml:space="preserve"> </w:t>
      </w:r>
      <w:r>
        <w:t xml:space="preserve">[4] Yahoo Finance (LSEG) y StockAnalysis.com, consenso y recomendaciones, 19/23-oct-2026.</w:t>
      </w:r>
      <w:r>
        <w:t xml:space="preserve"> </w:t>
      </w:r>
      <w:r>
        <w:t xml:space="preserve">[5] Yahoo Finance, históricos diarios de UEC, SPY y URA (herramientas/bolsa.mjs y movimiento.mjs), hasta el 23-oct-2026.</w:t>
      </w:r>
      <w:r>
        <w:t xml:space="preserve"> </w:t>
      </w:r>
      <w:r>
        <w:t xml:space="preserve">[6] MarketBeat, «Uranium Energy Sets New 1-Year Low», 23-oct-2026.</w:t>
      </w:r>
      <w:r>
        <w:t xml:space="preserve"> </w:t>
      </w:r>
      <w:r>
        <w:t xml:space="preserve">[7] EIA, Uranium Marketing Annual Report 2025 (vía ANS Nuclear Newswire, 5-ago-2026).</w:t>
      </w:r>
      <w:r>
        <w:t xml:space="preserve"> </w:t>
      </w:r>
      <w:r>
        <w:t xml:space="preserve">[8] Cameco, «Uranium price» (UxC/TradeTech), 30-sep-2026; FNArena, 20-oct-2026.</w:t>
      </w:r>
      <w:r>
        <w:t xml:space="preserve"> </w:t>
      </w:r>
      <w:r>
        <w:t xml:space="preserve">[9] Comparables (Yahoo Finance/LSEG, 23-oct-2026; cálculo de la nota D del análisis value).</w:t>
      </w:r>
      <w:r>
        <w:t xml:space="preserve"> </w:t>
      </w:r>
      <w:r>
        <w:t xml:space="preserve">[10] Nota C del análisis value (10-K FY2026 parte III, formularios 4, 8-K, Spruce Point).</w:t>
      </w:r>
      <w:r>
        <w:t xml:space="preserve"> </w:t>
      </w:r>
      <w:r>
        <w:t xml:space="preserve">[11] Nota E del análisis value (Stocktwits, Seeking Alpha, Motley Fool, 24/7 Wall St, Simply Wall St).</w:t>
      </w:r>
      <w:r>
        <w:t xml:space="preserve"> </w:t>
      </w:r>
      <w:r>
        <w:t xml:space="preserve">[12] World Nuclear Association, «World Uranium Mining Production» y «US Nuclear Fuel Cycle», oct-2026.</w:t>
      </w:r>
      <w:r>
        <w:t xml:space="preserve"> </w:t>
      </w:r>
      <w:r>
        <w:t xml:space="preserve">[13] Discovery Alert, «Uranium Stocks Are Falling While Prices Hold», 23-oct-2026.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2026-10-24T13:13:12Z</dcterms:created>
  <dcterms:modified xsi:type="dcterms:W3CDTF">2026-10-24T13:13:12Z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