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Uranium Energy Corp.</w:t>
      </w:r>
    </w:p>
    <w:p>
      <w:pPr>
        <w:spacing w:after="60"/>
        <w:rPr>
          <w:color w:val="52514E"/>
          <w:sz w:val="22"/>
          <w:szCs w:val="22"/>
        </w:rPr>
      </w:pPr>
      <w:r>
        <w:rPr>
          <w:color w:val="52514E"/>
          <w:sz w:val="22"/>
          <w:szCs w:val="22"/>
        </w:rPr>
        <w:t xml:space="preserve">UEC · NYSE American · ISIN US9168961038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7,35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7,26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-1,2 % (base +0,1 %)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2,26 USD · mercado 2,68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3.690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Uranium Energy Corp.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UEC / US9168961038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American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(ETF SPY); sectorial: Global X Uranium ETF (URA)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Petróleo, gas y combustibles consumibles (uranio)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Corpus Christi, Texas (EE. UU.); oficina ejecutiva también en Vancouver (Canadá) [1] · 2003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https://www.uraniumenergy.com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6,75 – 20,34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3.088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9,0 M de acciones/día, ≈ 91,7 M USD/día (3 meses) [46]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9-dic-2026 (1T FY2027, estimada; sin confirmar)</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7,26 USD</w:t>
      </w:r>
      <w:r>
        <w:t xml:space="preserve"> frente a 7,35 · Rentabilidad a 12 meses </w:t>
      </w:r>
      <w:r>
        <w:rPr>
          <w:b/>
          <w:bCs/>
        </w:rPr>
        <w:t xml:space="preserve">-1,2 % (base +0,1 %)</w:t>
      </w:r>
      <w:r>
        <w:t xml:space="preserve"> · Valor intrínseco 2,26 USD · con la prima implícita del mercado: 2,68 (-63,5 %) · Alcista / bajista -51,4 % / -83,3 %</w:t>
      </w:r>
    </w:p>
    <w:p>
      <w:pPr>
        <w:spacing w:after="100"/>
      </w:pPr>
      <w:r>
        <w:rPr>
          <w:b/>
        </w:rPr>
        <w:t xml:space="preserve">La recomendación y por qué.</w:t>
      </w:r>
      <w:r>
        <w:t xml:space="preserve"> Mantener según la regla a 12 meses, que para quien no la tiene significa no comprar. El objetivo a 12 meses es de 7,26 USD (P/VC; base 7,36), un −1,2 % ponderado y un +0,1 % en el base desde el cierre de 7,35 USD del 23-oct-2026. El valor intrínseco es de 2,26 USD, un 69 % por debajo del precio, y el objetivo medio de los analistas, 16,03 USD, queda fuera de nuestro rango. Los tres escenarios del DCF pierden dinero (asimetría −0,62). La razón principal: el precio paga un negocio que todavía no existe. La convicción es media porque las dos reglas (WACC propio y prima del mercado) coinciden y la rentabilidad queda lejos de los umbrales; esa convicción subiría con dos trimestres de producción por encima de 150.000 lb vendidas con beneficio, y bajaría si el uranio a largo plazo cae de 85 USD/lb.</w:t>
      </w:r>
    </w:p>
    <w:p>
      <w:pPr>
        <w:spacing w:after="100"/>
      </w:pPr>
      <w:r>
        <w:rPr>
          <w:b/>
        </w:rPr>
        <w:t xml:space="preserve">El negocio.</w:t>
      </w:r>
      <w:r>
        <w:t xml:space="preserve"> UEC es una minera de uranio por recuperación in situ en Wyoming y Texas, en arranque: produjo 229.294 lb en FY2026 y no ha vendido ninguna; sus 37,3 M USD de ventas son reventa de uranio comprado [1]. El ROIC es del −11,6 % frente a un WACC del 13,4 %: no hay calidad (ROIC − WACC muy por debajo de 4,5 puntos), así que ningún nivel de compra value es posible. La calidad de la empresa no sostiene el crecimiento que proyectamos (sostenibilidad «No»): cada libra nueva la paga el accionista.</w:t>
      </w:r>
    </w:p>
    <w:p>
      <w:pPr>
        <w:spacing w:after="100"/>
      </w:pPr>
      <w:r>
        <w:rPr>
          <w:b/>
        </w:rPr>
        <w:t xml:space="preserve">Sector y ciclo.</w:t>
      </w:r>
      <w:r>
        <w:t xml:space="preserve"> El uranio a largo plazo está en 96,5-97 USD/lb, máximo desde 2007, y EE. UU. prohíbe el ruso y busca uranio nacional (NNSA, ≈ 4 M lb al año desde 2030) [13, 18]. Aun así, las acciones del sector caen: el ETF URA −31 % en un año y el fondo físico de Sprott con un 12-13 % de descuento [46, 58]. El viento de cola es real, pero ya lo pagaba el precio.</w:t>
      </w:r>
    </w:p>
    <w:p>
      <w:pPr>
        <w:spacing w:after="100"/>
      </w:pPr>
      <w:r>
        <w:rPr>
          <w:b/>
        </w:rPr>
        <w:t xml:space="preserve">Finanzas.</w:t>
      </w:r>
      <w:r>
        <w:t xml:space="preserve"> Caja de 495 M USD y sin deuda, más 1,256 M lb de uranio (≈ 109 M USD a mercado) [1]. Quema ≈ 107 M USD al año (flujo operativo −98,6 M y capex 8,8 M) y amplía capital sin parar: 530 M USD en FY2026 y +71 % de acciones desde jul-2022 [1].</w:t>
      </w:r>
    </w:p>
    <w:p>
      <w:pPr>
        <w:spacing w:after="100"/>
      </w:pPr>
      <w:r>
        <w:rPr>
          <w:b/>
        </w:rPr>
        <w:t xml:space="preserve">Equipo y gobierno.</w:t>
      </w:r>
      <w:r>
        <w:t xml:space="preserve"> Resta: el primer ejecutivo cobró 9,28 M USD (+46 %) con objetivos poco exigentes y en abril pagó 40 M USD por recibos de Uranium Royalty, que él preside, sin declararlo como operación vinculada [1].</w:t>
      </w:r>
    </w:p>
    <w:p>
      <w:pPr>
        <w:spacing w:after="100"/>
      </w:pPr>
      <w:r>
        <w:rPr>
          <w:b/>
        </w:rPr>
        <w:t xml:space="preserve">Valoración.</w:t>
      </w:r>
      <w:r>
        <w:t xml:space="preserve"> DCF 2,21 USD y escenarios 1,23-3,57. Con nuestros flujos, el precio rinde un 5,9 % anual, menos que el coste de capital. El mercado paga 13,0 USD por libra medida e indicada, frente a 1,0-2,6 USD/lb en las compras recientes de UEC [60, 61].</w:t>
      </w:r>
    </w:p>
    <w:p>
      <w:pPr>
        <w:spacing w:after="100"/>
      </w:pPr>
      <w:r>
        <w:rPr>
          <w:b/>
        </w:rPr>
        <w:t xml:space="preserve">Riesgos y catalizadores.</w:t>
      </w:r>
      <w:r>
        <w:t xml:space="preserve"> Dilución (6-9 % al año), rampa lenta y caída del uranio. Catalizadores: resultados del 1T FY2027 (≈ 9-dic), Sweetwater (mar-2027) y compras del Gobierno. Los foros pasan del entusiasmo a una capitulación incipiente, que no es señal de compra sin valoración que la respalde [66].</w:t>
      </w:r>
    </w:p>
    <w:p>
      <w:pPr>
        <w:spacing w:after="100"/>
      </w:pPr>
      <w:r>
        <w:rPr>
          <w:b/>
        </w:rPr>
        <w:t xml:space="preserve">Qué cambiaría la decisión.</w:t>
      </w:r>
      <w:r>
        <w:t xml:space="preserve"> Vender por encima de 8,07 USD (para quien la tenga); comprar no es posible por calidad aunque bajara: haría falta ROIC − WACC ≥ 5 puntos, es decir, beneficio operativo recurrente con producción propia.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Más de 12 meses · Objetivo a 12 meses: </w:t>
      </w:r>
      <w:r>
        <w:rPr>
          <w:b/>
          <w:bCs/>
        </w:rPr>
        <w:t xml:space="preserve">7,26 USD</w:t>
      </w:r>
      <w:r>
        <w:t xml:space="preserve"> (rentabilidad -1,2 % (base +0,1 %)) · Valor intrínseco: 2,26 USD (-69,3 % sobre 7,35) · con la prima implícita del mercado: 2,68 (-63,5 %)</w:t>
      </w:r>
    </w:p>
    <w:p>
      <w:pPr>
        <w:spacing w:after="100"/>
      </w:pPr>
      <w:r>
        <w:t xml:space="preserve">UEC tiene la mayor plataforma ISR de Estados Unidos por capacidad licenciada (12,1 M lb al año) y recursos (230 M lb medidos e indicados), sin deuda y con 495 M USD de caja [1]. En un mercado que quiere uranio nacional, eso tiene valor estratégico.</w:t>
      </w:r>
    </w:p>
    <w:p>
      <w:pPr>
        <w:spacing w:after="100"/>
      </w:pPr>
      <w:r>
        <w:t xml:space="preserve">El precio (3.690 M USD de capitalización, ≈ 3.090 M de valor empresa) descuenta mucho más que eso: 13 USD por libra en el suelo y una rentabilidad implícita del 5,9 % anual con nuestros flujos. El DCF da 2,21 USD por acción.</w:t>
      </w:r>
    </w:p>
    <w:p>
      <w:pPr>
        <w:spacing w:after="100"/>
      </w:pPr>
      <w:r>
        <w:t xml:space="preserve">Para comprar habría que creer en un uranio por encima de 120 USD/lb sostenido o en una rampa hasta la capacidad entera; ninguna de las dos tiene apoyo en los datos de hoy. El mercado ya lo está corrigiendo (−47 % en 12 meses), pero desde un punto de partida muy caro.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 × -0,13 = 5,46 · 2,9x × -0,13 = 7,36 · 3,5x × -0,12 = 8,86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 / 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16,03 (nuestro base -54,1 %)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 / -83,3 %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frente a 13,4 % y 11,7 %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No (37,0 % anual proyectado; financiable al ROIC actual: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2,26 y 8,07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8,07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largo plazo del uranio baja de 85 USD/lb, el bajista pasa a ser el base: Vender para quien la tenga.</w:t>
      </w:r>
    </w:p>
    <w:p>
      <w:pPr>
        <w:pStyle w:val="ListParagraph"/>
        <w:numPr>
          <w:ilvl w:val="0"/>
          <w:numId w:val="2"/>
        </w:numPr>
        <w:spacing w:after="60"/>
      </w:pPr>
      <w:r>
        <w:t xml:space="preserve">Si UEC vende producción propia con margen bruto &gt; 50 % dos trimestres seguidos, rehacer el DCF con más volumen.</w:t>
      </w:r>
    </w:p>
    <w:p>
      <w:pPr>
        <w:pStyle w:val="ListParagraph"/>
        <w:numPr>
          <w:ilvl w:val="0"/>
          <w:numId w:val="2"/>
        </w:numPr>
        <w:spacing w:after="60"/>
      </w:pPr>
      <w:r>
        <w:t xml:space="preserve">Si anuncia una ampliación de capital por debajo de 7 USD, bajar el objetivo.</w:t>
      </w:r>
    </w:p>
    <w:p>
      <w:pPr>
        <w:pStyle w:val="ListParagraph"/>
        <w:numPr>
          <w:ilvl w:val="0"/>
          <w:numId w:val="2"/>
        </w:numPr>
        <w:spacing w:after="60"/>
      </w:pPr>
      <w:r>
        <w:t xml:space="preserve">Si la NNSA firma contratos con prima de precio para uranio nacional, revisar el alcista.</w:t>
      </w:r>
    </w:p>
    <w:p>
      <w:pPr>
        <w:pStyle w:val="Heading2"/>
      </w:pPr>
      <w:r>
        <w:t xml:space="preserve">Dónde discrepamos del mercado</w:t>
      </w:r>
    </w:p>
    <w:p>
      <w:pPr>
        <w:keepNext/>
        <w:spacing w:after="100"/>
      </w:pPr>
      <w:r>
        <w:rPr>
          <w:b/>
          <w:bCs/>
        </w:rPr>
        <w:t xml:space="preserve">Lo que descuenta el precio.</w:t>
      </w:r>
    </w:p>
    <w:p>
      <w:pPr>
        <w:spacing w:after="100"/>
      </w:pPr>
      <w:r>
        <w:t xml:space="preserve">Los analistas (objetivo medio 16,03 USD) valoran por NAV con un descuento del 8 % y uranio a 90-100 USD/lb; el mercado, con 7,35 USD, ya les da poca credibilidad.</w:t>
      </w:r>
    </w:p>
    <w:p>
      <w:pPr>
        <w:keepNext/>
        <w:spacing w:after="100"/>
      </w:pPr>
      <w:r>
        <w:rPr>
          <w:b/>
          <w:bCs/>
        </w:rPr>
        <w:t xml:space="preserve">Lo que creemos nosotros.</w:t>
      </w:r>
    </w:p>
    <w:p>
      <w:pPr>
        <w:spacing w:after="100"/>
      </w:pPr>
      <w:r>
        <w:t xml:space="preserve">Con un coste de capital del 13,4 % y la quema de caja de los próximos tres años, el negocio vale 2-3,5 USD por acción; el resto es opción sobre el precio del uranio y sobre la política de EE. UU.</w:t>
      </w:r>
    </w:p>
    <w:p>
      <w:pPr>
        <w:keepNext/>
        <w:spacing w:after="100"/>
      </w:pPr>
      <w:r>
        <w:rPr>
          <w:b/>
          <w:bCs/>
        </w:rPr>
        <w:t xml:space="preserve">Por qué podemos tener razón.</w:t>
      </w:r>
    </w:p>
    <w:p>
      <w:pPr>
        <w:spacing w:after="100"/>
      </w:pPr>
      <w:r>
        <w:t xml:space="preserve">Los NAV de los analistas no restan la dilución futura ni el desarrollo de pozos que va a gasto, y suponen la capacidad licenciada en marcha.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A favor</w:t>
      </w:r>
    </w:p>
    <w:p>
      <w:pPr>
        <w:pStyle w:val="ListParagraph"/>
        <w:numPr>
          <w:ilvl w:val="0"/>
          <w:numId w:val="2"/>
        </w:numPr>
        <w:spacing w:after="60"/>
      </w:pPr>
      <w:r>
        <w:rPr>
          <w:b/>
        </w:rPr>
        <w:t xml:space="preserve">Balance limpio</w:t>
      </w:r>
      <w:r>
        <w:t xml:space="preserve">: 495 M USD de caja y sin deuda [1].</w:t>
      </w:r>
    </w:p>
    <w:p>
      <w:pPr>
        <w:pStyle w:val="ListParagraph"/>
        <w:numPr>
          <w:ilvl w:val="0"/>
          <w:numId w:val="2"/>
        </w:numPr>
        <w:spacing w:after="60"/>
      </w:pPr>
      <w:r>
        <w:rPr>
          <w:b/>
        </w:rPr>
        <w:t xml:space="preserve">Uranio caro</w:t>
      </w:r>
      <w:r>
        <w:t xml:space="preserve">: largo plazo en 96,5-97 USD/lb, máximo en 18 años [13, 32].</w:t>
      </w:r>
    </w:p>
    <w:p>
      <w:pPr>
        <w:pStyle w:val="ListParagraph"/>
        <w:numPr>
          <w:ilvl w:val="0"/>
          <w:numId w:val="2"/>
        </w:numPr>
        <w:spacing w:after="60"/>
      </w:pPr>
      <w:r>
        <w:rPr>
          <w:b/>
        </w:rPr>
        <w:t xml:space="preserve">Rampa en marcha</w:t>
      </w:r>
      <w:r>
        <w:t xml:space="preserve">: 82.744 lb en el 4T26, +157 % sobre el 3T [1].</w:t>
      </w:r>
    </w:p>
    <w:p>
      <w:pPr>
        <w:pStyle w:val="ListParagraph"/>
        <w:numPr>
          <w:ilvl w:val="0"/>
          <w:numId w:val="2"/>
        </w:numPr>
        <w:spacing w:after="60"/>
      </w:pPr>
      <w:r>
        <w:rPr>
          <w:b/>
        </w:rPr>
        <w:t xml:space="preserve">Política a favor</w:t>
      </w:r>
      <w:r>
        <w:t xml:space="preserve">: prohibición del uranio ruso y demanda de la NNSA de ≈ 4 M lb al año [18].</w:t>
      </w:r>
    </w:p>
    <w:p>
      <w:pPr>
        <w:pStyle w:val="Heading2"/>
      </w:pPr>
      <w:r>
        <w:t xml:space="preserve">En contra</w:t>
      </w:r>
    </w:p>
    <w:p>
      <w:pPr>
        <w:pStyle w:val="ListParagraph"/>
        <w:numPr>
          <w:ilvl w:val="0"/>
          <w:numId w:val="2"/>
        </w:numPr>
        <w:spacing w:after="60"/>
      </w:pPr>
      <w:r>
        <w:rPr>
          <w:b/>
        </w:rPr>
        <w:t xml:space="preserve">Sin calidad</w:t>
      </w:r>
      <w:r>
        <w:t xml:space="preserve">: ROIC −11,6 % frente a WACC 13,4 %.</w:t>
      </w:r>
    </w:p>
    <w:p>
      <w:pPr>
        <w:pStyle w:val="ListParagraph"/>
        <w:numPr>
          <w:ilvl w:val="0"/>
          <w:numId w:val="2"/>
        </w:numPr>
        <w:spacing w:after="60"/>
      </w:pPr>
      <w:r>
        <w:rPr>
          <w:b/>
        </w:rPr>
        <w:t xml:space="preserve">Dilución</w:t>
      </w:r>
      <w:r>
        <w:t xml:space="preserve">: +71 % de acciones desde jul-2022 y ≈ 409 M USD de ATM disponibles [1].</w:t>
      </w:r>
    </w:p>
    <w:p>
      <w:pPr>
        <w:pStyle w:val="ListParagraph"/>
        <w:numPr>
          <w:ilvl w:val="0"/>
          <w:numId w:val="2"/>
        </w:numPr>
        <w:spacing w:after="60"/>
      </w:pPr>
      <w:r>
        <w:rPr>
          <w:b/>
        </w:rPr>
        <w:t xml:space="preserve">Caro frente al negocio</w:t>
      </w:r>
      <w:r>
        <w:t xml:space="preserve">: valor intrínseco 2,26 USD, −69 %.</w:t>
      </w:r>
    </w:p>
    <w:p>
      <w:pPr>
        <w:pStyle w:val="ListParagraph"/>
        <w:numPr>
          <w:ilvl w:val="0"/>
          <w:numId w:val="2"/>
        </w:numPr>
        <w:spacing w:after="60"/>
      </w:pPr>
      <w:r>
        <w:rPr>
          <w:b/>
        </w:rPr>
        <w:t xml:space="preserve">Ninguna libra propia vendida</w:t>
      </w:r>
      <w:r>
        <w:t xml:space="preserve"> y sin guía de producción [1, 11].</w:t>
      </w:r>
    </w:p>
    <w:p>
      <w:pPr>
        <w:pStyle w:val="ListParagraph"/>
        <w:numPr>
          <w:ilvl w:val="0"/>
          <w:numId w:val="2"/>
        </w:numPr>
        <w:spacing w:after="60"/>
      </w:pPr>
      <w:r>
        <w:rPr>
          <w:b/>
        </w:rPr>
        <w:t xml:space="preserve">Gobierno</w:t>
      </w:r>
      <w:r>
        <w:t xml:space="preserve">: retribución de 9,28 M USD y operaciones con Uranium Royalty [1].</w:t>
      </w:r>
    </w:p>
    <w:p>
      <w:pPr>
        <w:pStyle w:val="Heading2"/>
      </w:pPr>
      <w:r>
        <w:t xml:space="preserve">Qué tiene que pasar para que la tesis funcione</w:t>
      </w:r>
    </w:p>
    <w:p>
      <w:pPr>
        <w:spacing w:after="100"/>
      </w:pPr>
      <w:r>
        <w:t xml:space="preserve">La tesis depende de que la producción propia llegue a ≈ 1,4 M lb al año en FY2028 y se venda por encima de 90 USD/lb. La señal de que no se cumple: dos trimestres de 2027 por debajo de 100.000 lb producidas o nuevas ampliaciones de capital por debajo de 8 USD.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trimestral (lb)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82.744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100.000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volumen no hay negocio propio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 largo plazo del uranio (USD/lb)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96,5-97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margen y apetito del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en circulación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530 a jul-2027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Obligaría a ampliar capital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-26,2x / -38,2x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82,78x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3,9x · 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Uranium Energy Corp nació el 16 de mayo de 2003 en Nevada como Carlin Gold Inc. y en 2004 cambió la exploración de metales preciosos por la de uranio en EE. UU. [1]. Su fundador, Amir Adnani, es consejero delegado desde enero de 2005, y la acción cotiza en NYSE American desde el 28 de septiembre de 2007 [2]. La empresa se ha construido a base de compras: la planta Hobson en Texas (2009), Uranium One Americas con la planta Irigaray en Wyoming (diciembre de 2021), UEX y Roughrider en la cuenca de Athabasca (2022) y Sweetwater a Rio Tinto (diciembre de 2024, 175,4 M USD más 4,2 M de costes) [1, 2]. Reanudó la producción en Christensen Ranch en agosto de 2024 y en Burke Hollow en abril de 2026, y en septiembre de 2025 creó UR&amp;C para estudiar una planta de conversión en EE. UU. [1]. Sigue siendo, a efectos de la SEC, un emisor en fase de exploración: no tiene reservas probadas ni probables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Nevada como Carlin Gold Inc. (16 de mayo)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Abandona los metales preciosos y se centra en la exploración de uranio en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Amir Adnani, fundador, pasa a ser presidente, consejero delegado y consejero (enero)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cotizar en NYSE American con el símbolo UEC (28 de septiembre); antes cotizaba en el OTC Bulletin Board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la planta de procesamiento Hobson (Texas) al adquirir South Texas Mining Venture a Uranium One: es el centro de su plataforma ISR del sur de Texas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100 % de Uranium One Americas (hoy UEC Wyoming), con la planta Irigaray y los proyectos ISR del Powder River Basin (17 de diciembre)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UEX Corporation (agosto) y el proyecto Roughrider a Rio Tinto (octubre): entra en la cuenca de Athabasca (Saskatchewan) con depósitos convencionales de alta ley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Reanuda la producción ISR en Christensen Ranch (agosto) y compra Sweetwater a Rio Tinto por 175,4 M USD en efectivo más 4,2 M de costes (diciembre)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 United States Uranium Refining &amp; Conversion Corp. (UR&amp;C) para estudiar una planta de conversión de 10.000 tU al año (septiembre); Sweetwater es designado proyecto de transparencia FAST-41 (agosto)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Arranca la producción en Burke Hollow (Texas) en abril; cierra el ejercicio con 229.294 libras producidas, frente a 129.966 en el FY2025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Uranium Energy Corp extrae uranio en Estados Unidos por recuperación in situ (ISR): inyecta agua con oxígeno en el yacimiento, disuelve el uranio y lo bombea a una planta donde se precipita y se seca como U3O8 [1]. Tiene dos plataformas: Wyoming (Irigaray y Christensen Ranch, Ludeman, Sweetwater, comprada a Rio Tinto en 2024 por 179,6 M USD) y el sur de Texas (Hobson, Palangana parada y Burke Hollow, en marcha desde abril de 2026), con 12,1 M lb al año de capacidad licenciada y 230,1 M lb de recursos medidos e indicados más 100,0 M lb inferidos, sin reservas [1]. En Canadá tiene Roughrider (Athabasca), en estudio de prefactibilidad, y es accionista de Uranium Royalty (7,6 %) y Anfield [1, 41, 43]. En FY2026 produjo 229.294 lb (el 4T, 82.744 lb) y no vendió ninguna [1].</w:t>
      </w:r>
    </w:p>
    <w:p>
      <w:pPr>
        <w:pStyle w:val="Heading2"/>
      </w:pPr>
      <w:r>
        <w:t xml:space="preserve">Cómo gana dinero</w:t>
      </w:r>
    </w:p>
    <w:p>
      <w:pPr>
        <w:spacing w:after="100"/>
      </w:pPr>
      <w:r>
        <w:t xml:space="preserve">Hoy gana dinero comprando y revendiendo uranio («programa de uranio físico»): en FY2026 vendió 400.000 lb compradas a 93,13 USD/lb, con 16,9 M USD de beneficio bruto, y un solo cliente pesó el 54 % de las ventas [1]. No tiene contratos a largo plazo ni coberturas: la estrategia es vender al contado cuando el precio le guste y reservar producción de origen estadounidense para el Gobierno (petición de información de la NNSA por ≈ 4 M lb al año desde 2030) [8, 18]. El negocio futuro es vender su propia producción: coste en efectivo publicado de 34,24 USD/lb y 39,94 con amortización, sin contar el desarrollo de pozos, que va a gasto [1]. Lo financia con ampliaciones de capital: 530 M USD en FY2026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Wyoming (minería ISR)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Texas (minería ISR)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Saskatchewan (exploración)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(Arizona, Nuevo México, Paraguay)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(uranio físico e inversiones)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Wyoming (minería ISR)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Texas (minería ISR)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Saskatchewan (exploración)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(Arizona, Nuevo México, Paraguay)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(uranio físico e inversiones)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r>
    </w:tbl>
    <w:p>
      <w:pPr>
        <w:spacing w:after="160" w:before="0"/>
      </w:pPr>
    </w:p>
    <w:p>
      <w:pPr>
        <w:pStyle w:val="Heading2"/>
      </w:pPr>
      <w:r>
        <w:t xml:space="preserve">Clientes, recurrencia y poder de precios</w:t>
      </w:r>
    </w:p>
    <w:p>
      <w:pPr>
        <w:spacing w:after="100"/>
      </w:pPr>
      <w:r>
        <w:t xml:space="preserve">La base de clientes es muy concentrada y cambia cada año, porque las ventas son operaciones puntuales del inventario comprado: un solo cliente supuso el 54 % de los ingresos en el FY2026 y otro distinto el 50 % en el FY2025 [1]. A 31-jul-2026 no había contratos de compra ni de venta de uranio en vigor; la empresa prevé vender en el mercado spot o con contratos a corto o largo plazo referenciados al spot [1]. Tampoco hay poder de precios propio: el precio lo fija el mercado. El precio medio cobrado subió de 82,52 a 93,13 USD/lb (+12,9 %), en línea con el precio medio del mercado en el ejercicio (de 73,59 a 82,32 USD/lb según UxC) [1]. La dirección apunta a una prima futura por el uranio de origen estadounidense no comprometido, que exigen programas del DOE, la Armada y la NNSA [1, 18].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(lb de U3O8 precipitado, secado y en bidones)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229.294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211.942 lb en Irigaray/Christensen Ranch y 17.352 lb en Hobson/Burke Hollow desde abril de 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Libras vendidas (inventario comprado)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libra de producción propia vendida en el FY2025 ni en el FY2026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de venta (USD/lb)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programa de uranio físico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en efectivo por libra producida (USD/lb)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6,60 USD/lb de regalías e impuestos; medida no GAAP en arranque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total por libra producida (USD/lb)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5,70 USD/lb de amortización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Inventario de uranio comprado (lb)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1.256.000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contar las 359.260 lb producidas acumuladas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del concentrado de uranio (U3O8) que consumen los 441 reactores operativos del mundo (404 GWe) [1], con el foco de UEC en EE. UU., la mayor flota del mundo y muy dependiente de importaciones: sus eléctricas compraron 46,9 M lb de U3O8e en 2025, de las que solo el 7 % era de origen estadounidense [14]. Se mide en volumen con dos fuentes: la World Nuclear Association (producción minera de 60.213 tU en 2024 y necesidades de los reactores de 68.920 tU en 2025 [16, 17]) y la EIA para EE. UU. [14]; el Libro Rojo de la AIEA y la NEA da 49.490 tU producidas en 2022 [29], coherente con la serie de la WNA. La serie es la de producción minera mundial de la WNA porque es la única anual y homogénea; la conversión y el enriquecimiento son mercados contiguos donde UEC aún no está (UR&amp;C solo tiene un estudio conceptual)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179 M lb de U3O8 al año de necesidades de los reactores (68.920 tU en 2025 [17]); valorado al precio spot medio de 2025 (73,54 USD/lb, media de cierres mensuales [13]) equivale a unos 13.200 M USD, y al precio a largo plazo medio de 2025 (81,96 USD/lb [13]), a unos 14.700 M USD (estimación propia: 68.920 tU × 2.599,8 lb U3O8/tU × precio). En EE. UU., 46,9 M lb compradas en 2025 a 58,46 USD/lb de media, unos 2.740 M USD (estimación propia con datos de la EIA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toneladas de uranio (tU) de producción minera mundi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flota de reactores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 reactores conectados entre 2015 y julio de 2026 y otros 72 en construcción [1]. En el escenario de referencia de la WNA, la capacidad pasa de 398 GWe a mediados de 2025 a 449 GWe en 2030 y 746 GWe en 2040, y las necesidades de uranio, de 68.920 tU a más de 150.000 tU (TCAC del 5,3 %) [17]. 38 países se han comprometido a triplicar su capacidad nuclear para 2050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Déficit de producción primaria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producción minera de 2024 (60.213 tU) cubrió el 90 % de la demanda; en 2020-2022 cubría el 74-76 % [16]. UxC estima una brecha de unos 65 M lb entre producción y necesidades en 2026-2028 y más de 250 M lb acumulados hasta 2036 [1]. Una mina nueva tarda de 10 a 20 años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inteligencia artificial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AIE prevé que el consumo eléctrico de los centros de datos pase de 415-450 TWh en 2024-2025 a 900-1.000 TWh en 2030, y la demanda eléctrica mundial crezca un 3,6 % anual hasta 2030; Microsoft, Google, Amazon, Meta, Oracle y Nvidia han anunciado compromisos nucleares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contratación de las eléctricas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mundial no cubierta de casi 800 M lb hasta 2035 (UxC) [1] y 186 M lb en EE. UU. hasta 2035 [14]; la contratación a largo plazo del 1S26 fue de 33 M lb, frente a 27 M en el 1S25 [27]. Pero las eléctricas de EE. UU. compraron un 16 % menos en 2025 y acumulan 170 M lb de inventarios comerciales, lo que les da margen para esperar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Bifurcación geopolítica del mercado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prohibió en mayo de 2024 el uranio enriquecido ruso, con exenciones a Centrus que cubren sus entregas hasta 2027 [18]; Rusia aún aportó el 26 % del enriquecimiento importado por las eléctricas de EE. UU. en 2025 [14]. La oferta de Kazajistán se compromete cada vez más con China, India y Rusia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Oferta de Kazatomprom y nuevas minas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Kazatomprom produjo 25.800 tU (100 %) en 2025 y guía 27.500-29.000 tU para 2026; en el 1S26 sacó 13.291 tU, un 9 % más [19, 30]. A cambio, prevé subir su coste C1 un 34 % en 2026 por el nuevo impuesto de extracción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homogéneo con precio de mercado; los cinco primeros (Kazatomprom 21 %, Cameco 17 %, Orano 11 %, Uranium One 10 % y CGN 10 %) controlan el 69 % de la producción de 2024, y más de la mitad la producen empresas estatales que priorizan la seguridad de suministro sobre el margen [16]. La rivalidad en precio es baja mientras falte oferta, pero el productor marginal estadounidense compite con costes muy superiores a los de Kazajistán.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compradores son unas pocas decenas de eléctricas que contratan a largo plazo; en EE. UU. tienen 118 M lb de inventario propio y 174 M lb ya contratadas para 2026-2035 [14]. Pagaron de media 58,46 USD/lb en 2025, muy por debajo del spot, por contratos antiguos [14]. Un vendedor sin cartera, como UEC, depende del spot.</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de la ISR (reactivos, perforación, energía) son genéricos, pero la cadena siguiente está muy concentrada: Metropolis (Illinois) es la única planta de conversión de EE. UU. [18], y la conversión cotizaba a 64,50 USD/kgU spot y 55,50 USD/kgU a largo plazo en junio de 2026 [27]; el enriquecimiento, a 200 USD/UTS spot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mina nueva tarda de 10 a 20 años y necesita precios que justifiquen la inversión [1]; los permisos (exenciones de acuífero de la EPA, licencias estatales, NRC o CNSC) son largos: la licencia canadiense lleva unos 26 meses desde que la solicitud se da por completa [1]. Los proyectos de Athabasca (NexGen, Denison) amenazan a medio plazo el precio, no la licencia de UEC.</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reactor no tiene sustituto para el uranio; los sustitutos son la oferta secundaria (inventarios y subalimentación de las plantas de enriquecimiento), que mengua al pasar los enriquecedores occidentales a sobrealimentar [1], y, a largo plazo, otras fuentes de electricidad sin emisiones.</w:t>
            </w:r>
          </w:p>
        </w:tc>
      </w:tr>
    </w:tbl>
    <w:p>
      <w:pPr>
        <w:spacing w:after="160" w:before="0"/>
      </w:pPr>
    </w:p>
    <w:p>
      <w:pPr>
        <w:pStyle w:val="Heading2"/>
      </w:pPr>
      <w:r>
        <w:t xml:space="preserve">Ciclo</w:t>
      </w:r>
    </w:p>
    <w:p>
      <w:pPr>
        <w:spacing w:after="100"/>
      </w:pPr>
      <w:r>
        <w:t xml:space="preserve">El precio a largo plazo, el que fija los contratos, subió de 81 USD/lb en enero de 2025 a 96,50 USD/lb en agosto y septiembre de 2026 [13], y TradeTech lo situaba en 97 USD/lb a mediados de octubre, con el spot en 90 USD/lb [32]. El spot tocó suelo en 17,75 USD/lb en noviembre de 2016, llegó a 107 USD en 2024, bajó a 63,45 USD en marzo de 2025 y subió a 101,50 USD en enero de 2026 [1]. En 2020 la producción mundial cayó a 47.731 tU por los cierres [16] y en 2022 la invasión de Ucrania partió el mercado en dos [1]. Las acciones van en sentido contrario: el factor uranio cayó un 17,2 % entre el 11 de septiembre y el 9 de octubre de 2026 [32].</w:t>
      </w:r>
    </w:p>
    <w:p>
      <w:pPr>
        <w:pStyle w:val="Heading2"/>
      </w:pPr>
      <w:r>
        <w:t xml:space="preserve">Regulación</w:t>
      </w:r>
    </w:p>
    <w:p>
      <w:pPr>
        <w:spacing w:after="100"/>
      </w:pPr>
      <w:r>
        <w:t xml:space="preserve">En EE. UU., la ley que prohíbe el uranio ruso (mayo de 2024) admite exenciones hasta 2027 [18]. Las órdenes ejecutivas del 23 de mayo de 2025 fijan el objetivo de cuadruplicar la capacidad nuclear para 2050 e invocan la Ley de Producción para la Defensa [1]. El uranio volvió a la lista de minerales críticos el 7 de noviembre de 2025 y entró en la investigación de la sección 232. La Proclamación 11001, del 14 de enero de 2026, no puso aranceles y ordenó negociar durante 180 días [1, 31]. El 30 de julio de 2026, una determinación presidencial delegó en Comercio la facultad de restringir exportaciones; sigue sin concretarse si habrá compras para la reserva estratégica o precios mínimos de importación [1]. Además, en agosto de 2026 la NNSA pidió información para comprar unos 4 M lb al año de uranio estadounidense no comprometido desde la década de 2030 [18], y el Ejército adjudicó hasta 2.200 M USD a microrreactores que exigen uranio nacional [1].</w:t>
      </w:r>
    </w:p>
    <w:p>
      <w:pPr>
        <w:pStyle w:val="Heading2"/>
      </w:pPr>
      <w:r>
        <w:t xml:space="preserve">Tendencias y disrupción</w:t>
      </w:r>
    </w:p>
    <w:p>
      <w:pPr>
        <w:spacing w:after="100"/>
      </w:pPr>
      <w:r>
        <w:t xml:space="preserve">La recuperación in situ ya supone el 55 % de la producción mundial [16]: es la técnica de UEC y de sus rivales de Wyoming y Texas, con menos capital y plazos más cortos que la minería convencional [1]. Los reactores avanzados aceleran: cuatro diseñadores alcanzaron la criticidad con el DOE antes del 4 de julio de 2026, y el Gobierno comprometió al menos 80.000 M USD en reactores Westinghouse, de ellos 17.500 M del DOE [1]. La escasez de conversión y enriquecimiento occidentales empuja a integrarse aguas abajo: ConverDyn estudia una planta nueva en Metropolis [18] y UEC, la suya con Fluor [1]. Ganan los productores con origen estadounidense si se paga la prima por uranio nacional. Pierden los de coste alto si Energy Fuels sigue extrayendo en Pinyon Plain a unos 23 USD/lb [24].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Productor menor y en arranque: las 229.294 lb (≈ 88 tU) del FY2026 equivalen a un 0,15 % de la producción minera mundial de 2024 (60.213 tU) y a cerca de un 11 % de la de EE. UU. de 2025 (2,1 M lb) [1, 15, 16] (estimación propia; periodos distintos). Por capacidad licenciada (12,1 M lb al año) y recursos (230,1 M lb medidos e indicados y 100,0 M lb inferidos, todos atribuibles) es la mayor plataforma ISR de EE. UU.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foso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Cameco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productora occidental (10.193 tU en 2024) con las minas de más ley del mundo, McArthur River y Cigar Lake [16]. Vende con contratos a largo plazo; produjo 10,1 M lb en Canadá en el 1S26 (su parte) [19]. Ingresos de 2025: 3.481,9 M CAD y resultado operativo de 618,1 M CAD [25], convertidos a 1,3706 CAD/USD [33]. Capitalización ≈ 34.233 M USD (78,60 USD × 435,5 M de acciones) [26,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Kazatomprom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Kazajistán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productor mundial (12.463 tU en 2024) [16], estatal y con ISR. En 2025 ingresó 1,8 billones de KZT y produjo 25.800 tU al 100 % (13.600 atribuibles); para 2026 guía 27.500-29.000 tU y un coste C1 un 34 % mayor [30]. Su volumen pesa más que el de ningún otro productor en el equilibrio del mercado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Paladin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PDN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Langer Heinrich (Namibia, convencional): 4,82 M lb producidas en el FY2026 (a junio) a 43,3 USD/lb de coste de producción; vendió 4,35 M lb a 70,0 USD/lb. Margen bruto de 52,2 M USD (17,2 %) y pérdida neta de 9,1 M [20]. Su actualización del 1T27 decepcionó por menor recuperación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Boss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 en Honeymoon (Australia) y 30 % de Alta Mesa (Texas), que opera enCore [23]. FY2026: 151,1 M AUD de ingresos (103,8 M USD a 0,6869), coste C1 de 26 USD/lb y AISC de 41 USD/lb, beneficio neto de 2,5 M AUD; guía FY2027 de 1,25-1,30 M lb con C1 de 35-39 USD/lb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Energy Fuels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UUUU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EE. UU., con el molino convencional de White Mesa (Utah) y negocio de tierras raras [24]. Coste de unos 23 USD/lb en Pinyon Plain; guía 2026 de 1,5-2,5 M lb procesadas y 1,5-2,0 M lb vendidas, parte con contratos a largo plazo a 67,27 USD/lb en el 1S26 [24]. Resultado operativo de 2025: −101,2 M USD [25]. Capitalización ≈ 1.880 M USD [25,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enCore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 en Texas (Alta Mesa). En el 1S26 vendió 485.000 lb a 70,10 USD/lb, pero 360.000 eran compradas a 81,85 USD/lb; las extraídas costaron 57,36 USD/lb (38,46 en efectivo) [23]. Resultado operativo de 2025: −65,8 M USD [25]. Capitalización ≈ 136 M USD [25,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 en Wyoming (Lost Creek y, desde el verano de 2026, Shirley Basin). Capturó 215.330 lb en el 1S26 y vendió producción propia a 64,80 USD/lb con un coste de 52,95 USD/lb en el 2T26; prevé vender 1 M lb en 2026 [22]. Resultado operativo de 2025: −69,4 M USD [25]. Capitalización ≈ 322 M USD [25,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Denison Mines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DNN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Promotora en Athabasca (Wheeler River, Phoenix ISR): 101,2 M lb de reservas probadas y probables y 151,2 M lb medidas e indicadas (su parte) a 31-dic-2025 [34]. Resultado operativo de 2025: −61,4 M CAD [25]. Capitalización ≈ 1.957 M USD, unos 12,9 USD por libra medida e indicada (estimación propia con acciones de dic-2025) [25,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homogéneo vendido a precio de mercado; no hay red ni plataforma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eléctricas cambian de proveedor de U3O8 sin coste técnico; UEC no tiene contratos de venta y sus mayores clientes cambian cada año (54 % uno en el FY2026, 50 % otro en el FY2025)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más valioso son los permisos: dos plantas con licencia (Hobson e Irigaray, 4 M lb cada una), exenciones de acuífero de la EPA en ocho proyectos, Sweetwater con designación FAST-41 y 12,1 M lb de capacidad licenciada [1]. Obtenerlos lleva años, pero Energy Fuels, enCore y Ur-Energy también los tienen [12-14].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en efectivo de 34,24 USD/lb en el FY2026 (39,94 USD con amortización) [1], peor que el C1 de Boss (26 USD/lb) [11] y que Pinyon Plain de Energy Fuels (~23 USD/lb) [14], similar al de enCore (38,46 USD) [13] y mejor que el de Ur-Energy (52,95 USD por libra vendida) [12] y el de Paladin (43,3 USD) [10]. Los recursos ISR de EE. UU. se calculan a 40 USD/lb y tienen leyes del 0,06-0,13 %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Produjo 229.294 lb en el FY2026, frente a 3,9 M lb de Cameco en un solo trimestre [1, 17]; el mercado de EE. UU. admite varios productores ISR pequeños y no hay monopolio natural.</w:t>
            </w:r>
          </w:p>
        </w:tc>
      </w:tr>
    </w:tbl>
    <w:p>
      <w:pPr>
        <w:spacing w:after="160" w:before="0"/>
      </w:pPr>
    </w:p>
    <w:p>
      <w:pPr>
        <w:pStyle w:val="Heading2"/>
      </w:pPr>
      <w:r>
        <w:t xml:space="preserve">Amenazas</w:t>
      </w:r>
    </w:p>
    <w:p>
      <w:pPr>
        <w:spacing w:after="100"/>
      </w:pPr>
      <w:r>
        <w:t xml:space="preserve">La amenaza principal es el precio: UEC no tiene contratos y vende al spot [1], así que una subida de la oferta de Kazatomprom (27.500-29.000 tU guiadas para 2026 [30]) o la llegada de las minas de Athabasca de NexGen y Denison [34] le pegaría de lleno. Probabilidad media. La segunda es de costes: Energy Fuels extrae a unos 23 USD/lb [24] y Boss a 26 USD/lb de C1 [21], mientras UEC está en 34 USD en efectivo y en arranque [1]. La tercera es política: si la sección 232 no acaba en aranceles ni en compras para la reserva estratégica, desaparece la prima del uranio nacional en la que se apoya la tesis [1, 31]. Probabilidad media. Los permisos en disputa de Goliad y el choque con el regulador de Paraguay son riesgos menores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FY2017-FY2026: ingresos </w:t>
      </w:r>
      <w:r>
        <w:rPr>
          <w:b/>
          <w:bCs/>
        </w:rPr>
        <w:t xml:space="preserve">n.d.</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UEC no tiene un negocio recurrente todavía. Todos los ingresos de los últimos cinco ejercicios salen de vender uranio comprado en el mercado: 164,4 M en FY2023, 66,8 M en FY2025 (810.000 lb a 82,52 USD/lb) y 37,3 M en FY2026 (400.000 lb a 93,13 USD/lb); FY2024 no tuvo ventas (0,2 M de maquila) [1, 3]. La producción propia (229.294 lb en FY2026) se acumula en inventario y aún no se ha vendido [1]. La pérdida operativa crece de 56,4 M (FY2024) a 133,1 M (FY2026) porque el gasto en propiedades mineras pasa de 32,4 M a 102,4 M: como no tiene reservas S-K 1300, UEC lleva a resultados el desarrollo de pozos (57,8 M en FY2026) y la exploración (23,2 M) que un productor capitalizaría [1]. Suman además los gastos generales (34,5 M, +26 %, con 8,0 M de pagos en acciones) y 6,3 M del proyecto de conversión UR&amp;C [1]. Los años no son comparables entre sí: el margen depende de cuántas libras decide vender la dirección y a qué coste de compra.</w:t>
      </w:r>
    </w:p>
    <w:p>
      <w:pPr>
        <w:pStyle w:val="Heading2"/>
      </w:pPr>
      <w:r>
        <w:t xml:space="preserve">Ajustes y partidas no recurrentes</w:t>
      </w:r>
    </w:p>
    <w:p>
      <w:pPr>
        <w:spacing w:after="100"/>
      </w:pPr>
      <w:r>
        <w:t xml:space="preserve">Se usan cifras publicadas. UEC publica un EBITDA de −130,9 M y un EBITDA ajustado de −118,1 M en FY2026 (−84,5 M y −62,8 M en FY2025) [1]. Su EBITDA parte del beneficio neto, así que incluye los resultados financieros; el de esta nota es EBIT + amortizaciones (−126,2 M). El ajustado quita los pagos en acciones (8,0 M), la pérdida por los recibos de suscripción de URC (9,9 M), el valor razonable de las participaciones (17,5 M de pérdida), el resultado de las participadas (+7,1 M) y los intereses cobrados (15,6 M) [1]. Partidas no recurrentes dentro del EBIT: costes de adquisición de 3,4 M en FY2022 y un deterioro de 0,1 M en FY2023 [4]. FY2022 lleva por debajo del EBIT 18,3 M de recuperación de un préstamo y 6,4 M de plusvalías por venta de activos [3, 4]. FY2019 se corrige respecto al XBRL (un 10-K posterior etiquetó con fecha de 2019 las cifras de 2020): EBIT −15,0 M y beneficio neto −17,2 M [10].</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UEC sí hace conferencias trimestrales: la del 3T se celebró el 9-jun-26 y la del ejercicio, el 29-sep-26 [8, 9]. </w:t>
      </w:r>
      <w:r>
        <w:rPr>
          <w:b/>
        </w:rPr>
        <w:t xml:space="preserve">9-jun-26 (3T).</w:t>
      </w:r>
      <w:r>
        <w:t xml:space="preserve"> La dirección presentó el arranque de Burke Hollow y explicó la subida del coste total a 54,61 USD/lb por el retraso de las aprobaciones de nuevas casetas de cabecera, que llegaron a final de trimestre; repitió que vende sin coberturas y de forma oportunista, y que el siguiente hito de UR&amp;C es de 2027 [9, 12]. </w:t>
      </w:r>
      <w:r>
        <w:rPr>
          <w:b/>
        </w:rPr>
        <w:t xml:space="preserve">29-sep-26 (ejercicio).</w:t>
      </w:r>
      <w:r>
        <w:t xml:space="preserve"> El tono pasó de justificar el trimestre a celebrar la recuperación: 82.744 lb en el 4T (+157 %) a unos 36,50 USD/lb, y 400.000 lb vendidas a 93,13 USD/lb. Adnani dijo que «podríamos haber vendido mucho más y elegimos no hacerlo» y que UEC «nunca es un vendedor forzado» [11]. Los analistas (Goldman Sachs, H.C. Wainwright, Canaccord, SCP, ROTH y National Bank) preguntaron sobre todo por la producción de FY2027 y el ritmo de la rampa, la fecha de Ludeman, la tecnología y los plazos de la planta de conversión, y por la petición de información (RFI) de la NNSA (4 Mlb/año desde 2030) [11]. La dirección </w:t>
      </w:r>
      <w:r>
        <w:rPr>
          <w:b/>
        </w:rPr>
        <w:t xml:space="preserve">no dio guía de producción ni objetivo de régimen estable</w:t>
      </w:r>
      <w:r>
        <w:t xml:space="preserve"> («es demasiado pronto»), no fechó Ludeman, no eligió tecnología de conversión antes de la estimación Clase IV de mediados de 2027 y no confirmó si se presentó a la NNSA. Sobre contratos a largo plazo con eléctricas, dijo que no los descarta en los próximos meses, sin volúmenes ni precios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1472"/>
        <w:gridCol w:w="1338"/>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Uranium One Americas (U1A: Christensen Ranch, Irigaray, Ludeman, Moore Ranch, Reno Creek…), comprada en dic-21 por 128,5 M en efectivo; salida de caja neta 113,6 M [3, 4].; FY2023: UEX Corporation (19-ago-22, 192,7 M pagados en acciones) y Roughrider a Rio Tinto (17-oct-22, 146,2 M: 80 M en efectivo y 64,1 M en acciones); el activo pasa de 354 M a 738 M y aparece un pasivo por impuesto diferido de 70 M [4].; FY2025: Activos de Sweetwater (Sweetwater Uranium Inc. y Wyoming Coal Resources) comprados a Rio Tinto el 6-dic-24 por 179,6 M en efectivo (175,4 M + 4,2 M de costes), registrados como compra de activos, sin fondo de comercio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es casi todo patrimonio: 1.375 M de fondos propios sobre 1.511 M de activo, y el activo es sobre todo derechos mineros (708 M, capitalizados al coste de compra de U1A, UEX, Roughrider y Sweetwater) [1]. La caja se ha multiplicado por diez desde FY2023 (45,6 M a 495,5 M) porque UEC ha emitido 1.061 M en acciones en cuatro ejercicios (66,5 + 176,7 + 287,5 + 530,0 M), muy por encima de lo que consume [1, 2, 3, 4]. Las existencias saltan con el programa de uranio físico: 66,6 M en FY2022, 6,2 M en FY2023 tras vender casi todo y 79,4 M en FY2026 [1, 4]. El circulante operativo es pequeño y no informa del negocio. La deuda financiera (préstamo de 20 M) se amortizó en FY2021-FY2022 [4]. Las ganancias del uranio comprado no se ven en el balance: se registra a coste (≈50,8 USD/lb, estimación propia) y no a mercado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FY2017-FY2026: FCF </w:t>
      </w:r>
      <w:r>
        <w:rPr>
          <w:b/>
          <w:bCs/>
        </w:rPr>
        <w:t xml:space="preserve">-358</w:t>
      </w:r>
      <w:r>
        <w:t xml:space="preserve">, conversión </w:t>
      </w:r>
      <w:r>
        <w:rPr>
          <w:b/>
          <w:bCs/>
        </w:rPr>
        <w:t xml:space="preserve">107 %</w:t>
      </w:r>
      <w:r>
        <w:t xml:space="preserve"> del beneficio neto; adquisiciones 373, dividendos 0, recompras 0.</w:t>
      </w:r>
    </w:p>
    <w:p>
      <w:pPr>
        <w:spacing w:after="100"/>
      </w:pPr>
      <w:r>
        <w:t xml:space="preserve">El flujo operativo es negativo en todos los años salvo FY2023 (+72,6 M), y ese año positivo se debe a vender inventario de uranio (60,4 M de reducción de existencias), no a la explotación [4]. En FY2024 la compra de uranio hundió el flujo (−69,6 M de existencias) [3]. El capex del estado de flujos (8,8 M en FY2026) subestima mucho la inversión real: el desarrollo de pozos (57,8 M) y la exploración (23,2 M) van dentro del flujo operativo porque se llevan a gasto [1]. La empresa llama a esa suma «capital de crecimiento» y no separa mantenimiento: estimación propia, el mantenimiento de las minas paradas y en preparación (12,0 M de mantenimiento más 9,3 M de permisos y cánones, 21,3 M en FY2026) se parece más a un coste fijo que a capex [1]. Fuera de las adquisiciones (no se cuentan en la columna), UEC invirtió en participaciones financieras: 80,4 M en FY2026 (40,0 M en URC y 40,4 M en otras acciones), 25,7 M en FY2025 y 21,4 M en FY2024, y vendió acciones por 1,2 M, 54,4 M y 3,0 M [1, 3]. Todo se ha pagado con ampliaciones de capital; no hay dividendos ni recompras. Los 3,1 M de retenciones fiscales por entrega de acciones a empleados no son recompras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 (Vancouver)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(COSO 2013) a 31-jul-26; asunto clave de auditoría: indicios de deterioro de los activos de larga vida (708,0 M de derechos mineros y 72,3 M de inmovilizado)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 cuenta de resultados de UEC no es comparable con la de un productor. Al no tener reservas probadas ni probables (S-K 1300), lleva a gasto la construcción de pozos y la exploración, de modo que las pérdidas son mayores y el coste por libra que publica (39,94 USD/lb en FY2026) no incluye ese desarrollo [1]. Estimación propia: el desarrollo de Christensen Ranch en FY2026 (36,3 M) dividido entre su producción (211.942 lb) equivale a unos 171 USD/lb. Los ingresos dependen de cuándo decide la dirección vender uranio comprado, y el margen, del coste medio del inventario (contratos antiguos a ~37 USD/lb) [1, 5]. El resultado neto lo mueven partidas de valor razonable: −17,5 M por participaciones cotizadas, −9,9 M por los recibos de suscripción de URC y +7,1 M de participadas en FY2026 [1]. URC se consolida por puesta en equivalencia con solo el 7,6 % porque dos directivos de UEC se sientan en su consejo [1]. Los pagos en acciones (8,0 M) suponen el 23 % de los gastos generales [1]. No hay deterioros relevantes desde FY2023 (0,1 M) [4]. Indicadores del motor: el Altman Z saldrá alto por el patrimonio y la caja, y el Piotroski y el Beneish tienen poco sentido con ingresos de trading tan irregulares.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por libra publicado sin el desarrollo de pozos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total no GAAP (39,94 USD/lb) excluye 57,8 M de desarrollo y 23,2 M de exploración llevados a gasto en FY2026; el desarrollo de Christensen Ranch equivale a ~171 USD/lb producida (estimación propia)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compraventa de uranio, no de producción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100 % de las ventas de FY2023-FY2026 es uranio comprado; ninguna libra producida se ha vendido. El volumen vendido lo decide la dirección según su caja y el mercado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continua para financiar pérdidas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289,6 M (jul-22) a 495,6 M (jul-26), +71 %. 530,0 M captados en FY2026 por ATM, colocación a 13,15 USD y flow-through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con URC, participada con directivos comunes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UEC compró en abr-26 recibos de suscripción de URC por 40 M a 3,64 USD y reconoció 9,9 M de pérdida al convertirlos en jul-26. Dos directivos de UEC están en el consejo de URC y uno es directivo de URC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neto dominado por valor razonable de participaciones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Ganancias o pérdidas de valor razonable de +27,5 M (FY2024), −18,1 M (FY2025) y −17,5 M (FY2026); pérdida acumulada de 25,85 M en la cartera actual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trimestral irregular en la rampa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68.612, 45.743, 32.195 y 82.744 lb en los cuatro trimestres de FY2026; el coste total del 3T subió a 54,61 USD/lb por retrasos en las aprobaciones de casetas de cabecera [5, 6, 8,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Fianzas de restauración con poca caja de respaldo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64,3 M de surety bonds para 93,9 M de restauración estimada; podrían exigir 62,4 M de colateral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Error de etiquetado en el XBRL histórico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10-K posterior etiquetó cifras de FY2020 con fecha de FY2019; corregido con los valores del 10-K de FY2019 tal como figuran en el XBRL original [10].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0 M en FY2026 (el 0 % del capital invertido medio); ha subido más de un 5 % en 0 de 9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-11,1 % · </w:t>
      </w:r>
      <w:r>
        <w:rPr>
          <w:b/>
          <w:bCs/>
        </w:rPr>
        <w:t xml:space="preserve">WACC</w:t>
      </w:r>
      <w:r>
        <w:t xml:space="preserve">: 13,4 %.</w:t>
      </w:r>
    </w:p>
    <w:p>
      <w:pPr>
        <w:spacing w:after="100"/>
      </w:pPr>
      <w:r>
        <w:t xml:space="preserve">UEC no ha creado valor nunca: el ROIC es negativo en nueve de los diez últimos ejercicios (−11,6 % en FY2026, con un WACC del 13,4 %) y solo fue positivo en FY2023 (1,5 %), gracias a la reventa de uranio comprado [1]. La rotación es de 0,03 veces: 857 M USD de capital invertido para 37 M de ventas. El ROIC incremental histórico (−11,1 %) dice que el capital levantado desde 2021 (unos 1.300 M USD en acciones) se ha ido a comprar proyectos y a desarrollar minas que todavía no producen beneficio. Parte de la pérdida es contable (el desarrollo va a gasto por no tener reservas), pero ni sumándolo de vuelta el negocio cubre su coste de capital. Los productores con beneficio del sector, Cameco y Paladin, ganan márgenes EBITDA del 23-25 % [47].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495,5 M a 31-jul-26 sin deuda financiera; capital circulante de 547,6 M [1]. Además: inventario de uranio comprado de 1.256.000 lb (63,8 M a coste; 109 M a precio de mercado según la empresa), participación del 7,6 % en Uranium Royalty Corp (94,4 M en libros por puesta en equivalencia, 98,5 M a valor de mercado), JCU 50 % (17,0 M en libros) y otras acciones cotizadas por 50,2 M (Anfield 25,6 M + 0,7 M de warrants) [1, 8]. La empresa suma 753 M de «activos líquidos» [8]. Programa ATM de 600 M firmado el 14-nov-25, del que se han vendido 190,6 M brutos; sin ventas tras el cierre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Sin deuda ni covenants. El pasivo de 136,1 M es sobre todo no financiero: impuestos diferidos 59,2 M (nacidos de las compras de UEX y Roughrider) y obligaciones de restauración de 43,1 M contables (1,7 M a corto) [1]. El coste estimado total de restauración es de 93,9 M sin descontar (74,5 M a más de cinco años) y está cubierto con 64,3 M de fianzas (surety bonds), de las que solo 1,9 M están respaldadas con caja restringida: la aseguradora podría exigir los 62,4 M restantes si cambian las condiciones [1]. Las primas de esas fianzas son casi todo el «gasto financiero» (2,0 M de 2,1 M en FY2026) [1]. Arrendamientos operativos por 2,9 M, que en US GAAP no se suman a la deuda [1]. No hay compromisos de compra de uranio pendientes [1, 6]. Ningún litigio material según la dirección; algunos permisos de Goliad están recurridos [1].</w:t>
      </w:r>
    </w:p>
    <w:p>
      <w:pPr>
        <w:pStyle w:val="Heading1"/>
      </w:pPr>
      <w:r>
        <w:t xml:space="preserve">12. Asignación de capital</w:t>
      </w:r>
    </w:p>
    <w:p>
      <w:pPr>
        <w:pStyle w:val="Confianza"/>
        <w:spacing w:after="100"/>
      </w:pPr>
      <w:r>
        <w:t xml:space="preserve">Confianza: Alta</w:t>
      </w:r>
    </w:p>
    <w:p>
      <w:pPr>
        <w:spacing w:after="100"/>
      </w:pPr>
      <w:r>
        <w:t xml:space="preserve">UEC no paga dividendos ni recompra acciones, y no anuncia planes de hacerlo [1]. Su prioridad declarada es crecer como productor estadounidense: ampliar Christensen Ranch y Burke Hollow, construir Ludeman, preparar Sweetwater (permiso FAST-41 previsto para may-27), la prefactibilidad de Roughrider y la planta de conversión UR&amp;C (estimación de coste Clase IV prevista a mediados de 2027) [1, 8]. Se financia con acciones: tres programas ATM (300 M en 2022, 300 M en 2024 y 600 M desde nov-25), una colocación de 17,8 M de acciones a 13,15 USD en oct-25 (234,4 M brutos) y acciones flow-through (8,6 M) [1]. Mantiene uranio físico (1.256.000 lb) como reserva de liquidez y para vender al Departamento de Energía (DOE) de EE. UU. si surge demanda de uranio de origen nacional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Uranium One Americas (Wyoming: Christensen Ranch, Irigaray CPP, Ludeman, Moore Ranch, Reno Creek, Jab/West Jab, Allemand-Ross)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(caja de ampliaciones)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base de la producción actual: Christensen Ranch reinició en ago-24 y produjo 211.942 lb en FY2026; Ludeman será la tercera mina [1, 4]. Sin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UEX Corporation (Athabasca: Christie Lake, Horseshoe-Raven, Shea Creek; 50 % de JCU)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(171,3 M) más opciones y warrants de sustitución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exploración a largo plazo sin producción; JCU aporta pérdidas (−5,0 M en FY2026) y su valor en libros baja de 23,5 M (FY2023) a 17,0 M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Roughrider (Athabasca), comprado a Rio Tinto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M en efectivo y 17,8 M de acciones a 3,60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prefactibilidad con Tetra Tech; 36.000 m de sondeos terminados; acuerdo con SaskPower para la línea eléctrica en ago-26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Sweetwater (planta convencional con licencia, Red Desert y Green Mountain), comprado a Rio Tinto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permisos FAST-41: evaluación ambiental prevista en mar-27 y aprobación del plan de operaciones en may-27; sin producción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Royalty Corp: 10,99 M de acciones nuevas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9,9 M al convertir los recibos; la participación en URC baja del 13,5 % al 7,6 % por la dilución de la operación de URC, aunque vale 98,5 M a mercado [1].</w:t>
            </w:r>
          </w:p>
        </w:tc>
      </w:tr>
    </w:tbl>
    <w:p>
      <w:pPr>
        <w:spacing w:after="160" w:before="0"/>
      </w:pPr>
    </w:p>
    <w:p>
      <w:pPr>
        <w:spacing w:after="100"/>
      </w:pPr>
      <w:r>
        <w:t xml:space="preserve">Datos para el veredicto. De FY2022 a FY2026 UEC captó 1.229 M en acciones (168,0 + 66,5 + 176,7 + 287,5 + 530,0 M) y pagó con acciones otros 235,4 M por UEX y Roughrider [1, 2, 3, 4]. Las acciones en circulación pasaron de 289,6 M a 495,6 M (+71 %) en cuatro años [1, 4]. Ese dinero ha ido a compras de activos (647 M en conjunto, de ellos unos 390 M en efectivo: U1A, Roughrider y Sweetwater), al gasto en minas (102,4 M solo en FY2026) y a una caja de 495,5 M que aún no se ha usado [1]. Los derechos mineros no se han deteriorado, pero tampoco han dado todavía ingresos de producción propia: el único dinero generado procede de comprar y vender uranio [1]. En la conferencia del ejercicio, el consejero delegado dijo que una compra más de recursos «no movería la aguja», lo que apunta a menos adquisiciones y más inversión en lo que ya tiene [11]. La inversión en URC (40 M en abr-26 con una pérdida inmediata de 9,9 M) es la operación más discutible del año por los directivos comunes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Amir Adnani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 (CEO), 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de la compañía y primer ejecutivo y consejero desde enero de 2005 [1, 36]. Es además fundador y copresidente de GoldMining Inc. y presidente de Uranium Royalty Corp. (URC), en la que UEC tiene participación [1, 36]. Bajo su mando la empresa reanudó la extracción en Christensen Ranch (agosto de 2024) y en Burke Hollow (abril de 2026); la producción fue de 129.966 libras en FY2025 y 229.294 libras en FY2026 [1, 2]. Cobra a través de una sociedad propia, Amir Adnani Corp., cuya cuota mensual subió a 62.500 USD en agosto de 2025 y a 79.166,67 USD en agosto de 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Abraham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Secretario de Energía de EE. UU. entre 2001 y 2005. Fue presidente ejecutivo de UEC de octubre de 2015 a marzo de 2017 y desde entonces es presidente no ejecutivo [36]. Es consejero de PBF Energy y de Two Harbors Investment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Josephine 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tesorera y secretaria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Ocupa el cargo desde el 1 de octubre de 2024, cuando sucedió a Pat Obara, que había sido director financiero desde 2015 [36]. Antes fue directora financiera de Uranium Royalty Corp. (de 2018 a 2025), una empresa vinculada a UEC, y de Gold Royalty Corp. (de 2020 a 2022), y socia de auditoría de Ernst &amp; Young en Vancouver (de 2010 a 2013)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Melbye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(comercial y ventas de uranio)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42 años en el sector. Pasó 22 años en Cameco, donde llegó a presidente de Cameco Inc., y fue vicepresidente ejecutivo de marketing en Uranium One [36]. A la vez es consejero delegado, presidente y consejero de Uranium Royalty Corp., y preside la Uranium Producers of America [36]. En FY2026 vendió 400.000 libras del programa de uranio físico a un precio medio de 93,13 USD/lb, con un margen bruto de 16,9 millones de USD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Brent 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 de operaciones en EE. UU.</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cargo desde marzo de 2024. Fue presidente de Cameco Resources, al frente de la extracción in situ (ISR) en Wyoming y Nebraska, donde la producción superó los 2,6 millones de libras, y después consejero delegado de Rare Element Resources [36]. Con él se reanudó la extracción en Burke Hollow y se terminaron los pozos 10-ext., 11 y 12 de Christensen Ranch en FY2026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operativos de la tabla de incentivos publicada: iniciar la puesta en marcha en Wyoming, iniciar la construcción de Burke Hollow (Texas) y completar una evaluación económica inicial de Roughrider (Saskatchewan)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cumplieron los tres objetivos y la puntuación fue «Breakthrough». Christensen Ranch produjo 129.966 libras en la fase de puesta en marcha [2,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objetivos operativos: casetas de cabecera en los pozos 10-ext., 11 y 12 y planta de Irigaray en dos turnos 24/7; terminar Burke Hollow y empezar a operar; avanzar los permisos y el estudio de la planta de Sweetwater; perforación de delimitación en Roughrider para el estudio de prefactibilidad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cumplieron tres de los cuatro objetivos. Sweetwater quedó con «avance sustancial» y aún se estudia la reforma de la planta. Burke Hollow empezó a producir en abril de 2026 (17.352 libras en tres meses) y la producción total del ejercicio fue de 229.294 libras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balance de la tabla de incentivos: activos líquidos (caja, acciones cotizadas y uranio físico a valor de mercado) de 100 millones de USD como objetivo y 150 millones como máximo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752,8 millones de USD a 31 de julio de 2026 [1]. El objetivo quedó muy por debajo de la posición de partida [1,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con experiencia en el sector. Adnani es primer ejecutivo desde la fundación en 2005, Melbye vicepresidente ejecutivo desde 2014 y Abraham preside el consejo desde 2017. El único relevo reciente es el de la dirección financiera: en octubre de 2024 entró Josephine Man, que venía de dirigir las finanzas de Uranium Royalty Corp. [36]. La dedicación es parcial en la cúpula: Adnani copreside GoldMining y preside URC, y Melbye es consejero delegado de URC [36]. La empresa no publica una guía cuantitativa de producción ni de costes. Los únicos objetivos anuales verificables son los de su tabla de incentivos, que se cumplieron por completo en FY2025 y en parte en FY2026, y la producción sigue en fase de puesta en marcha: 229.294 libras en FY2026 [1, 36]. El comité de nombramientos tiene encomendada la sucesión, pero no se publica un plan de sucesión del primer ejecutivo [36].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Amir Adnani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consejero delegado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Abraham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de las cuatro comisiones permanentes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Kong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Auditoría; vocal de Retribuciones, Nombramientos y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Vincent Della Volpe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Retribuciones; vocal de Auditoría y de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Gloria Ballesta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Nombramientos y Gobierno; vocal de Auditoría,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Trecia Canty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 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(COSO 2013) a 31-jul-26; asunto clave de auditoría: indicios de deterioro de los activos de larga vida (708,0 M de derechos mineros y 72,3 M de inmovilizado)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su 13G/A del 15 de mayo de 2026; ya figuraba con el 15,4 % en el proxy de junio de 2026 [1,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5,1 % (proxy de junio de 2026) al 6,4 % (13G del 7 de agosto de 2026) [1,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procede de un 13G/A de enero de 2024: es antiguo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X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ETF (Global X Uranium ETF)</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del 17 de febrero de 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 Eck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ETF</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como accionista significativo con un 13G del 14 de agosto de 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del 28 de abril de 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(9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2,1 % (junio de 2026) al 1,9 % (septiembre de 2026). El primer ejecutivo tiene el 1,1 % [1,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autocartera: el capital emitido coincide con el capital en circulación, 495.584.665 acciones a 15 de septiembre de 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retribución total del primer ejecutivo, Amir Adnani, fue de 9,28 millones de USD en FY2026, frente a 6,36 millones en FY2025 y 5,37 millones en FY2024 [1, 36]. Equivale a 134 veces la retribución mediana de la plantilla (69.375 USD), frente a 93 veces el año anterior [1, 36]. El variable anual es del 110 % del fijo y se mide con una tabla de cuatro bloques: objetivos operativos (35 %), activos líquidos (20 %), siniestralidad (10 %) y desarrollo de negocio (35 %), que fue el lanzamiento de UR&amp;C. El tope es el 200 % y el comité puede ajustarlo un 20 % a su criterio [1]. Los objetivos son poco exigentes: el de activos líquidos era de 100 millones de USD y se cerró en 752,8 millones [1]. El variable a largo plazo son PRSU ligadas al TSR relativo. En FY2026 el comité modificó a mitad de periodo las PRSU de FY2023 y FY2024, con libertad para elegir el multiplicador, y las de FY2023 cobraron el 200 % (421.795 acciones para el primer ejecutivo) [1]. Hay cláusula de recuperación desde noviembre de 2023, que solo aplica si se reexpresan las cuentas. Si no se le renueva el contrato, el primer ejecutivo cobra cuatro meses de cuota por cada año desde 2009, más el bonus medio y la consolidación de todas sus acciones [1, 36].</w:t>
      </w:r>
    </w:p>
    <w:p>
      <w:pPr>
        <w:pStyle w:val="Heading2"/>
      </w:pPr>
      <w:r>
        <w:t xml:space="preserve">Operaciones vinculadas, estructura de control y defensas</w:t>
      </w:r>
    </w:p>
    <w:p>
      <w:pPr>
        <w:spacing w:after="100"/>
      </w:pPr>
      <w:r>
        <w:t xml:space="preserve">No hay accionista de control: el mayor es T. Rowe Price, con el 15,4 %, seguido de gestoras de índices y de ETF de uranio, y el consejo y la dirección tienen el 1,9 % [1]. Hay una sola clase de acciones, con un voto por acción y sin voto acumulativo; el quórum de la junta es solo un tercio del capital [36]. El capital autorizado es de 750 millones de acciones, frente a 495,6 millones emitidas [1]. La mayor operación vinculada es indirecta y la empresa no la declara como tal. En abril de 2026 UEC pagó 40 millones de USD por recibos de suscripción de Uranium Royalty Corp. a 3,64 USD (10.989.011 títulos), para financiar una compra de URC, y registró una pérdida de 9,9 millones al convertirlos [1, 42]. URC la preside el primer ejecutivo de UEC y la dirige su vicepresidente ejecutivo, y la directora financiera de UEC fue la de URC hasta 2025 [36]. El 10-K dice que en FY2026 no hubo operaciones vinculadas de más de 120.000 USD [1]. Hay pagos menores a Blender Media, controlada por un familiar del primer ejecutivo: 28.509 USD en FY2025 [36].</w:t>
      </w:r>
    </w:p>
    <w:p>
      <w:pPr>
        <w:pStyle w:val="Heading2"/>
      </w:pPr>
      <w:r>
        <w:t xml:space="preserve">Señales de alerta</w:t>
      </w:r>
    </w:p>
    <w:p>
      <w:pPr>
        <w:pStyle w:val="ListParagraph"/>
        <w:numPr>
          <w:ilvl w:val="0"/>
          <w:numId w:val="2"/>
        </w:numPr>
        <w:spacing w:after="60"/>
      </w:pPr>
      <w:r>
        <w:t xml:space="preserve">Dilución continua: el capital pasó de 454,0 a 495,6 millones de acciones en FY2026 (+9,2 %). Esa subida sale de las ventas en el mercado (programas ATM: 21,2 millones de acciones por 292,6 millones de USD brutos), de una ampliación de 17,8 millones de acciones a 13,15 USD en octubre de 2025 y de acciones de Canadá con ventaja fiscal (flow-through) [1]. Las acciones medias diluidas pasaron de 128,2 millones en FY2017 a 484,4 millones en FY2026, unas 3,8 veces [1].</w:t>
      </w:r>
    </w:p>
    <w:p>
      <w:pPr>
        <w:pStyle w:val="ListParagraph"/>
        <w:numPr>
          <w:ilvl w:val="0"/>
          <w:numId w:val="2"/>
        </w:numPr>
        <w:spacing w:after="60"/>
      </w:pPr>
      <w:r>
        <w:t xml:space="preserve">Programa ATM vigente de 600 millones de USD con Goldman Sachs (noviembre de 2025), del que se han usado 190,6 millones. Quedan unos 409 millones disponibles (estimación propia: 600 − 190,6). No se vendieron acciones después del 31 de julio de 2026 [1].</w:t>
      </w:r>
    </w:p>
    <w:p>
      <w:pPr>
        <w:pStyle w:val="ListParagraph"/>
        <w:numPr>
          <w:ilvl w:val="0"/>
          <w:numId w:val="2"/>
        </w:numPr>
        <w:spacing w:after="60"/>
      </w:pPr>
      <w:r>
        <w:t xml:space="preserve">Operación con una empresa vinculada a la cúpula: 40 millones de USD en recibos de suscripción de Uranium Royalty Corp. (presidida por el primer ejecutivo y dirigida por el vicepresidente ejecutivo) en abril de 2026, con una pérdida de 9,9 millones, sin que el 10-K la declare como operación vinculada [1, 42]. UEC tenía el 7,7 % de URC tras su traslado a Delaware (13D del 28 de julio de 2026) y controla el 36,8 % de Anfield Energy (13D de enero de 2026) [41, 43].</w:t>
      </w:r>
    </w:p>
    <w:p>
      <w:pPr>
        <w:pStyle w:val="ListParagraph"/>
        <w:numPr>
          <w:ilvl w:val="0"/>
          <w:numId w:val="2"/>
        </w:numPr>
        <w:spacing w:after="60"/>
      </w:pPr>
      <w:r>
        <w:t xml:space="preserve">Retribución del primer ejecutivo +46 % en FY2026 (9,28 millones de USD). La relación con el salario mediano sube de 93 a 134 veces [1, 36]. Los objetivos del variable anual son fáciles: activos líquidos con objetivo de 100 millones de USD frente a 752,8 millones reales. En FY2026 se modificaron con discrecionalidad las PRSU de FY2023 y FY2024 a mitad de periodo [1].</w:t>
      </w:r>
    </w:p>
    <w:p>
      <w:pPr>
        <w:pStyle w:val="ListParagraph"/>
        <w:numPr>
          <w:ilvl w:val="0"/>
          <w:numId w:val="2"/>
        </w:numPr>
        <w:spacing w:after="60"/>
      </w:pPr>
      <w:r>
        <w:t xml:space="preserve">Sin compras ni ventas en mercado de consejeros y directivos en los últimos 12 meses: los Form 4 solo recogen entregas de acciones, retenciones fiscales, un ejercicio de opciones de Melbye (125.000 a 0,94 USD) y una donación de 185.000 acciones del primer ejecutivo (31-jul-2026) [40]. El 31-jul-2026 se presentaron también Form 4/A que corrigen operaciones de 2023-2025 [40].</w:t>
      </w:r>
    </w:p>
    <w:p>
      <w:pPr>
        <w:pStyle w:val="ListParagraph"/>
        <w:numPr>
          <w:ilvl w:val="0"/>
          <w:numId w:val="2"/>
        </w:numPr>
        <w:spacing w:after="60"/>
      </w:pPr>
      <w:r>
        <w:t xml:space="preserve">Consejo con mucha antigüedad y vínculos cruzados. Della Volpe (84 años) lleva desde 2007 y Kong (80) desde 2011, y ambos se consideran independientes [1]. Kong y Ballesta son consejeros de GoldMining, que copreside el primer ejecutivo [36]. Canty es directora jurídica de PBF Energy, donde el presidente Abraham es consejero [36]. No hay consejero independiente coordinador desde mayo de 2024, aunque la presidencia del consejo es independiente [36].</w:t>
      </w:r>
    </w:p>
    <w:p>
      <w:pPr>
        <w:pStyle w:val="ListParagraph"/>
        <w:numPr>
          <w:ilvl w:val="0"/>
          <w:numId w:val="2"/>
        </w:numPr>
        <w:spacing w:after="60"/>
      </w:pPr>
      <w:r>
        <w:t xml:space="preserve">Informe bajista de Spruce Point Capital (18 de septiembre de 2025), que señalaba los vínculos del primer ejecutivo con personas sancionadas por la regulación de valores, la falta de reservas probadas, inspecciones en Texas, unos honorarios de auditoría bajos y la rotación del auditor; estimaba una caída del 65-85 % [44]. Las acusaciones no están verificadas en fuentes primarias. Los honorarios de auditoría de PwC, auditor desde 2020, fueron de 433.000 USD en FY2026 [1].</w:t>
      </w:r>
    </w:p>
    <w:p>
      <w:pPr>
        <w:pStyle w:val="ListParagraph"/>
        <w:numPr>
          <w:ilvl w:val="0"/>
          <w:numId w:val="2"/>
        </w:numPr>
        <w:spacing w:after="60"/>
      </w:pPr>
      <w:r>
        <w:t xml:space="preserve">En junio de 2024, tras unos resultados por debajo de lo esperado y una caída del 8,1 % en bolsa, hubo investigaciones de bufetes de demandantes (Bronstein, Gewirtz &amp; Grossman; Pomerantz) [45]. El 10-K de FY2026 no recoge ningún litigio relevante pendiente [1].</w:t>
      </w:r>
    </w:p>
    <w:p>
      <w:pPr>
        <w:pStyle w:val="ListParagraph"/>
        <w:numPr>
          <w:ilvl w:val="0"/>
          <w:numId w:val="2"/>
        </w:numPr>
        <w:spacing w:after="60"/>
      </w:pPr>
      <w:r>
        <w:t xml:space="preserve">La empresa no publica una guía cuantitativa de producción ni de costes. La producción sigue en puesta en marcha (229.294 libras en FY2026) y no tiene reservas probadas ni probables según la norma S-K 1300 [1].</w:t>
      </w:r>
    </w:p>
    <w:p>
      <w:pPr>
        <w:pStyle w:val="ListParagraph"/>
        <w:numPr>
          <w:ilvl w:val="0"/>
          <w:numId w:val="2"/>
        </w:numPr>
        <w:spacing w:after="60"/>
      </w:pPr>
      <w:r>
        <w:t xml:space="preserve">Más votos retenidos al primer ejecutivo en la junta de julio de 2026: 21,3 millones de votos (6,96 % de los emitidos), frente al 1,00 % de 2025 [37, 38]. El voto consultivo sobre retribución salió con el 97,13 % a favor en 2024, el 94,96 % en 2025 y el 97,9 % en 2026 [37, 38, 39].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UEC no publica una guía cuantitativa de producción, ventas ni costes. El 10-K de FY2026 (presentado a finales de septiembre de 2026) dice que la fase de puesta en marcha de Christensen Ranch (Wyoming) y de Burke Hollow (Texas, en operación desde abril de 2026) seguirá mientras se construyen nuevas áreas de producción en 2026 y 2027, con una capacidad licenciada de unos 12,1 M lb/año en sus plataformas de Wyoming y el sur de Texas [1]. En FY2026 produjo 229.294 lb de U3O8 (211.942 en Irigaray y 17.352 en Hobson) y vendió de su inventario comprado [1]. En Roughrider (Saskatchewan) prepara un estudio de prefactibilidad con Tetra Tech y en agosto de 2026 firmó un acuerdo con SaskPower para la línea eléctrica [1]. La presentación de junio de 2026 cita para Sweetwater un AISC de 20,48 USD/lb en su evaluación inicial (PEA)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(LSEG), 7 analistas en ventas y 5 en BPA; rango BPA −0,34/−0,14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(LSEG), 10 analistas en ventas y 5 en BPA; rango BPA −0,21/+0,08 [47]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 26,75</w:t>
            </w:r>
          </w:p>
        </w:tc>
      </w:tr>
    </w:tbl>
    <w:p>
      <w:pPr>
        <w:spacing w:after="160" w:before="0"/>
      </w:pPr>
    </w:p>
    <w:p>
      <w:pPr>
        <w:pStyle w:val="Heading2"/>
      </w:pPr>
      <w:r>
        <w:t xml:space="preserve">Revisiones de estimaciones</w:t>
      </w:r>
    </w:p>
    <w:p>
      <w:pPr>
        <w:spacing w:after="100"/>
      </w:pPr>
      <w:r>
        <w:t xml:space="preserve">Las estimaciones se han recortado. El BPA de FY2027 ha bajado de −0,107 USD hace 90 días a −0,234 USD, y el de FY2028, de +0,01 a −0,074 USD [47]. Detrás están dos resultados trimestrales seguidos muy por debajo de lo esperado: el 3T26 (−0,11 USD por acción frente a −0,03 USD, sin ventas en el trimestre) [53, 54] y el 4T26 (−0,12 USD frente a −0,04 USD) [48]. En precios objetivo, Goldman Sachs bajó de 18 a 16 USD en junio [54], National Bank de 16 a 15 USD (5-oct), y las dos coberturas nuevas salen por debajo de la media: Jefferies (Mantener, 11,50 USD, 3-sep) y RBC (Sector Perform, 10 USD, 2-oct). Zacks pasó a Venta fuerte (5-oct) y HC Wainwright mantiene Comprar con 26,75 USD (30-sep) [48, 49]. Solo hay una fuente gratuita con estimaciones completas (Yahoo/LSEG). Investing.com da los mismos 11 analistas, 8/3/0 y el mismo objetivo medio de 16,03 USD [50], y MarketBeat, 8 opiniones (5 comprar, 2 mantener, 1 vender) con una media de 16,75 USD [48]. No hay EBITDA de consenso gratuito, ni BPA o ventas de FY2029.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w:t>
            </w:r>
          </w:p>
        </w:tc>
      </w:tr>
    </w:tbl>
    <w:p>
      <w:pPr>
        <w:spacing w:after="160" w:before="0"/>
      </w:pPr>
    </w:p>
    <w:p>
      <w:pPr>
        <w:spacing w:after="100"/>
      </w:pPr>
      <w:r>
        <w:t xml:space="preserve">UEC ha ido muy por detrás del mercado y de su sector en el último año: −46 % frente a +13 % del S&amp;P 500 y −31 % del ETF de uranio URA [46]. La caída no la explica el precio del uranio. El contado bajó desde los 101 USD/lb de finales de enero, pero se ha estabilizado en 86-90 USD/lb en el tercer trimestre, y el precio a largo plazo marca máximos de 19 años (96-97 USD/lb) [55, 56, 57]. Pesan tres cosas. La primera, dos trimestres seguidos con pérdidas muy por encima de lo esperado (3T26 y 4T26) y unas ventas de FY2026 que bajan de 66,8 a 37,3 M USD [52, 53]. La segunda, la dilución: 41,6 M de acciones nuevas en FY2026 (+9,2 %), con 530 M USD captados [1]. La tercera, la retirada general de las acciones de uranio, por la «sorpresa de precio» de las eléctricas, que han reducido un 15 % la contratación a largo plazo [55], el descuento del 13 % del Sprott Physical Uranium Trust sobre el valor de su uranio [57] y la venta por pérdidas fiscales de final de año [58]. Con una beta de 1,35 y una volatilidad del 78 %, la acción amplifica cada movimiento del sector.</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-22,4 % / -25,8 % / -47,7 % / -47,1 %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-63,5 % / 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2026-12-09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cierre de 13,11 USD del 2-ene al de 20,14 USD del 28-ene (máximo intradía de 20,34 USD el 22-ene) [46], con el uranio al contado en un pico de 101 USD/lb a finales de enero [56]. Cálculo propio con los cierres de Yahoo.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en seis meses, hasta el 10-jun [46]. Las sesiones del 5, 9 y 10 de junio cayeron un 10,5 %, un 15,5 % y un 11,5 % [46]. Los resultados del 3T26 dieron una pérdida de 0,11 USD por acción frente a los 0,03 USD esperados y ninguna venta en el trimestre (20 M USD en el 2T26), porque la empresa decidió guardar el uranio. Goldman Sachs bajó su objetivo de 18 a 16 USD, y el uranio estaba más de un 15 % por debajo de sus máximos de principios de 2026 [53,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 50,7 % en un mes hasta el 27-ago [46], desde el mínimo de julio (9,28 USD semanal). Coincide con el máximo trimestral del uranio al contado (90,49 USD/lb el 27-ago) y con un agosto fuerte para las mineras de uranio (+17,3 % el índice VettaFi, +19,2 % las pequeñas del índice Nasdaq Sprott) [56].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22 % en un mes, hasta mínimos de 52 semanas (6,75 USD intradía el 23-oct según Yahoo; MarketBeat daba 7,25 USD a media sesión) [46, 48]. En Yahoo, la apertura y el cierre del 23-oct son iguales (7,35 USD), lo que conviene comprobar cuando se consolide el dato. El 29-sep, el 4T26 dio una pérdida de 0,12 USD por acción frente a 0,04 USD esperados, aunque con ventas de 17,05 M USD frente a 9 M esperados [48]. FY2026 cerró con una pérdida neta de 137,3 M USD y ventas de 37,3 M USD (66,8 M en FY2025) [52]. Después llegaron coberturas tibias (Jefferies, Mantener a 11,50 USD; RBC, Sector Perform a 10 USD), el paso de Zacks a Venta fuerte y un recorte de National Bank [48]. A esto se suma la debilidad del sector con el uranio estable: Cameco −11 % en un mes, las eléctricas contratando menos y el descuento del SPUT [55, 57, 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UEC suscribe 10,99 M de recibos de Uranium Royalty Corp a 3,64 USD (40 M USD), convertidos en acciones el 27-jul. Al convertirlos registra una pérdida de 9,9 M USD por valor razonable y pasa a tener 28,97 M de acciones de URC (7,6 %)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pérdida de 0,11 USD por acción frente a −0,03 USD de consenso y ninguna venta en el trimestre; unos 488 M USD de caja y sin deuda [53,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baja su objetivo de 18 a 16 USD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inicia cobertura con Mantener y un objetivo de 11,50 USD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ventas de 37,25 M USD (66,84 M en FY2025), pérdida neta de 137,3 M USD (−0,28 USD por acción), 229.294 lb producidas y 752,8 M USD en activos líquidos (caja, acciones cotizadas y uranio a precio de mercado) sin deuda financiera [1, 52]. En el 4T26, pérdida de 0,12 USD por acción frente a 0,04 USD esperados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 Wainwright reitera Comprar con un objetivo de 26,75 USD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RBC inicia cobertura con Sector Perform y un objetivo de 10 USD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Bank Financial baja su objetivo de 16 a 15 USD (mantiene Outperform), y Zacks pasa de Mantener a Venta fuerte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colocación (overhang). El programa ATM de noviembre de 2025 permite vender hasta 600 M USD en acciones; en FY2026 se usaron 190,6 M USD (11,1 M de acciones), y entre el 31-jul y la fecha del 10-K no se vendió ninguna [1]. Por cálculo propio, quedan unos 409 M USD de capacidad, un 11 % de la capitalización. Además, en octubre de 2025 hubo una colocación de 15,5 M de acciones a 13,15 USD (203,8 M USD brutos) [59]. Con 495 M USD de caja, no hace falta usarlo a corto plazo.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El movimiento tiene sobre todo causas propias y de sentimiento del sector, más que un deterioro del uranio. El contado aguanta en torno a 90 USD/lb y el precio a largo plazo está en máximos desde 2007 [56, 57]. En cambio, UEC acumula dos trimestres con pérdidas muy por encima de lo esperado, unas ventas de FY2026 casi a la mitad, una producción todavía pequeña (229.294 lb frente a 12,1 M lb/año de capacidad licenciada) y una dilución del 9 % en el año [1, 52]. No hay ninguna colocación anunciada: el ATM tiene unos 409 M USD de capacidad, pero la caja de 495 M USD lo hace innecesario a corto plazo. La fecha de los resultados del 1T27 (trimestre a 31-oct) no está publicada; por el calendario de la empresa caerían en diciembre, a más de 15 días. Se buscó en el 10-K, MarketBeat, Yahoo Finance y la prensa sectorial de uranio. Ningún punto obliga a esperar, pero la tendencia es bajista y el precio está en mínimos de 52 semanas.</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Los precios son los cierres de Yahoo al último día hábil de julio de cada año [46]. UEC ha tenido EBITDA negativo en todos los ejercicios salvo FY2023 (10,9 M USD con ventas de inventario comprado), y beneficio contable solo en FY2022 (5,3 M USD, por plusvalías financieras). Por eso el EV/EBITDA y el PER de su historia no tienen sentido. El múltiplo con el que cotiza es el valor empresa por libra de recursos o el precio sobre el valor contable: a 7,35 USD, P/VC de 2,65 veces (valor contable de 2,775 USD por acción) [47]. A la espera de cálculo del motor con el precio al cierre de FY2026 (9,60 USD) y el patrimonio de 1.375,1 M USD [1], esa ratio estaba en torno a 3,5 veces (cálculo propio), así que hoy está en la parte baja de los últimos años. No hay proveedor gratuito de múltiplos NTM históricos.</w:t>
      </w:r>
    </w:p>
    <w:p>
      <w:pPr>
        <w:pStyle w:val="Heading1"/>
      </w:pPr>
      <w:r>
        <w:t xml:space="preserve">18. Comparables cotizados</w:t>
      </w:r>
    </w:p>
    <w:p>
      <w:pPr>
        <w:pStyle w:val="Confianza"/>
        <w:spacing w:after="100"/>
      </w:pPr>
      <w:r>
        <w:t xml:space="preserve">Confianza: Media</w:t>
      </w:r>
    </w:p>
    <w:p>
      <w:pPr>
        <w:spacing w:after="100"/>
      </w:pPr>
      <w:r>
        <w:t xml:space="preserve">Productores y promotores de uranio cotizados en Norteamérica y Australia, todos con datos del mismo proveedor (Yahoo Finance/LSEG) al cierre del 23-oct-2026 y convertidos a USD (CAD 0,7141; AUD 0,7038). Cameco, Paladin y Boss son productores con EBITDA positivo. Energy Fuels, enCore y Ur-Energy son productores ISR o convencionales estadounidenses en fase de arranque, como UEC. NexGen y Denison son promotores del Athabasca con recursos comparables a Roughrider. Kazatomprom queda fuera porque Yahoo solo tiene sus cuentas en tenge hasta marzo de 2025 (datos viejos y en otra base), y Uranium Royalty, por ser un modelo de regalías del que además UEC es accionista.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Cameco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NexGen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Denison Mines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Energy Fuels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enCore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Paladin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Boss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 / 27,1x / 43,7x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 / 25,4x / 33,5x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7,9x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-75,6 %</w:t>
            </w:r>
          </w:p>
        </w:tc>
      </w:tr>
    </w:tbl>
    <w:p>
      <w:pPr>
        <w:spacing w:after="160" w:before="0"/>
      </w:pPr>
    </w:p>
    <w:p>
      <w:pPr>
        <w:spacing w:after="100"/>
      </w:pPr>
      <w:r>
        <w:t xml:space="preserve">Fuente única: Yahoo Finance (LSEG) [47]. El valor empresa se calcula como capitalización + deuda total − caja, y no resta inversiones financieras. El EBITDA de los últimos 12 meses es el publicado. No hay EBITDA de consenso gratuito, así que el EV/EBITDA de los próximos 12 meses va vacío. El PER de los próximos 12 meses pondera los ejercicios estimados por los meses que caen en ellos (Cameco y los demás de año natural: 2/12 de 2026 y 10/12 de 2027; Paladin y Boss, a junio: 8/12 de FY2027 y 4/12 de FY2028). Las cuentas en CAD (Cameco, NexGen, Denison) se han pasado a USD; en Paladin se supone que el consenso de BPA está en USD, su divisa de cuentas. Solo Cameco, Paladin y Boss tienen EBITDA positivo, y el resto del sector cotiza por recursos y por precio sobre valor contable. Con P/VC de 2,65 veces, UEC está por debajo de la mediana del grupo (≈ 3,5 veces), por encima de Paladin, Boss y enCore y muy por debajo de NexGen, Denison y Cameco. Su EV/ventas (85 veces) no sirve, porque las ventas son ventas puntuales de inventario. No se ha podido reunir el EV por libra de los comparables con documentos leídos (hueco). Faltan también el ROIC y el EBITDA estimado. Kazatomprom queda fuera (datos viejos en Yahoo).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Rio Tinto en Wyoming (planta de Sweetwater, Red Desert y Green Mountain)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Uranium Energy Corp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175,4 M USD en efectivo (179,6 M con costes) [1] por unos 175 M lb de recursos históricos no conformes a S-K 1300 (42 M en Red Desert y 133 M en Green Mountain) y una planta licenciada de 4,1 M lb/año [60]. Sale a 1,0 USD por libra histórica (cálculo propio). Anunciada el 23-sep-2024 y cerrada el 6-dic-2024.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Roughrider (Athabasca, Saskatchewan)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Uranium Energy Corp (vendedor: Rio Tinto)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M USD en efectivo más 17,8 M acciones de UEC valoradas en 70 M USD [61] (146,2 M USD contables [62]). El recurso histórico era de 58 M lb al 4,73 % de U3O8: 2,59 USD por libra (cálculo propio). Hoy Roughrider forma parte de los 109,9 M lb M&amp;I y 68,4 M lb inferidos de Canadá en el 10-K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UEX Corporation (Canadá)</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Uranium Energy Corp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192,7 M USD, casi toda en acciones de UEC [62]. La nota no da las libras adquiridas («duplica los recursos en todas las categorías»), así que no hay múltiplo por libra con fuente.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Westinghouse Electric Company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Cameco (49 %) y Brookfield Renewable (51 %)</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final de 8.200 M USD (7.900 M anunciados). EBITDA ajustado de 702 M USD en 2022 y una previsión de 690-750 M para 2023 [63]. Salen 11,7 veces el EBITDA de 2022 y 10,9-11,9 veces el previsto para 2023 (cálculo propio). Es servicios nucleares y combustible, no minería: sirve de referencia del valor de control en la cadena nuclear, pero no se aplica a UEC.</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Fission Uranium (Patterson Lake South, Saskatchewan)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Paladin Energy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íntegramente en acciones, valorada en 1.140 M CAD, cerrada el 23-dic-2024 tras la revisión de seguridad nacional de Canadá [64]. La fuente no da la prima ni las libras: múltiplos no disponibles.</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En uranio las compras se miden en USD por libra de recursos, no por EBITDA, porque casi todos los objetivos no producen. Las tres compras de UEC (Roughrider, UEX y Sweetwater) se hicieron con el uranio barato o con activos de grandes grupos que salían del sector, a 1,0-2,6 USD por libra histórica [60, 61]. Hoy el mercado valora a UEC en unos 9 USD por libra total y 13 USD por libra M&amp;I (cálculo propio): el precio ya incluye la prima de un productor estadounidense con plantas licenciadas. La única operación con múltiplo de EBITDA (Westinghouse, 11,7 veces) es de otro negocio. UEC es más compradora que objetivo: el 1,8 % está en manos de directivos, el 90 % de institucionales y la capitalización es de 3.600 M USD [47]. Sus plantas licenciadas en EE. UU. (12,1 M lb/año) y la prohibición de importar uranio ruso desde 2028 [56] la harían atractiva para una gran minera o una eléctrica. No hay noticias de interés. Con los datos disponibles, el método de transacciones no sirve para valorar a UEC (peso 0).</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64 M USD en FY2027e (consenso 63,6) y 150 M en FY2028e (consenso 177,2): pasar de 0,23 a ≈ 1,4 M lb producidas en dos años, cuando el 4T26 anualiza 0,33 M lb [1, 47]. Después, Ludeman y Sweetwater llevan las ventas a ≈ 590 M USD en FY2036e, unos 6 M lb a 100 USD/lb: la mitad de la capacidad licenciada (12,1 M lb). Sin guía de la empresa, es la parte más incierta [11].</w:t>
      </w:r>
    </w:p>
    <w:p>
      <w:pPr>
        <w:keepNext/>
        <w:spacing w:after="100"/>
      </w:pPr>
      <w:r>
        <w:rPr>
          <w:b/>
          <w:bCs/>
        </w:rPr>
        <w:t xml:space="preserve">Márgenes.</w:t>
      </w:r>
    </w:p>
    <w:p>
      <w:pPr>
        <w:spacing w:after="100"/>
      </w:pPr>
      <w:r>
        <w:t xml:space="preserve">Margen EBITDA de −185 % en FY2027e (el desarrollo de pozos, 102 M USD en FY2026, y los gastos generales, 34,5 M, siguen a gasto con pocas ventas), −45 % en FY2028e, positivo desde FY2030e y 42 % en estado estacionario. Cameco y Paladin ganan un 23-25 % [47]; un ISR a 100 USD/lb con coste en efectivo de 34 USD/lb y 20-25 USD/lb de pozos puede llegar al 40-45 %, sin precedente propio.</w:t>
      </w:r>
    </w:p>
    <w:p>
      <w:pPr>
        <w:keepNext/>
        <w:spacing w:after="100"/>
      </w:pPr>
      <w:r>
        <w:rPr>
          <w:b/>
          <w:bCs/>
        </w:rPr>
        <w:t xml:space="preserve">Inversión y circulante.</w:t>
      </w:r>
    </w:p>
    <w:p>
      <w:pPr>
        <w:spacing w:after="100"/>
      </w:pPr>
      <w:r>
        <w:t xml:space="preserve">Capex del 45 % de las ventas en FY2027e (8,8 M USD en FY2026 sobre 37 M de ventas) bajando al 6 % en estado estacionario, por encima de la amortización (5 %). El grueso de la inversión en pozos va en el EBITDA, no en el capex, por cómo contabiliza UEC [1]. Circulante del 100 % al 20 % de las ventas al pasar de inventario comprado a producción propia.</w:t>
      </w:r>
    </w:p>
    <w:p>
      <w:pPr>
        <w:keepNext/>
        <w:spacing w:after="100"/>
      </w:pPr>
      <w:r>
        <w:rPr>
          <w:b/>
          <w:bCs/>
        </w:rPr>
        <w:t xml:space="preserve">Coste del capital.</w:t>
      </w:r>
    </w:p>
    <w:p>
      <w:pPr>
        <w:spacing w:after="100"/>
      </w:pPr>
      <w:r>
        <w:t xml:space="preserve">Tasa libre del 5,00 % (bono del Tesoro a 10 años del 23-oct-2026) [51], beta de 1,35 (mensual de 5 años frente al SPY; la ajustada es 1,23 y la semanal de 2 años 1,60) [46], prima de mercado del 5,5 % y prima adicional de 1 punto por ser un solo producto sin reservas probadas. Sin deuda. Coste de capital: 13,4 %. Con la prima implícita del mercado (4,2 %) baja al 11,7 %.</w:t>
      </w:r>
    </w:p>
    <w:p>
      <w:pPr>
        <w:keepNext/>
        <w:spacing w:after="100"/>
      </w:pPr>
      <w:r>
        <w:rPr>
          <w:b/>
          <w:bCs/>
        </w:rPr>
        <w:t xml:space="preserve">Valor terminal.</w:t>
      </w:r>
    </w:p>
    <w:p>
      <w:pPr>
        <w:spacing w:after="100"/>
      </w:pPr>
      <w:r>
        <w:t xml:space="preserve">Gordon con un 2,5 % de crecimiento (inflación en dólares más algo de volumen), por debajo de la tasa libre menos medio punto. Con recursos de 330 M lb y ≈ 6 M lb al año, la vida de la mina pasa de 50 años: el terminal no es optimista en vida, sí en precio (supone 100 USD/lb siempre).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r>
    </w:tbl>
    <w:p>
      <w:pPr>
        <w:spacing w:after="160" w:before="0"/>
      </w:pPr>
    </w:p>
    <w:p>
      <w:pPr>
        <w:pStyle w:val="Heading2"/>
      </w:pPr>
      <w:r>
        <w:t xml:space="preserve">¿Puede la empresa sostener el crecimiento previsto?</w:t>
      </w:r>
    </w:p>
    <w:p>
      <w:pPr>
        <w:spacing w:after="100"/>
      </w:pPr>
      <w:r>
        <w:rPr>
          <w:b/>
          <w:bCs/>
        </w:rPr>
        <w:t xml:space="preserve">Veredicto: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M (33 %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(ROIC -11,6 %)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capital nuevo tendría que rendir más de 1,25 veces el histórico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129,4 % (histórico: -11,1 %)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(hoy: 0,1 %)</w:t>
            </w:r>
          </w:p>
        </w:tc>
      </w:tr>
    </w:tbl>
    <w:p>
      <w:pPr>
        <w:spacing w:after="160" w:before="0"/>
      </w:pPr>
    </w:p>
    <w:p>
      <w:pPr>
        <w:spacing w:after="100"/>
      </w:pPr>
      <w:r>
        <w:t xml:space="preserve">La proyección reinvierte el 33 % del NOPAT. Con el ROIC del último ejercicio (-11,6 %), eso financia un crecimiento del -3,8 % anual, frente al 37,0 % de ingresos proyectado. Supone que el capital nuevo rinde un 129,4 %, frente a un ROIC incremental histórico del -11,1 %; la cuota de mercado pasaría al 2,7 % desde el 0,1 %.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400.000 lb vendidas (todas de inventario comprado) a ≈ 650.000 lb, en línea con el consenso de ventas de 63,6 M USD [47]; precio realizado de 93,13 a ≈ 100 USD/lb si se mantiene el largo plazo de 96,5-97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ventas de producción propia: Christensen Ranch y Burke Hollow pasan de 82.744 lb en el 4T26 (≈ 330.000 lb anualizadas) a ≈ 1,4 M lb, con nuevas áreas de pozos [1]; el consenso da 177,2 M USD de ventas, por encima de nuestro 150 [47].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Ludeman y más áreas en Texas; ≈ 2,4 M lb a precio plano. No hay guía de la empresa: la dirección se negó a darla el 29-sep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Sweetwater solo si el permiso llega en 2027 (evaluación ambiental en mar-2027, plan de operaciones en may-2027) [1]; ≈ 3,3 M lb, el 27 % de la capacidad licenciada de 12,1 M lb [1].</w:t>
            </w:r>
          </w:p>
        </w:tc>
      </w:tr>
    </w:tbl>
    <w:p>
      <w:pPr>
        <w:spacing w:after="160" w:before="0"/>
      </w:pPr>
    </w:p>
    <w:p>
      <w:pPr>
        <w:spacing w:after="100"/>
      </w:pPr>
      <w:r>
        <w:t xml:space="preserve">«No»: la calidad de UEC no sostiene por sí sola el crecimiento que proyectamos (37 % anual). El ROIC es negativo (−11,6 %) y el crecimiento financiable con él es del −3,8 %: cada libra nueva la paga el accionista con ampliaciones (530 M USD en FY2026). No hay foso: el uranio es una materia prima, el coste publicado (34 USD/lb) no incluye los pozos y los permisos son la única ventaja [1]. La cuota final (2,7 % de un mercado de ≈ 21.500 M USD) es posible por recursos, pero no demostrada. La prueba no puede pasarse rebajando el base, porque el histórico es negativo: el veredicto pesa en la calidad (no se compra) y no en el precio.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37,0 %)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72 % justifica el precio (base: 42,0 %)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 (WACC: 13,4 %)</w:t>
            </w:r>
          </w:p>
        </w:tc>
      </w:tr>
    </w:tbl>
    <w:p>
      <w:pPr>
        <w:spacing w:after="160" w:before="0"/>
      </w:pPr>
    </w:p>
    <w:p>
      <w:pPr>
        <w:spacing w:after="100"/>
      </w:pPr>
      <w:r>
        <w:t xml:space="preserve">El DCF da 2,21 USD por acción, un 70 % por debajo del cierre de 7,35 USD, con un WACC del 13,4 % y el 89 % del valor en el terminal. Con la prima implícita del mercado (WACC 11,7 %) sale 2,61. Los escenarios van de 1,23 a 3,57 USD: ni el alcista (crecimiento 8 puntos mayor cada año y 5 puntos más de margen) se acerca al precio. El DCF inverso no tiene solución en un rango razonable, porque el valor apenas responde al crecimiento con tres años de quema de caja; la lectura útil es la rentabilidad implícita: comprando a 7,35 USD y con nuestros flujos, el accionista ganaría un 5,9 % anual, menos que el coste de capital (13,4 %) y que lo que pide el mercado (11,7 %). Dicho de otro modo, el precio descuenta un uranio más caro, más volumen o una compra estratégica. Contraste por recursos: el mercado paga 13,0 USD por libra medida e indicada en el suelo, frente a 1,0-2,6 USD/lb en las compras de Sweetwater y Roughrider [60, 61].</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rampa se atasca como en el 3T26 (32.195 lb en un trimestre) y el uranio vuelve a 65-70 USD/lb, como en marzo de 2025: crecimiento 12 puntos menor cada año y margen 8 puntos menor, con más ampliaciones.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Christensen Ranch y Burke Hollow llegan a ≈ 1,4 M lb en FY2028e, Ludeman y Sweetwater entran en 2029-2031 y el uranio se queda en torno a 100 USD/lb; la empresa alcanza el beneficio operativo en FY2030e.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Gobierno de EE. UU. paga prima por el uranio nacional (NNSA, reserva estratégica) y Sweetwater se adelanta: crecimiento 8 puntos mayor y 5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USD) · precio actual 7,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2,31 USD (-68,6 %).</w:t>
      </w:r>
    </w:p>
    <w:p>
      <w:pPr>
        <w:spacing w:after="100"/>
      </w:pPr>
      <w:r>
        <w:t xml:space="preserve">Los tres escenarios quedan muy por debajo del precio: bajista 1,23 USD (−83,3 %), base 2,21 (−69,9 %) y alcista 3,57 (−51,4 %). La asimetría es negativa (−0,62): no hay escenario razonable en el que el DCF gane dinero a 7,35 USD. El precio solo se justifica con supuestos fuera de nuestro rango: un uranio por encima de 120 USD/lb sostenido, la capacidad licenciada entera (12,1 M lb) en producción o una compra por un tercero que pague el recurso en el suelo.</w:t>
      </w:r>
    </w:p>
    <w:p>
      <w:pPr>
        <w:pStyle w:val="Heading1"/>
      </w:pPr>
      <w:r>
        <w:t xml:space="preserve">22. Suma de partes</w:t>
      </w:r>
    </w:p>
    <w:p>
      <w:pPr>
        <w:pStyle w:val="Confianza"/>
        <w:spacing w:after="100"/>
      </w:pPr>
      <w:r>
        <w:t xml:space="preserve">Confianza: Media</w:t>
      </w:r>
    </w:p>
    <w:p>
      <w:pPr>
        <w:spacing w:after="100"/>
      </w:pPr>
      <w:r>
        <w:t xml:space="preserve">No aplica de forma útil: el segmento corporativo (compraventa de uranio y participaciones) ya está en el puente a valor de mercado (Uranium Royalty, acciones cotizadas) y en el circulante (inventario); el resto es un único negocio minero ISR [A, D].</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USD) · precio actual 7,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spacing w:after="100"/>
      </w:pPr>
      <w:r>
        <w:rPr>
          <w:b/>
          <w:bCs/>
        </w:rPr>
        <w:t xml:space="preserve">Valor intrínseco ponderado (largo plazo):</w:t>
      </w:r>
      <w:r>
        <w:t xml:space="preserve"> 2,26 USD (-69,3 % sobre 7,35).</w:t>
      </w:r>
    </w:p>
    <w:p>
      <w:pPr>
        <w:spacing w:after="100"/>
      </w:pPr>
      <w:r>
        <w:t xml:space="preserve">Pesos: DCF 50 % y escenarios 50 %. Los comparables por múltiplos de beneficio no sirven: UEC no tiene EBITDA ni beneficio, y los productores con beneficio (Cameco, Paladin, Boss) son negocios distintos [47]. Las transacciones son por libra de recurso y llevan prima de control; las usamos de contraste: el mercado paga a UEC 13,0 USD por libra medida e indicada, frente a 1,0 USD/lb de Sweetwater (2024) y 2,6 USD/lb de Roughrider (2022) [60, 61]. El valor intrínseco es de 2,26 USD (−69,3 %). La dispersión es enorme y la confianza baja, pero todos los métodos apuntan al mismo lado: el precio está por encima de lo que vale el negocio con un uranio a 100 USD/lb.</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propia del caso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propia del caso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métrica propia del caso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r>
    </w:tbl>
    <w:p>
      <w:pPr>
        <w:spacing w:after="160" w:before="0"/>
      </w:pPr>
    </w:p>
    <w:p>
      <w:pPr>
        <w:spacing w:after="100"/>
      </w:pPr>
      <w:r>
        <w:rPr>
          <w:b/>
          <w:bCs/>
        </w:rPr>
        <w:t xml:space="preserve">Objetivo a 12 meses (ponderado):</w:t>
      </w:r>
      <w:r>
        <w:t xml:space="preserve"> 7,26 USD · rentabilidad -1,2 % (base +0,1 %) · señal Mantener.</w:t>
      </w:r>
    </w:p>
    <w:p>
      <w:pPr>
        <w:keepNext/>
        <w:spacing w:after="100"/>
      </w:pPr>
      <w:r>
        <w:rPr>
          <w:b/>
          <w:bCs/>
        </w:rPr>
        <w:t xml:space="preserve">Frente al consenso (solo contraste).</w:t>
      </w:r>
    </w:p>
    <w:p>
      <w:pPr>
        <w:spacing w:after="100"/>
      </w:pPr>
      <w:r>
        <w:t xml:space="preserve">Nuestro BPA de FY2028e (−0,13 USD) es peor que el del consenso (−0,07) porque vendemos menos (150 frente a 177,2 M USD) y mantenemos el desarrollo de pozos a gasto [47]. La gran distancia es el precio: nuestro base (7,36 USD) es un 54 % inferior al objetivo medio de los analistas (16,03; rango 10-26,75), que valoran por NAV con descuento del 8 % y un uranio más caro. Los objetivos se están recortando (National Bank de 16 a 15, Goldman de 18 a 16) y las dos últimas coberturas empiezan en Mantener (RBC 10, Jefferies 11,50) [48, 54].</w:t>
      </w:r>
    </w:p>
    <w:p>
      <w:pPr>
        <w:keepNext/>
        <w:spacing w:after="100"/>
      </w:pPr>
      <w:r>
        <w:rPr>
          <w:b/>
          <w:bCs/>
        </w:rPr>
        <w:t xml:space="preserve">Del valor intrínseco al objetivo a 12 meses.</w:t>
      </w:r>
    </w:p>
    <w:p>
      <w:pPr>
        <w:spacing w:after="100"/>
      </w:pPr>
      <w:r>
        <w:t xml:space="preserve">El objetivo a 12 meses es de 7,26 USD (base 7,36; −1,2 % ponderado y +0,1 % en el base) con P/VC, porque el PER no existe con pérdidas. La regla se aplica a mano: base = P/VC actual (2,65) a mitad de camino hacia su mediana de cinco años (3,46) con tope ×1,1; bajista = mínimo de cinco años (2,16); alcista = mediana de comparables (3,5). El valor contable apenas cambia entre escenarios (las pérdidas son parecidas); una ampliación a precios por encima del contable lo subiría. La distancia con el valor intrínseco (2,26 USD, −69 %) dice que, a 12 meses, el mercado puede seguir pagando el recurso por encima de lo que vale el negocio; a largo plazo, el precio necesita más uranio o más volumen del que proyectamos. La tesis no es de 12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9-dic-2026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(10-Q)</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ventas de producción propia y ritmo de Christensen Ranch y Burke Hollow; dos trimestres seguidos con pérdidas muy peores de lo esperado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Evaluación ambiental de Sweetwater (FAST-41) y plan de operaciones en may-2027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la tercera plataforma; sin ella no hay crecimiento más allá de 2029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del Gobierno de EE. UU. (NNSA: ≈ 4 M lb al año de uranio nacional desde 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con prima para el uranio estadounidense; hoy es solo una petición de información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de coste de la planta de conversión (UR&amp;C con Fluor)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inversión y probable ampliación de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por el programa ATM (≈ 409 M USD disponibles)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Dilución del 6-9 % al año como en FY2025-FY2026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continua para pagar la rampa, la conversión y Roughrider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a −9 % por acción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495 M USD de caja y sin deuda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Uso del ATM por debajo de 8 USD o nueva ampliación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Rampa de producción más lenta o cara de lo previsto (ISR en arranque)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del DCF: 1,23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4T26 de 82.744 lb (+157 %) y coste en efectivo de 30 USD/lb</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trimestral por debajo de 100.000 lb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precio del uranio (vuelta a 65 USD/lb, como en mar-2025)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a −50 % en la acción (beta al uranio)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Contratación a largo plazo en máximos de 18 años (96,5-97 USD/lb)</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Largo plazo por debajo de 85 USD/lb</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retribución alta (9,28 M USD al primer ejecutivo, +46 %) y operaciones con Uranium Royalty no declaradas como vinculadas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(descuento de gobierno)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de 6 consejeros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compras a sociedades del grupo Adnani</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político: menos apoyo a lo nuclear o fin de la prohibición del uranio ruso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Apoyo bipartidista y órdenes ejecutivas de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Exenciones de la prohibición rusa más allá de 2027</w:t>
            </w:r>
          </w:p>
        </w:tc>
      </w:tr>
    </w:tbl>
    <w:p>
      <w:pPr>
        <w:spacing w:after="160" w:before="0"/>
      </w:pPr>
    </w:p>
    <w:p>
      <w:pPr>
        <w:pStyle w:val="Heading2"/>
      </w:pPr>
      <w:r>
        <w:t xml:space="preserve">Pre-mortem</w:t>
      </w:r>
    </w:p>
    <w:p>
      <w:pPr>
        <w:spacing w:after="100"/>
      </w:pPr>
      <w:r>
        <w:t xml:space="preserve">Es octubre de 2029 y UEC vale un 40 % menos. La historia más probable empieza en 2027: los nuevos campos de pozos de Christensen Ranch y Burke Hollow rinden menos de lo previsto (como el 3T26, con 32.195 lb en un trimestre) y la producción se queda en 0,5-0,7 M lb al año en vez de 1,4 M. A la vez, las eléctricas siguen retrasando contratos, Kazatomprom recupera volumen y el uranio a largo plazo baja de 97 a 75-80 USD/lb. Sin contratos ni coberturas, UEC vende al contado con poco margen. La planta de conversión necesita más de 1.000 M USD y Sweetwater se retrasa un año en los permisos. Con la caja por debajo de 300 M USD, la empresa usa el ATM a 4-5 USD por acción y el número de acciones pasa de 600 M. Los indicadores que lo habrían avisado: producción trimestral por debajo de 100.000 lb, coste en efectivo por encima de 45 USD/lb, el largo plazo del uranio por debajo de 85 USD/lb y ventas de acciones del ATM por debajo de 8 USD.</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+0 a +5 %</w:t>
      </w:r>
    </w:p>
    <w:p>
      <w:pPr>
        <w:spacing w:after="100"/>
      </w:pPr>
      <w:r>
        <w:t xml:space="preserve">La IA no puede sustituir el uranio ni la extracción ISR. Su efecto es indirecto y va a favor: los centros de datos disparan la demanda de electricidad estable, y las grandes tecnológicas firman contratos con centrales nucleares y apoyan la ampliación de su vida y los reactores modulares (SMR), lo que sostiene la demanda de uranio a largo plazo [17]. El riesgo es que ese viento de cola ya esté en el precio de la acción y en el del uranio, y que la demanda tarde más de lo esperado (los SMR no llegan antes de 2030). En la operación, la IA puede abaratar algo la exploración y el control de los campos de pozos, sin cambiar el negocio. Señal a vigilar: contratos de suministro nuevos de las eléctricas de EE. UU. ligados a centros de datos.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ESG 23,8 (riesgo medio); primera minera de uranio y percentil 5 superior de su subindustria según la empresa [35]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2024-09</w:t>
            </w:r>
          </w:p>
        </w:tc>
      </w:tr>
    </w:tbl>
    <w:p>
      <w:pPr>
        <w:spacing w:after="160" w:before="0"/>
      </w:pPr>
    </w:p>
    <w:p>
      <w:pPr>
        <w:pStyle w:val="Heading2"/>
      </w:pPr>
      <w:r>
        <w:t xml:space="preserve">Asuntos materiales</w:t>
      </w:r>
    </w:p>
    <w:p>
      <w:pPr>
        <w:spacing w:after="100"/>
      </w:pPr>
      <w:r>
        <w:t xml:space="preserve">El asunto que más pesa en las cifras es la restauración: la estimación total de los costes de recuperación de todos los proyectos es de 93,92 M USD, el pasivo contable por retiro de activos es de 43,14 M USD y hay 64,27 M USD de avales de caución, de los que solo 1,89 M están respaldados con caja restringida; el regulador puede exigir más garantías en cualquier momento [1]. Cada unidad ISR debe devolver el acuífero a su calidad previa y vigilarlo al menos un año [1]. El segundo asunto es el legado de Sweetwater: entre 1983 y 1985 la rotura de la lámina de la balsa de estériles vertió unos 55 M de galones de fluidos a un acuífero superficial, y sigue en marcha un programa de acción correctiva [1]. La ISR, sin voladuras ni estériles, tiene menos impacto que la minería convencional [1].</w:t>
      </w:r>
    </w:p>
    <w:p>
      <w:pPr>
        <w:pStyle w:val="Heading2"/>
      </w:pPr>
      <w:r>
        <w:t xml:space="preserve">Controversias</w:t>
      </w:r>
    </w:p>
    <w:p>
      <w:pPr>
        <w:spacing w:after="100"/>
      </w:pPr>
      <w:r>
        <w:t xml:space="preserve">El 10-K del FY2026 no recoge litigios materiales [1]. Hay tres asuntos abiertos. Varios permisos de Goliad (pozos de inyección clase III, autorización de área de producción, exención de acuífero y pozos de vertido) están recurridos y pendientes de resolución administrativa o judicial [1]. En Paraguay, el regulador minero (MOPC) sostiene que parte de las concesiones de Yuty, Alto Paraná y Coronel Oviedo no pueden prorrogarse, y UEC ha recurrido [1]. En Sweetwater sigue en vigor el programa de acción correctiva heredado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$UEC)</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los resultados del 29 de septiembre dominaba el entusiasmo (rampa de producción, caja sin deuda, ventas sin cobertura, demanda del Gobierno de EE. UU.); desde mediados de octubre conviven mensajes de compra en la caída y «suelo cercano» con otros de capitulación, objetivos de 5 USD y quejas de manipulación. Las etiquetas alcistas siguen siendo mayoría, pero el contenido es cada vez más de rendición [66].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de colaboradores)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titulares de los análisis de agosto y septiembre son mayoritariamente escépticos: la operativa mejora, pero la acción «todavía descuenta demasiado», y la dilución sigue lastrando el camino a la rentabilidad; una voz minoritaria elogia la audacia de la estrategia. No se pudo leer el texto ni los comentarios (acceso bloqueado), solo titulares y fechas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Presentan a UEC como la apuesta de mayor riesgo y mayor recompensa dentro del combustible nuclear: productor nuevo cuyo resultado depende de la velocidad de la rampa de sus minas ISR, y totalmente expuesto al precio spot por no cubrir ventas; en la comparación directa prefieren Cameco por su integración [68, 69,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24/7 Wall St (prensa con debate sectorial)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Señala la paradoja que más se repite: el uranio en máximos de 19 años y las acciones nucleares hundiéndose, porque las eléctricas retrasan la firma de contratos a largo plazo; UEC aparece entre las peores del año pese a vender inventario a precios altos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 y Simply Wall St (comentario financiero)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Reconocen el colchón de liquidez y la posición estratégica en la cadena doméstica (prohibición del uranio ruso, demanda de la NNSA, conversión), pero subrayan que no hay guía de producción, que el coste a escala de Burke Hollow está por probar, que los ingresos de 2026 vinieron de vender inventario y que la valoración exige un crecimiento muy fuerte con dilución esperada [71, 72].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(titulares agregados)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flujo de titulares de octubre se desplaza de la rampa de producción y las coberturas iniciadas por RBC y Jefferies (neutras) a sucesivos mínimos de 52 semanas, rebaja a «Strong Sell» en Zacks y piezas que preguntan si la acción descuenta un futuro que aún no ha construido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Uranio en máximos, acción en mínimos: ¿desconexión o señal?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alcistas lo leen como oportunidad o manipulación; la prensa lo explica por la falta de contratación a largo plazo de las eléctricas y la rotación fuera del tema nuclear [55, 66]. El análisis debe contrastarlo con los precios realizados y la sensibilidad al spot del 10-K: la caída es sectorial (Cameco, Denison, Oklo también caen), no solo de UEC [55].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 sin deuda e inventario físico como red de seguridad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argumento más repetido en Stocktwits [66] y lo recoge también la prensa [71]. Es correcto en lo cualitativo, pero hay que comprobar las cifras de caja e inventario en el 10-K FY2026 (no en el foro) y recordar que la caja procede en buena parte de ampliaciones de capital, lo que enlaza con la dilución.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y pérdidas persistentes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crítica central de los analistas de Seeking Alpha y de Simply Wall St, que espera más acciones en circulación [67, 72]. Los particulares apenas lo mencionan: es un riesgo que el foro infravalora y que el análisis debe cuantificar con el histórico de acciones emitidas y los factores de riesgo del 10-K FY2026 (dependencia de financiación externa).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rampa ISR (Christensen Ranch, Burke Hollow) sin guía de producción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celebra el fuerte aumento trimestral de producción; la prensa señala que la base aún es pequeña, que los costes a escala no están probados y que la dirección no da guía porque las autorizaciones no dependen de ella [68, 71]. Coincide con la cautela de las coberturas neutras iniciadas en septiembre-octubre [73].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Viento de cola político: suministro doméstico, NNSA, conversión y consejo de seguridad nacional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lo ven como catalizador inminente [66]; la prensa lo trata como opción a largo plazo que no elimina la exposición al precio ni las pérdidas, y la conversión aún está en fase de estimación de costes [71, 72]. Es un catalizador real pero lejano (la demanda de la NNSA se plantea desde 2030).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exigente frente a ingresos actuales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independientes y comentaristas insisten en que el precio descuenta un futuro aún no construido [67, 71, 72]; el foro, en cambio, señala objetivos muy por encima del precio. La caída del 47 % en 12 meses ha corregido parte del exceso, y el DCF del informe dirá si ya queda margen.</w:t>
            </w:r>
          </w:p>
        </w:tc>
      </w:tr>
    </w:tbl>
    <w:p>
      <w:pPr>
        <w:spacing w:after="160" w:before="0"/>
      </w:pPr>
    </w:p>
    <w:p>
      <w:pPr>
        <w:spacing w:after="100"/>
      </w:pPr>
      <w:r>
        <w:t xml:space="preserve">El sentimiento minorista está en fase de </w:t>
      </w:r>
      <w:r>
        <w:rPr>
          <w:b/>
        </w:rPr>
        <w:t xml:space="preserve">capitulación incipiente</w:t>
      </w:r>
      <w:r>
        <w:t xml:space="preserve">: tras el optimismo de los resultados de finales de septiembre, la caída del último mes ha llevado a muchos particulares a promediar a la baja, rendirse o fijar objetivos de 5 USD, aunque las etiquetas alcistas siguen siendo mayoría [66]. Los análisis independientes eran escépticos desde antes por valoración y dilución [67, 72], de modo que la caída les da la razón más que contradecirlos. Para la decisión aporta dos cosas: la paradoja uranio alto y acción baja es sectorial y ligada a la contratación de las eléctricas [55], y el riesgo de dilución, poco presente en el foro, merece peso en el análisis. La capitulación puede ser señal contraria, pero solo si las cifras de valoración la respaldan.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20 controles correctos y 5 explicados. Fuentes: 74 (34 primarias); citas distintas en el texto: 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Con pérdidas hasta FY2029e el valor apenas responde al crecimiento dentro del rango del motor: ningún crecimiento razonable de 2027e-2036e iguala el precio. La rentabilidad implícita (5,9 % anual con nuestros flujos) es la lectura útil.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«No» y las pruebas del motor dan «En parte» (el capital nuevo tendría que rendir más de 1,25 veces el histórico):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129,4 % frente a un ROIC de -11,6 % y un incremental histórico de -11,1 %: crecimiento que la empresa no ha demostrado poder comprar. Explicación: El ROIC histórico es negativo (−11,6 % en FY2026) porque la empresa está en arranque y lleva el desarrollo a gasto; cualquier proyección con beneficios supone un capital nuevo que rinde mucho más que el pasado. Por eso el veredicto de sostenibilidad es «No» y no se puede «rebajar hasta que pase»: el caso base ya es más prudente que el consenso en ventas de FY2028e (150 frente a 177,2 M USD) [47].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2,7 % en 2036e frente al 0,1 %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100,0 % frente a 129,2 % real: genera una variación de circulante de 15 M en el primer año. Converge de forma gradual. Explicación: El circulante de FY2026 (129 % de las ventas) lo inflan 1,256 M lb de uranio comprado y unas ventas de solo 37 M USD; converge al 20 % cuando las ventas son de producción propia.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89 %. Explicación: Una minera en arranque quema caja los primeros tres años (−162, −116 y −47 M USD de flujo libre) y todo el valor está después; el 89 % es inevitable y es una razón más para la confianza baja del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(-0,13) supone un n.d. % anual desde 0,02 (FY2022): explícalo en valoracion.objetivo_12m.comentario o la confianza es baja. Explicación: El BPA es negativo en el último real (−0,28 USD) y en 2028e (−0,13); el objetivo a 12 meses se hace con P/VC, no con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fuentes (34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Secundaria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10-K FY2026: solo da activos de larga vida por país (EE. UU. 390,4 M, Canadá 374,5 M, otros 15,4 M), no ingresos; 2) nota de ingresos y clientes principales: clientes anónimos (A-F) sin país; 3) 10-K FY2025 y notas de prensa: tampoco publican el destino de las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trimestrales: no citan consenso; 2) 10-Q: no aplica; 3) no hay fuente gratuita fiable de consenso trimestral previo leída en el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(preguntas de la conferencia del 3T)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9-jun-26: sin transcripción; 2) GuruFocus: transcripción de pago, solo puntos clave; 3) Intellectia y Equibles en resultados de búsqueda, sin abrir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3T se resume solo con los mensajes de la dirección)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FY2017-FY2019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XBRL companyfacts: sin dato de BPA diluido esos años; 2) 10-K FY2023 y FY2024: no cubren esos ejercicios; 3) no se descargaron los 10-K FY2017-FY2019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FY2021-FY2022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segmentación vigente (ASU 2023-07) solo desde FY2024; 2) 10-K FY2025: reexpresa FY2023; 3) los 10-K anteriores usan otra segmentación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EV/recursos de los comparables (NexGen, Energy Fuels, enCore, Ur-Energy, Paladin, Boss, Kazatomprom)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recursos de cada empresa: solo se leyó el de Denison; 2) XBRL de la SEC: da acciones pero no recursos ni la deuda neta a la fecha; 3) prensa sectorial: sin tabla homogénea y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capitalización/libra de UEC y Denison como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en USD y margen EBIT de Kazatomprom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Kazatomprom: no descargado por tiempo; 2) Freedom Broker: solo ingresos en KZT y beneficio neto; 3) WNN: solo producción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(ingresos y margen en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Paladin, Boss y Denison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Paladin y Boss no publican EBIT en la nota (sí margen bruto y beneficio neto); 2) XBRL: no aplica a ASX; 3) Denison: ingresos de 4,9 M CAD, margen sin sentido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margen bruto o beneficio neto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conversión y enriquecimiento a octubre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UxC: precios solo con registro; 2) Cameco MD&amp;A 2T26 y Centrus 10-Q 2T26: datos a 30-jun-2026; 3) prensa: sin cifra fiable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los de 30-jun-2026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ISS y CDP; calificación de Sustainalytics actualizada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Sustainalytics web: no muestra la puntuación sin JavaScript; 2) 8-K de UEC de 2024: 23,8; 3) búsqueda de MSCI/ISS: sin página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Sustainalytics de sep-2024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(guía cuantitativa de producción, ventas y costes)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FY2026 y FY2025: sin guía numérica de producción ni de costes, solo «ramp-up»; 2) proxy de 2026 y 10-K de FY2026: tablas de objetivos del variable anual de FY2025 y FY2026, usadas como objetivos publicados; 3) búsqueda web de una guía en notas de prensa: no se encontró ninguna cifra en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Seguimiento del informe de Spruce Point e investigaciones de bufetes (si derivaron en demanda)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FY2026, punto 3 (Legal Proceedings): sin litigios relevantes; 2) búsqueda web de una demanda colectiva o derivada en 2025-2026: solo anuncios de investigación de 2024; 3) informe de Spruce Point en Hedge Fund Alpha: acusaciones sin contrastar en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ev_lb_recursos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corporativa de UEC de junio de 2026 (sin tabla de pares por libra); 2) búsqueda web de tablas de transacciones y pares por libra (solo prensa sin cifras de recursos); 3) cálculo propio: imposible sin los recursos de cada comparable leídos en sus informes técnicos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se calcula el de UEC: 9,08 USD/lb total y 13,03 USD/lb M&amp;I)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Yahoo/LSEG (no da EBITDA estimado); 2) Investing.com (no muestra estimaciones en la página gratuita); 3) MarketScreener no buscado por presupuesto; el EBITDA es negativo en 5 de 8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Kazatomprom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KAP.IL: cuentas en tenge hasta mar-2025 y sin capitalización; 2) consenso de Yahoo vacío; 3) no se ha buscado el informe anual de 2025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(excluido de la lista)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FY2029e y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Yahoo/LSEG (solo FY2027-FY2028, sin EBITDA); 2) Investing.com (sin cifras en abierto); 3) MarketBeat (solo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por libra de UEX y de Paladin-Fission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UEC de 2022 (no dan las libras de UEX); 2) prensa sobre Paladin-Fission (Mining Weekly, Castanet: sin recursos ni prima); 3) no se ha abierto la circular de Fission en SEDAR+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FY2026 (no da fecha); 2) MarketBeat y Yahoo (sin fecha confirmada); 3) no hay comunicado de convocatoria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(r/UraniumSqueeze, r/stocks)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reddit.com search.json: 403; 2) old.reddit.com búsqueda: 403 y RSS del subreddit: 429; 3) WebFetch de reddit.com: sitio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Texto y comentarios de lectores de los análisis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curl de la página del artículo: 403; 2) WebFetch: bloqueado por robots; 3) feed RSS del ticker: solo titulares y fechas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se usan titulares)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Uranium Energy Corp, Form 10-K del ejercicio terminado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https://www.sec.gov/Archives/edgar/data/1334933/000143774926031414/uec20260731_10k.htm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Uranium Energy Corp, Form 10-K del ejercicio terminado el 31-jul-2025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https://www.sec.gov/Archives/edgar/data/1334933/000143774925029761/uec20250731_10k.htm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Form 10-K del ejercicio terminado el 31-jul-2024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https://www.sec.gov/Archives/edgar/data/1334933/000143774924030107/uec20240731_10k.htm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Form 10-K del ejercicio terminado el 31-jul-2023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https://www.sec.gov/Archives/edgar/data/1334933/000143774923027072/uec20230731_10k.htm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Form 10-Q del trimestre terminado el 31-oct-2025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https://www.sec.gov/Archives/edgar/data/1334933/000143774925037296/uec20251031_10q.htm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Form 10-Q del trimestre terminado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https://www.sec.gov/Archives/edgar/data/1334933/000143774926007413/uec20260131c_10q.htm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Form 10-Q del trimestre terminado el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https://www.sec.gov/Archives/edgar/data/1334933/000143774926019889/uec20260430_10q.htm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ejercicio FY2026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https://www.sec.gov/Archives/edgar/data/1334933/000143774926031416/ex_1020503.htm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 FY2026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https://www.sec.gov/Archives/edgar/data/1334933/000143774926020021/ex_974249.htm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hechos XBRL de Uranium Energy Corp (companyfacts, CIK 0001334933)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https://data.sec.gov/api/xbrl/companyfacts/CIK0001334933.json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(UEC) Q4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https://www.webull.com/news/15667021817971713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transcripción de la conferencia del 3T FY2026 (resumen de puntos clave; texto completo de pago)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https://www.gurufocus.com/stock/CHIX:U6ZD/transcripts/8908462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Cameco, «Uranium price»: precios spot y a largo plazo de fin de mes (media de UxC y TradeTech),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Cameco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https://www.cameco.com/invest/markets/uranium-price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EIA, Uranium Marketing Annual Report 2025 (datos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Energy Information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https://www.eia.gov/uranium/marketing/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 Nuclear Newswire, «EIA details 2025 gains in U.S. uranium production»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Nuclear Society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https://www.ans.org/news/article-8356/eia-details-2025-gains-in-us-uranium-production/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Uranium Mining Production (producción por país, empresa y mina; recursos)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Nuclear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https://world-nuclear.org/information-library/nuclear-fuel-cycle/mining-of-uranium/world-uranium-mining-production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Markets (necesidades de los reactores y escenario de referencia del World Nuclear Fuel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Nuclear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https://world-nuclear.org/information-library/nuclear-fuel-cycle/uranium-resources/uranium-markets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Nuclear Fuel Cycle (prohibición del uranio ruso, conversión, enriquecimiento, NNSA)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Nuclear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https://world-nuclear.org/information-library/country-profiles/countries-t-z/usa-nuclear-fuel-cycle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Nuclear News, «Mid-year updates from major uranium producers»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Nuclear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https://world-nuclear-news.org/articles/mid-year-updates-from-major-uranium-producers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Paladin Energy, resultados del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Paladin Energy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https://bulletin.webull.com/qbd/announcement/20260826/499500493/da1aea5228856cbd8ee8e4c76923177c.pdf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Boss Energy, FY2026 Financial Results and FY2027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Boss Energy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https://yourir.info/resources/c4c03252fb7e370d/announcements/boe.asx/6A1340505/BOE_FY2026_Financial_Results_and_FY2027_Guidance.pdf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Ur-Energy,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Ur-Energy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https://www.sec.gov/Archives/edgar/data/1375205/000110465926093458/urg-20260630x10q.htm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enCore Energy,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enCore Energy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https://www.sec.gov/Archives/edgar/data/1500881/000162828026056452/encr-20260630.htm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Fuels,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Fuels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https://www.sec.gov/Archives/edgar/data/1385849/000138584926000029/efr-20260630.htm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de Cameco, Energy Fuels, Ur-Energy, enCore, Denison y NexGen (ingresos, resultado operativo y acciones en circulación de la portada)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cierres diarios del 23-oct-2026 (CCJ, UUUU, URG, EU, DNN, NXE, UEC, KAP.IL, PDN.AX, BOE.AX)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Cameco, MD&amp;A del 2T26 (6-K, EX-99.2): precios de la industria, contratación, producción y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Cameco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https://www.sec.gov/Archives/edgar/data/1009001/000119312526326768/d125942dex992.htm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Centrus Energy, Form 10-Q del 2T26 (indicadores de precio de UTS de TradeTech)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Centrus Energy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https://www.sec.gov/Archives/edgar/data/1065059/000162828026053863/leu-20260630.htm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Nuclear News, «Invest now to secure long-term uranium future, Red Book says» (Uranium 2024, AIEA-NEA)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Nuclear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https://world-nuclear-news.org/articles/invest-now-to-secure-long-term-uranium-future-red-book-says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Freedom Broker, «Kazatomprom: results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Freedom Broker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https://fbroker.kz/en/analytics/analytics-article/kazatomprom-itogi-za-2025-god-ru-2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Thompson Hine, «No Section 232 tariff now on processed critical minerals and their derivative products»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Thompson Hine SmartTrade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https://www.thompsonhinesmartrade.com/2026/01/no-section-232-tariff-now-on-processed-critical-minerals-and-their-derivative-products/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FNArena, «Uranium Week: Stocks Tickle 52-Week Lows» (precios de TradeTech)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FNArena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https://fnarena.com/2026/10/20/uranium-week-stocks-tickle-52-week-lows/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Canada, tipo FXUSDCAD del 31-dic-2025 (1,3706)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https://www.bankofcanada.ca/valet/observations/FXUSDCAD/json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Denison Mines, Mineral Reserves &amp; Resources as of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Denison Mines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https://denisonmines.com/site/assets/files/7341/mineral_reserves_resources_as_of_december_31_2025.pdf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Form 8-K de 3-sep-2024 (calificación de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https://www.sec.gov/Archives/edgar/data/1334933/000143774924028255/uec20240903_8k.htm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 2026 (retribución de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https://www.sec.gov/Archives/edgar/data/1334933/000143774926020059/uec20260605_def14a.htm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las votaciones de la junta del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https://www.sec.gov/Archives/edgar/data/1334933/000143774926024336/uec20260723_8k.htm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las votaciones de la junta del 17-jul-2025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https://www.sec.gov/Archives/edgar/data/1334933/000143774925022950/uec20250717_8k.htm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las votaciones de la junta del 16-jul-2024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https://www.sec.gov/Archives/edgar/data/1334933/000143774924022922/uec20240716_8k.htm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4 de consejeros y directivos (24-oct-2025 a 24-oct-2026)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https://www.sec.gov/cgi-bin/browse-edgar?action=getcompany&amp;CIK=0001334933&amp;type=4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 de UEC sobre Uranium Royalty Corp. (7,7 %)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https://www.sec.gov/Archives/edgar/data/1334933/000143774926024641/xslSCHEDULE_13D_X02/primary_doc.xml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de UEC sobre Uranium Royalty Corp. (recibos de suscripción, 18,4 %)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https://www.sec.gov/Archives/edgar/data/1334933/000143774926014509/xslSCHEDULE_13D_X02/primary_doc.xml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 de UEC sobre Anfield Energy Inc. (36,8 %)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https://www.sec.gov/Archives/edgar/data/1334933/000143774926001448/xslSCHEDULE_13D_X01/primary_doc.xml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Gold or Dirt? – Spruce Point (informe bajista sobre UEC)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Hedge Fund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https://hedgefundalpha.com/stocks/uranium-gold-or-dirt-spruce-point/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(UEC) Investigation: Bronstein, Gewirtz &amp; Grossman LLC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https://businesswire.com/news/home/20240614230391/en/5667983/Uranium-Energy-Corp.-UEC-Investigation-Bronstein-Gewirtz-Grossman-LLC-Encourages-Investors-to-Seek-Compensation-for-Alleged-Wrongdoings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UEC, SPY y URA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https://finance.yahoo.com/quote/UEC/history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fundamentales, estimaciones y recomendaciones (quoteSummary) de UEC, CCJ, NXE, DNN, UUUU, EU, URG, PDN.AX, BOE.AX, UROY y KAP.IL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https://finance.yahoo.com/quote/UEC/analysis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(NYSEAMERICAN:UEC) Sets New 1-Year Low - Here's Why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https://www.marketbeat.com/instant-alerts/price-uranium-energy-nyseamerican-uec-sets-new-1-year-low-heres-why-2026-10-23/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(NYSEAMERICAN:UEC) Shares Down 6.2% - Time to Sell?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https://www.marketbeat.com/instant-alerts/price-uranium-energy-nyseamerican-uec-shares-down-62-time-to-sell-2026-10-13/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(UEC)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https://uk.investing.com/equities/uranium-energy-corp-consensus-estimates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(UEC) Is Down 5.0% After Wider 2026 Loss But Stronger Operations - What's Changed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https://finance.yahoo.com/markets/stocks/articles/uranium-energy-uec-down-5-160918733.html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UEC Stock Plunges As Fiscal Q3 Loss Rattles Uranium Traders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https://stockstotrade.com/news/uranium-energy-corp-uec-news-2026_06_10/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Uranium Energy Stock Is Plummeting Again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https://finance.yahoo.com/markets/stocks/articles/why-uranium-energy-stock-plummeting-163947974.html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Prices Just Broke a 19-Year Record, but Nuclear Stocks Are Collapsing Anyway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https://247wallst.com/investing/2026/10/03/uranium-prices-just-broke-a-19-year-record-but-nuclear-stocks-are-collapsing-anyway/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Price Trends: Q3 2026 Review and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 News Network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https://investingnews.com/uranium-forecast/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Long-Term Price Hits an 18-Year High. Uranium Equities Are Acting Like It Didn't.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Unleashed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https://uraniumunleashed.substack.com/p/the-long-term-price-hits-an-18-year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Stocks Are Falling While Prices Hold: Signal or Noise?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Discovery Alert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https://discoveryalert.com/analysis/uranium-stocks-falling-prices-hold-october-2026/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cierre de la oferta pública de acciones (13,15 USD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https://www.sec.gov/Archives/edgar/data/1334933/000143774925030548/uec20251006_8k.htm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Expands U.S. Production Capacity with Acquisition of Rio Tinto's Sweetwater Plant and Wyoming Uranium Assets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https://www.sec.gov/Archives/edgar/data/1334933/000143774924029849/ex_726452.htm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Completes Acquisition of the World-Class Development-Stage Roughrider Uranium Project From Rio Tinto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https://www.sec.gov/Archives/edgar/data/1334933/000143774922024240/ex_432550.htm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Corp Reports Quarterly Results for Period Ended October 31, 2022, Fiscal 2023 Q1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https://www.sec.gov/Archives/edgar/data/1334933/000143774922029365/ex_457423.htm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Cameco, Form 6-K (ex. 99.1): cierre de la compra de Westinghouse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Cameco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https://www.sec.gov/Archives/edgar/data/1009001/000119312523273185/d591628dex991.htm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Kelowna's Fission Uranium Corp. sold to Australian giant after court, government battles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Castanet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https://www.castanetkamloops.net/news/Kelowna/526350/Kelowna-s-Fission-Uranium-Corp-sold-to-Australian-giant-after-court-government-battles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UEC Corporate Presentation,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https://www.uraniumenergy.com/_resources/presentations/June-2026-UEC-Corporate-Presentation.pdf?v=100303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$UEC (25-sep a 23-oct-2026, unos 210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https://api.stocktwits.com/api/2/streams/symbol/UEC.json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feed de análisis y noticias de UEC (titulares de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https://seekingalpha.com/api/sa/combined/UEC.xml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Stocks to Buy If You Think the Nuclear Fuel Shortage Is the Real Story, Not the Reactors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https://www.fool.com/investing/2026/10/13/3-stocks-to-buy-if-you-think-nuclear-fuel-shortage/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Energy vs. Cameco: If I Could Only Own 1 Uranium Stock for the Next Decade, I'd Buy This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https://www.fool.com/investing/2026/09/20/uranium-energy-vs-cameco-if-i-could-only-own-1-ura/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Uranium Is Near $90 a Pound. Here's My Prediction for What's Ahead for the Fuel.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https://www.fool.com/investing/2026/10/22/uranium-is-near-90-a-pound-heres-my-prediction-fo/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Uranium Energy (UEC) Priced for a Future It Hasn't Built?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https://www.insidermonkey.com/news/is-uranium-energy-uec-priced-for-a-future-it-hasnt-built-1847849/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Security Council Appointments Will Impact Uranium Energy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https://finance.yahoo.com/markets/stocks/articles/security-council-appointments-impact-uranium-230953706.html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UEC News Today: titulares agregados de Uranium Energy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https://www.marketbeat.com/stocks/NYSEAMERICAN/UEC/news/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A., «Implied ERP by month» (ERPbymonth.xlsx): 4,20 % en octubre de 2026 (T12m con pago sostenible), cifra recogida en verticales/empresa/prompt.md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86,8 %</w:t>
      </w:r>
      <w:r>
        <w:t xml:space="preserve"> · Secciones con menos del 60 % de campos cubiertos: </w:t>
      </w:r>
      <w:r>
        <w:rPr>
          <w:b/>
          <w:bCs/>
        </w:rPr>
        <w:t xml:space="preserve">ninguna</w:t>
      </w:r>
      <w:r>
        <w:t xml:space="preserve"> · Generado el 24 oct 2026.</w:t>
      </w:r>
    </w:p>
    <w:p>
      <w:pPr>
        <w:pStyle w:val="Nota"/>
        <w:spacing w:after="100"/>
      </w:pPr>
      <w:r>
        <w:t xml:space="preserve">Se valora la acción de Uranium Energy Corp en la NYSE American (UEC), en dólares, al cierre del viernes 23-oct-2026 (7,35 USD); el análisis se hace el sábado 24-oct con la bolsa cerrada [46]. Acciones: 502,0 M diluidas (495,6 M en circulación a 25-sep-2026 más opciones, RSU y PRSU) [1]. Las cuentas son las del 10-K del ejercicio cerrado el 31-jul-2026 [1]. UEC es, según la SEC, un emisor «en fase de exploración»: no tiene reservas probadas y lleva a gasto el desarrollo de sus minas (102,4 M USD en FY2026), así que su EBITDA y su ROIC no son comparables con los de un productor que capitaliza [1]. Todas sus ventas hasta hoy son reventa de uranio comprado, no producción propia [1]. Con pérdidas en todos los ejercicios recientes, el objetivo a 12 meses no puede usar el PER: se usa el precio sobre valor contable (P/VC) con la misma regla común aplicada a mano. No hay guía de producción de la empresa [11].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Uranium Energy Corp. (UEC)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7,35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(6,75 – 20,34)</c:v>
                </c:pt>
                <c:pt idx="1">
                  <c:v>Precio objetivo de los analistas (10,00 – 26,75)</c:v>
                </c:pt>
                <c:pt idx="2">
                  <c:v>Comparables: PER NTM (-3,60 – -6,46)</c:v>
                </c:pt>
                <c:pt idx="3">
                  <c:v>DCF (WACC y g ± 0,5) (2,08 – 2,36)</c:v>
                </c:pt>
                <c:pt idx="4">
                  <c:v>Escenarios (bajista – alcista) (1,23 – 3,57)</c:v>
                </c:pt>
                <c:pt idx="5">
                  <c:v>DCF con la prima implícita del mercado (4,2 %)</c:v>
                </c:pt>
                <c:pt idx="6">
                  <c:v>Precio actual (7,35)</c:v>
                </c:pt>
              </c:strCache>
            </c:strRef>
          </c:cat>
          <c:val>
            <c:numRef>
              <c:f>Hoja1!$B$2:$B$8</c:f>
              <c:numCache>
                <c:formatCode>#,##0.0</c:formatCode>
                <c:ptCount val="7"/>
                <c:pt idx="0">
                  <c:v>6.75</c:v>
                </c:pt>
                <c:pt idx="1">
                  <c:v>10</c:v>
                </c:pt>
                <c:pt idx="2">
                  <c:v>-3.6</c:v>
                </c:pt>
                <c:pt idx="3">
                  <c:v>2.08</c:v>
                </c:pt>
                <c:pt idx="4">
                  <c:v>1.23</c:v>
                </c:pt>
                <c:pt idx="5">
                  <c:v>2.48</c:v>
                </c:pt>
                <c:pt idx="6">
                  <c:v>7.31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(6,75 – 20,34)</c:v>
                </c:pt>
                <c:pt idx="1">
                  <c:v>Precio objetivo de los analistas (10,00 – 26,75)</c:v>
                </c:pt>
                <c:pt idx="2">
                  <c:v>Comparables: PER NTM (-3,60 – -6,46)</c:v>
                </c:pt>
                <c:pt idx="3">
                  <c:v>DCF (WACC y g ± 0,5) (2,08 – 2,36)</c:v>
                </c:pt>
                <c:pt idx="4">
                  <c:v>Escenarios (bajista – alcista) (1,23 – 3,57)</c:v>
                </c:pt>
                <c:pt idx="5">
                  <c:v>DCF con la prima implícita del mercado (4,2 %)</c:v>
                </c:pt>
                <c:pt idx="6">
                  <c:v>Precio actual (7,35)</c:v>
                </c:pt>
              </c:strCache>
            </c:strRef>
          </c:cat>
          <c:val>
            <c:numRef>
              <c:f>Hoja1!$C$2:$C$8</c:f>
              <c:numCache>
                <c:formatCode>#,##0.0</c:formatCode>
                <c:ptCount val="7"/>
                <c:pt idx="0">
                  <c:v>13.59</c:v>
                </c:pt>
                <c:pt idx="1">
                  <c:v>16.75</c:v>
                </c:pt>
                <c:pt idx="2">
                  <c:v>-2.86</c:v>
                </c:pt>
                <c:pt idx="3">
                  <c:v>0.2799999999999998</c:v>
                </c:pt>
                <c:pt idx="4">
                  <c:v>2.34</c:v>
                </c:pt>
                <c:pt idx="5">
                  <c:v>0.2799999999999998</c:v>
                </c:pt>
                <c:pt idx="6">
                  <c:v>0.08000000000000007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Wyoming (minería ISR)</c:v>
                </c:pt>
              </c:strCache>
            </c:strRef>
          </c:tx>
          <c:spPr>
            <a:solidFill>
              <a:srgbClr val="2A78D6"/>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Hoja1!$B$2:$B$5</c:f>
              <c:numCache>
                <c:formatCode>#,##0</c:formatCode>
                <c:ptCount val="4"/>
                <c:pt idx="0">
                  <c:v>0.4</c:v>
                </c:pt>
                <c:pt idx="1">
                  <c:v>0.2</c:v>
                </c:pt>
                <c:pt idx="2">
                  <c:v>0</c:v>
                </c:pt>
                <c:pt idx="3">
                  <c:v>0</c:v>
                </c:pt>
              </c:numCache>
            </c:numRef>
          </c:val>
        </c:ser>
        <c:ser>
          <c:idx val="1"/>
          <c:order val="1"/>
          <c:tx>
            <c:strRef>
              <c:f>Hoja1!$C$1</c:f>
              <c:strCache>
                <c:ptCount val="1"/>
                <c:pt idx="0">
                  <c:v>Texas (minería ISR)</c:v>
                </c:pt>
              </c:strCache>
            </c:strRef>
          </c:tx>
          <c:spPr>
            <a:solidFill>
              <a:srgbClr val="EB6834"/>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Hoja1!$C$2:$C$5</c:f>
              <c:numCache>
                <c:formatCode>#,##0</c:formatCode>
                <c:ptCount val="4"/>
                <c:pt idx="0">
                  <c:v>0</c:v>
                </c:pt>
                <c:pt idx="1">
                  <c:v>0</c:v>
                </c:pt>
                <c:pt idx="2">
                  <c:v>0</c:v>
                </c:pt>
                <c:pt idx="3">
                  <c:v>0</c:v>
                </c:pt>
              </c:numCache>
            </c:numRef>
          </c:val>
        </c:ser>
        <c:ser>
          <c:idx val="2"/>
          <c:order val="2"/>
          <c:tx>
            <c:strRef>
              <c:f>Hoja1!$D$1</c:f>
              <c:strCache>
                <c:ptCount val="1"/>
                <c:pt idx="0">
                  <c:v>Saskatchewan (exploración)</c:v>
                </c:pt>
              </c:strCache>
            </c:strRef>
          </c:tx>
          <c:spPr>
            <a:solidFill>
              <a:srgbClr val="1BAF7A"/>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Hoja1!$D$2:$D$5</c:f>
              <c:numCache>
                <c:formatCode>#,##0</c:formatCode>
                <c:ptCount val="4"/>
                <c:pt idx="0">
                  <c:v>0</c:v>
                </c:pt>
                <c:pt idx="1">
                  <c:v>0</c:v>
                </c:pt>
                <c:pt idx="2">
                  <c:v>0</c:v>
                </c:pt>
                <c:pt idx="3">
                  <c:v>0</c:v>
                </c:pt>
              </c:numCache>
            </c:numRef>
          </c:val>
        </c:ser>
        <c:ser>
          <c:idx val="3"/>
          <c:order val="3"/>
          <c:tx>
            <c:strRef>
              <c:f>Hoja1!$E$1</c:f>
              <c:strCache>
                <c:ptCount val="1"/>
                <c:pt idx="0">
                  <c:v>Otros (Arizona, Nuevo México, Paraguay)</c:v>
                </c:pt>
              </c:strCache>
            </c:strRef>
          </c:tx>
          <c:spPr>
            <a:solidFill>
              <a:srgbClr val="EDA100"/>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Hoja1!$E$2:$E$5</c:f>
              <c:numCache>
                <c:formatCode>#,##0</c:formatCode>
                <c:ptCount val="4"/>
                <c:pt idx="0">
                  <c:v>0</c:v>
                </c:pt>
                <c:pt idx="1">
                  <c:v>0</c:v>
                </c:pt>
                <c:pt idx="2">
                  <c:v>0</c:v>
                </c:pt>
                <c:pt idx="3">
                  <c:v>0</c:v>
                </c:pt>
              </c:numCache>
            </c:numRef>
          </c:val>
        </c:ser>
        <c:ser>
          <c:idx val="4"/>
          <c:order val="4"/>
          <c:tx>
            <c:strRef>
              <c:f>Hoja1!$F$1</c:f>
              <c:strCache>
                <c:ptCount val="1"/>
                <c:pt idx="0">
                  <c:v>Corporativo (uranio físico e inversiones)</c:v>
                </c:pt>
              </c:strCache>
            </c:strRef>
          </c:tx>
          <c:spPr>
            <a:solidFill>
              <a:srgbClr val="E87BA4"/>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Hoja1!$F$2:$F$5</c:f>
              <c:numCache>
                <c:formatCode>#,##0</c:formatCode>
                <c:ptCount val="4"/>
                <c:pt idx="0">
                  <c:v>164</c:v>
                </c:pt>
                <c:pt idx="1">
                  <c:v>0</c:v>
                </c:pt>
                <c:pt idx="2">
                  <c:v>66.8</c:v>
                </c:pt>
                <c:pt idx="3">
                  <c:v>37.3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Wyoming (minería ISR)</c:v>
                </c:pt>
                <c:pt idx="1">
                  <c:v>Texas (minería ISR)</c:v>
                </c:pt>
                <c:pt idx="2">
                  <c:v>Saskatchewan (exploración)</c:v>
                </c:pt>
                <c:pt idx="3">
                  <c:v>Otros (Arizona, Nuevo México, Paraguay)</c:v>
                </c:pt>
                <c:pt idx="4">
                  <c:v>Corporativo (uranio físico e inversiones)</c:v>
                </c:pt>
              </c:strCache>
            </c:strRef>
          </c:cat>
          <c:val>
            <c:numRef>
              <c:f>Hoja1!$B$2:$B$6</c:f>
              <c:numCache>
                <c:formatCode>General</c:formatCode>
                <c:ptCount val="5"/>
                <c:pt idx="0">
                  <c:v>0</c:v>
                </c:pt>
                <c:pt idx="1">
                  <c:v>0</c:v>
                </c:pt>
                <c:pt idx="2">
                  <c:v>0</c:v>
                </c:pt>
                <c:pt idx="3">
                  <c:v>0</c:v>
                </c:pt>
                <c:pt idx="4">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(toneladas de uranio (tU) de producción minera mundial)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2018</c:v>
                </c:pt>
                <c:pt idx="1">
                  <c:v>2019</c:v>
                </c:pt>
                <c:pt idx="2">
                  <c:v>2020</c:v>
                </c:pt>
                <c:pt idx="3">
                  <c:v>2021</c:v>
                </c:pt>
                <c:pt idx="4">
                  <c:v>2022</c:v>
                </c:pt>
                <c:pt idx="5">
                  <c:v>2023</c:v>
                </c:pt>
                <c:pt idx="6">
                  <c:v>2024</c:v>
                </c:pt>
              </c:strCache>
            </c:strRef>
          </c:cat>
          <c:val>
            <c:numRef>
              <c:f>Hoja1!$B$2:$B$8</c:f>
              <c:numCache>
                <c:formatCode>#,##0</c:formatCode>
                <c:ptCount val="7"/>
                <c:pt idx="0">
                  <c:v>54154</c:v>
                </c:pt>
                <c:pt idx="1">
                  <c:v>54742</c:v>
                </c:pt>
                <c:pt idx="2">
                  <c:v>47731</c:v>
                </c:pt>
                <c:pt idx="3">
                  <c:v>47805</c:v>
                </c:pt>
                <c:pt idx="4">
                  <c:v>49614</c:v>
                </c:pt>
                <c:pt idx="5">
                  <c:v>54433</c:v>
                </c:pt>
                <c:pt idx="6">
                  <c:v>60213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UEC</c:v>
                </c:pt>
                <c:pt idx="1">
                  <c:v>Cameco</c:v>
                </c:pt>
                <c:pt idx="2">
                  <c:v>Kazatomprom</c:v>
                </c:pt>
                <c:pt idx="3">
                  <c:v>Paladin Energy</c:v>
                </c:pt>
                <c:pt idx="4">
                  <c:v>Boss Energy</c:v>
                </c:pt>
                <c:pt idx="5">
                  <c:v>Energy Fuels</c:v>
                </c:pt>
                <c:pt idx="6">
                  <c:v>enCore Energy</c:v>
                </c:pt>
                <c:pt idx="7">
                  <c:v>Ur-Energy</c:v>
                </c:pt>
                <c:pt idx="8">
                  <c:v>Denison Mines</c:v>
                </c:pt>
              </c:strCache>
            </c:strRef>
          </c:cat>
          <c:val>
            <c:numRef>
              <c:f>Hoja1!$B$2:$B$10</c:f>
              <c:numCache>
                <c:formatCode>0.0"%"</c:formatCode>
                <c:ptCount val="9"/>
                <c:pt idx="0">
                  <c:v>-356.8</c:v>
                </c:pt>
                <c:pt idx="1">
                  <c:v>17.75</c:v>
                </c:pt>
                <c:pt idx="5">
                  <c:v>-153.6</c:v>
                </c:pt>
                <c:pt idx="6">
                  <c:v>-152.3</c:v>
                </c:pt>
                <c:pt idx="7">
                  <c:v>-255.1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1</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2027e</c:v>
                </c:pt>
                <c:pt idx="11">
                  <c:v>2028e</c:v>
                </c:pt>
                <c:pt idx="12">
                  <c:v>2029e</c:v>
                </c:pt>
                <c:pt idx="13">
                  <c:v>2030e</c:v>
                </c:pt>
                <c:pt idx="14">
                  <c:v>2031e</c:v>
                </c:pt>
                <c:pt idx="15">
                  <c:v>2032e</c:v>
                </c:pt>
                <c:pt idx="16">
                  <c:v>2033e</c:v>
                </c:pt>
                <c:pt idx="17">
                  <c:v>2034e</c:v>
                </c:pt>
                <c:pt idx="18">
                  <c:v>2035e</c:v>
                </c:pt>
                <c:pt idx="19">
                  <c:v>2036e</c:v>
                </c:pt>
              </c:strCache>
            </c:strRef>
          </c:cat>
          <c:val>
            <c:numRef>
              <c:f>Hoja1!$B$2:$B$21</c:f>
              <c:numCache>
                <c:formatCode>#,##0</c:formatCode>
                <c:ptCount val="20"/>
                <c:pt idx="0">
                  <c:v>0</c:v>
                </c:pt>
                <c:pt idx="1">
                  <c:v>0</c:v>
                </c:pt>
                <c:pt idx="2">
                  <c:v>0</c:v>
                </c:pt>
                <c:pt idx="3">
                  <c:v>0</c:v>
                </c:pt>
                <c:pt idx="4">
                  <c:v>0</c:v>
                </c:pt>
                <c:pt idx="5">
                  <c:v>23.2</c:v>
                </c:pt>
                <c:pt idx="6">
                  <c:v>164.4</c:v>
                </c:pt>
                <c:pt idx="7">
                  <c:v>0.2</c:v>
                </c:pt>
                <c:pt idx="8">
                  <c:v>66.8</c:v>
                </c:pt>
                <c:pt idx="9">
                  <c:v>37.3</c:v>
                </c:pt>
                <c:pt idx="10">
                  <c:v>64</c:v>
                </c:pt>
                <c:pt idx="11">
                  <c:v>150</c:v>
                </c:pt>
                <c:pt idx="12">
                  <c:v>254</c:v>
                </c:pt>
                <c:pt idx="13">
                  <c:v>351</c:v>
                </c:pt>
                <c:pt idx="14">
                  <c:v>439</c:v>
                </c:pt>
                <c:pt idx="15">
                  <c:v>491</c:v>
                </c:pt>
                <c:pt idx="16">
                  <c:v>531</c:v>
                </c:pt>
                <c:pt idx="17">
                  <c:v>557</c:v>
                </c:pt>
                <c:pt idx="18">
                  <c:v>577</c:v>
                </c:pt>
                <c:pt idx="19">
                  <c:v>591</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2027e</c:v>
                </c:pt>
                <c:pt idx="11">
                  <c:v>2028e</c:v>
                </c:pt>
                <c:pt idx="12">
                  <c:v>2029e</c:v>
                </c:pt>
                <c:pt idx="13">
                  <c:v>2030e</c:v>
                </c:pt>
                <c:pt idx="14">
                  <c:v>2031e</c:v>
                </c:pt>
                <c:pt idx="15">
                  <c:v>2032e</c:v>
                </c:pt>
                <c:pt idx="16">
                  <c:v>2033e</c:v>
                </c:pt>
                <c:pt idx="17">
                  <c:v>2034e</c:v>
                </c:pt>
                <c:pt idx="18">
                  <c:v>2035e</c:v>
                </c:pt>
                <c:pt idx="19">
                  <c:v>2036e</c:v>
                </c:pt>
              </c:strCache>
            </c:strRef>
          </c:cat>
          <c:val>
            <c:numRef>
              <c:f>Hoja1!$C$2:$C$21</c:f>
              <c:numCache>
                <c:formatCode>#,##0</c:formatCode>
                <c:ptCount val="20"/>
                <c:pt idx="0">
                  <c:v>-14.7</c:v>
                </c:pt>
                <c:pt idx="1">
                  <c:v>-15.9</c:v>
                </c:pt>
                <c:pt idx="2">
                  <c:v>-14.6</c:v>
                </c:pt>
                <c:pt idx="3">
                  <c:v>-14</c:v>
                </c:pt>
                <c:pt idx="4">
                  <c:v>-17.1</c:v>
                </c:pt>
                <c:pt idx="5">
                  <c:v>-17.900000000000002</c:v>
                </c:pt>
                <c:pt idx="6">
                  <c:v>11</c:v>
                </c:pt>
                <c:pt idx="7">
                  <c:v>-54.2</c:v>
                </c:pt>
                <c:pt idx="8">
                  <c:v>-68.8</c:v>
                </c:pt>
                <c:pt idx="9">
                  <c:v>-126.2</c:v>
                </c:pt>
                <c:pt idx="10">
                  <c:v>-118</c:v>
                </c:pt>
                <c:pt idx="11">
                  <c:v>-67</c:v>
                </c:pt>
                <c:pt idx="12">
                  <c:v>-8</c:v>
                </c:pt>
                <c:pt idx="13">
                  <c:v>56</c:v>
                </c:pt>
                <c:pt idx="14">
                  <c:v>110</c:v>
                </c:pt>
                <c:pt idx="15">
                  <c:v>147</c:v>
                </c:pt>
                <c:pt idx="16">
                  <c:v>196</c:v>
                </c:pt>
                <c:pt idx="17">
                  <c:v>223</c:v>
                </c:pt>
                <c:pt idx="18">
                  <c:v>242</c:v>
                </c:pt>
                <c:pt idx="19">
                  <c:v>248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5">
                  <c:v>31.5</c:v>
                </c:pt>
                <c:pt idx="6">
                  <c:v>30.2</c:v>
                </c:pt>
                <c:pt idx="7">
                  <c:v>0</c:v>
                </c:pt>
                <c:pt idx="8">
                  <c:v>36.5</c:v>
                </c:pt>
                <c:pt idx="9">
                  <c:v>45.3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5">
                  <c:v>-77.2</c:v>
                </c:pt>
                <c:pt idx="6">
                  <c:v>6.7</c:v>
                </c:pt>
                <c:pt idx="7">
                  <c:v>-27100</c:v>
                </c:pt>
                <c:pt idx="8">
                  <c:v>-103</c:v>
                </c:pt>
                <c:pt idx="9">
                  <c:v>-338.3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5">
                  <c:v>-83.2</c:v>
                </c:pt>
                <c:pt idx="6">
                  <c:v>5.5</c:v>
                </c:pt>
                <c:pt idx="7">
                  <c:v>-28200</c:v>
                </c:pt>
                <c:pt idx="8">
                  <c:v>-109.7</c:v>
                </c:pt>
                <c:pt idx="9">
                  <c:v>-356.8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5">
                  <c:v>22.8</c:v>
                </c:pt>
                <c:pt idx="6">
                  <c:v>-2</c:v>
                </c:pt>
                <c:pt idx="7">
                  <c:v>-14600</c:v>
                </c:pt>
                <c:pt idx="8">
                  <c:v>-131.3</c:v>
                </c:pt>
                <c:pt idx="9">
                  <c:v>-368.1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4">
                  <c:v>-100</c:v>
                </c:pt>
                <c:pt idx="5">
                  <c:v>-59.4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inventario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5">
                  <c:v>1529</c:v>
                </c:pt>
                <c:pt idx="6">
                  <c:v>20</c:v>
                </c:pt>
                <c:pt idx="7">
                  <c:v>138335</c:v>
                </c:pt>
                <c:pt idx="8">
                  <c:v>683</c:v>
                </c:pt>
                <c:pt idx="9">
                  <c:v>1421</c:v>
                </c:pt>
              </c:numCache>
            </c:numRef>
          </c:val>
          <c:smooth val="0"/>
        </c:ser>
        <c:ser>
          <c:idx val="1"/>
          <c:order val="1"/>
          <c:tx>
            <c:strRef>
              <c:f>Hoja1!$C$1</c:f>
              <c:strCache>
                <c:ptCount val="1"/>
                <c:pt idx="0">
                  <c:v>Días de pago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5">
                  <c:v>188</c:v>
                </c:pt>
                <c:pt idx="6">
                  <c:v>33</c:v>
                </c:pt>
                <c:pt idx="7">
                  <c:v>41792</c:v>
                </c:pt>
                <c:pt idx="8">
                  <c:v>177</c:v>
                </c:pt>
                <c:pt idx="9">
                  <c:v>558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-10.5</c:v>
                </c:pt>
                <c:pt idx="1">
                  <c:v>-12.5</c:v>
                </c:pt>
                <c:pt idx="2">
                  <c:v>-12.7</c:v>
                </c:pt>
                <c:pt idx="3">
                  <c:v>-13</c:v>
                </c:pt>
                <c:pt idx="4">
                  <c:v>-41.6</c:v>
                </c:pt>
                <c:pt idx="5">
                  <c:v>-53.6</c:v>
                </c:pt>
                <c:pt idx="6">
                  <c:v>72</c:v>
                </c:pt>
                <c:pt idx="7">
                  <c:v>-108.5</c:v>
                </c:pt>
                <c:pt idx="8">
                  <c:v>-70</c:v>
                </c:pt>
                <c:pt idx="9">
                  <c:v>-107.39999999999999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-18</c:v>
                </c:pt>
                <c:pt idx="1">
                  <c:v>-17.8</c:v>
                </c:pt>
                <c:pt idx="2">
                  <c:v>-17.2</c:v>
                </c:pt>
                <c:pt idx="3">
                  <c:v>-14.6</c:v>
                </c:pt>
                <c:pt idx="4">
                  <c:v>-14.8</c:v>
                </c:pt>
                <c:pt idx="5">
                  <c:v>5.3</c:v>
                </c:pt>
                <c:pt idx="6">
                  <c:v>-3.3</c:v>
                </c:pt>
                <c:pt idx="7">
                  <c:v>-29.2</c:v>
                </c:pt>
                <c:pt idx="8">
                  <c:v>-87.7</c:v>
                </c:pt>
                <c:pt idx="9">
                  <c:v>-137.3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-21.6</c:v>
                </c:pt>
                <c:pt idx="1">
                  <c:v>-19</c:v>
                </c:pt>
                <c:pt idx="2">
                  <c:v>-13.8</c:v>
                </c:pt>
                <c:pt idx="3">
                  <c:v>-12.9</c:v>
                </c:pt>
                <c:pt idx="4">
                  <c:v>-13.4</c:v>
                </c:pt>
                <c:pt idx="5">
                  <c:v>-9.4</c:v>
                </c:pt>
                <c:pt idx="6">
                  <c:v>1.5</c:v>
                </c:pt>
                <c:pt idx="7">
                  <c:v>-6.6</c:v>
                </c:pt>
                <c:pt idx="8">
                  <c:v>-7.2</c:v>
                </c:pt>
                <c:pt idx="9">
                  <c:v>-11.6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13.4</c:v>
                </c:pt>
                <c:pt idx="1">
                  <c:v>13.4</c:v>
                </c:pt>
                <c:pt idx="2">
                  <c:v>13.4</c:v>
                </c:pt>
                <c:pt idx="3">
                  <c:v>13.4</c:v>
                </c:pt>
                <c:pt idx="4">
                  <c:v>13.4</c:v>
                </c:pt>
                <c:pt idx="5">
                  <c:v>13.4</c:v>
                </c:pt>
                <c:pt idx="6">
                  <c:v>13.4</c:v>
                </c:pt>
                <c:pt idx="7">
                  <c:v>13.4</c:v>
                </c:pt>
                <c:pt idx="8">
                  <c:v>13.4</c:v>
                </c:pt>
                <c:pt idx="9">
                  <c:v>13.4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-39</c:v>
                </c:pt>
                <c:pt idx="1">
                  <c:v>-32.6</c:v>
                </c:pt>
                <c:pt idx="2">
                  <c:v>-25</c:v>
                </c:pt>
                <c:pt idx="3">
                  <c:v>-21.1</c:v>
                </c:pt>
                <c:pt idx="4">
                  <c:v>-13.7</c:v>
                </c:pt>
                <c:pt idx="5">
                  <c:v>2.2</c:v>
                </c:pt>
                <c:pt idx="6">
                  <c:v>-0.7</c:v>
                </c:pt>
                <c:pt idx="7">
                  <c:v>-4.1</c:v>
                </c:pt>
                <c:pt idx="8">
                  <c:v>-10</c:v>
                </c:pt>
                <c:pt idx="9">
                  <c:v>-11.6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-0.46</c:v>
                </c:pt>
                <c:pt idx="1">
                  <c:v>-0.79</c:v>
                </c:pt>
                <c:pt idx="2">
                  <c:v>-0.92</c:v>
                </c:pt>
                <c:pt idx="3">
                  <c:v>-1.06</c:v>
                </c:pt>
                <c:pt idx="4">
                  <c:v>2</c:v>
                </c:pt>
                <c:pt idx="5">
                  <c:v>1.82</c:v>
                </c:pt>
                <c:pt idx="6">
                  <c:v>-4.15</c:v>
                </c:pt>
                <c:pt idx="7">
                  <c:v>1.61</c:v>
                </c:pt>
                <c:pt idx="8">
                  <c:v>2.16</c:v>
                </c:pt>
                <c:pt idx="9">
                  <c:v>3.93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0</c:v>
                </c:pt>
                <c:pt idx="2">
                  <c:v>0</c:v>
                </c:pt>
                <c:pt idx="3">
                  <c:v>0</c:v>
                </c:pt>
                <c:pt idx="4">
                  <c:v>0</c:v>
                </c:pt>
                <c:pt idx="5">
                  <c:v>113.6</c:v>
                </c:pt>
                <c:pt idx="6">
                  <c:v>80.1</c:v>
                </c:pt>
                <c:pt idx="7">
                  <c:v>0</c:v>
                </c:pt>
                <c:pt idx="8">
                  <c:v>179.6</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0</c:v>
                </c:pt>
                <c:pt idx="1">
                  <c:v>0</c:v>
                </c:pt>
                <c:pt idx="2">
                  <c:v>0</c:v>
                </c:pt>
                <c:pt idx="3">
                  <c:v>0</c:v>
                </c:pt>
                <c:pt idx="4">
                  <c:v>0</c:v>
                </c:pt>
                <c:pt idx="5">
                  <c:v>0</c:v>
                </c:pt>
                <c:pt idx="6">
                  <c:v>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 Rowe Price Associates</c:v>
                </c:pt>
                <c:pt idx="1">
                  <c:v>State Street Corporation</c:v>
                </c:pt>
                <c:pt idx="2">
                  <c:v>BlackRock, Inc.</c:v>
                </c:pt>
                <c:pt idx="3">
                  <c:v>Global X Management Company</c:v>
                </c:pt>
                <c:pt idx="4">
                  <c:v>Van Eck Associates</c:v>
                </c:pt>
                <c:pt idx="5">
                  <c:v>Vanguard Capital Management</c:v>
                </c:pt>
                <c:pt idx="6">
                  <c:v>Consejeros y directivos (9 personas)</c:v>
                </c:pt>
                <c:pt idx="7">
                  <c:v>Autocartera</c:v>
                </c:pt>
              </c:strCache>
            </c:strRef>
          </c:cat>
          <c:val>
            <c:numRef>
              <c:f>Hoja1!$B$2:$B$9</c:f>
              <c:numCache>
                <c:formatCode>0.0"%"</c:formatCode>
                <c:ptCount val="8"/>
                <c:pt idx="0">
                  <c:v>15.4</c:v>
                </c:pt>
                <c:pt idx="1">
                  <c:v>6.4</c:v>
                </c:pt>
                <c:pt idx="2">
                  <c:v>6</c:v>
                </c:pt>
                <c:pt idx="3">
                  <c:v>5.9</c:v>
                </c:pt>
                <c:pt idx="4">
                  <c:v>5.9</c:v>
                </c:pt>
                <c:pt idx="5">
                  <c:v>5.1</c:v>
                </c:pt>
                <c:pt idx="6">
                  <c:v>1.9</c:v>
                </c:pt>
                <c:pt idx="7">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5.7</c:v>
                </c:pt>
                <c:pt idx="1">
                  <c:v>58</c:v>
                </c:pt>
                <c:pt idx="2">
                  <c:v>-29.4</c:v>
                </c:pt>
                <c:pt idx="3">
                  <c:v>-26.4</c:v>
                </c:pt>
                <c:pt idx="4">
                  <c:v>91.3</c:v>
                </c:pt>
                <c:pt idx="5">
                  <c:v>90.3</c:v>
                </c:pt>
                <c:pt idx="6">
                  <c:v>15.8</c:v>
                </c:pt>
                <c:pt idx="7">
                  <c:v>64.9</c:v>
                </c:pt>
                <c:pt idx="8">
                  <c:v>4.5</c:v>
                </c:pt>
                <c:pt idx="9">
                  <c:v>74.6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Activos de Rio Tinto en Wyoming (planta de Sweetwater, Red Desert y Green Mountain)</c:v>
                </c:pt>
                <c:pt idx="1">
                  <c:v>Proyecto Roughrider (Athabasca, Saskatchewan)</c:v>
                </c:pt>
                <c:pt idx="2">
                  <c:v>UEX Corporation (Canadá)</c:v>
                </c:pt>
                <c:pt idx="3">
                  <c:v>Westinghouse Electric Company</c:v>
                </c:pt>
                <c:pt idx="4">
                  <c:v>Fission Uranium (Patterson Lake South, Saskatchewan)</c:v>
                </c:pt>
              </c:strCache>
            </c:strRef>
          </c:cat>
          <c:val>
            <c:numRef>
              <c:f>Hoja1!$B$2:$B$6</c:f>
              <c:numCache>
                <c:formatCode>0.0"x"</c:formatCode>
                <c:ptCount val="5"/>
                <c:pt idx="3">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2027e</c:v>
                </c:pt>
                <c:pt idx="1">
                  <c:v>2028e</c:v>
                </c:pt>
                <c:pt idx="2">
                  <c:v>2029e</c:v>
                </c:pt>
                <c:pt idx="3">
                  <c:v>2030e</c:v>
                </c:pt>
                <c:pt idx="4">
                  <c:v>2031e</c:v>
                </c:pt>
                <c:pt idx="5">
                  <c:v>2032e</c:v>
                </c:pt>
                <c:pt idx="6">
                  <c:v>2033e</c:v>
                </c:pt>
                <c:pt idx="7">
                  <c:v>2034e</c:v>
                </c:pt>
                <c:pt idx="8">
                  <c:v>2035e</c:v>
                </c:pt>
                <c:pt idx="9">
                  <c:v>2036e</c:v>
                </c:pt>
              </c:strCache>
            </c:strRef>
          </c:cat>
          <c:val>
            <c:numRef>
              <c:f>Hoja1!$B$2:$B$11</c:f>
              <c:numCache>
                <c:formatCode>#,##0</c:formatCode>
                <c:ptCount val="10"/>
                <c:pt idx="0">
                  <c:v>-162</c:v>
                </c:pt>
                <c:pt idx="1">
                  <c:v>-116</c:v>
                </c:pt>
                <c:pt idx="2">
                  <c:v>-47</c:v>
                </c:pt>
                <c:pt idx="3">
                  <c:v>20</c:v>
                </c:pt>
                <c:pt idx="4">
                  <c:v>55</c:v>
                </c:pt>
                <c:pt idx="5">
                  <c:v>84</c:v>
                </c:pt>
                <c:pt idx="6">
                  <c:v>121</c:v>
                </c:pt>
                <c:pt idx="7">
                  <c:v>143</c:v>
                </c:pt>
                <c:pt idx="8">
                  <c:v>159</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c:v>
                </c:pt>
                <c:pt idx="1">
                  <c:v>450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7,35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1.23</c:v>
                </c:pt>
                <c:pt idx="1">
                  <c:v>2.21</c:v>
                </c:pt>
                <c:pt idx="2">
                  <c:v>3.57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7,35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(6,75 – 20,34)</c:v>
                </c:pt>
                <c:pt idx="1">
                  <c:v>Precio objetivo de los analistas (10,00 – 26,75)</c:v>
                </c:pt>
                <c:pt idx="2">
                  <c:v>Comparables: PER NTM (-3,60 – -6,46)</c:v>
                </c:pt>
                <c:pt idx="3">
                  <c:v>DCF (WACC y g ± 0,5) (2,08 – 2,36)</c:v>
                </c:pt>
                <c:pt idx="4">
                  <c:v>Escenarios (bajista – alcista) (1,23 – 3,57)</c:v>
                </c:pt>
                <c:pt idx="5">
                  <c:v>DCF con la prima implícita del mercado (4,2 %)</c:v>
                </c:pt>
                <c:pt idx="6">
                  <c:v>Precio actual (7,35)</c:v>
                </c:pt>
              </c:strCache>
            </c:strRef>
          </c:cat>
          <c:val>
            <c:numRef>
              <c:f>Hoja1!$B$2:$B$8</c:f>
              <c:numCache>
                <c:formatCode>#,##0.0</c:formatCode>
                <c:ptCount val="7"/>
                <c:pt idx="0">
                  <c:v>6.75</c:v>
                </c:pt>
                <c:pt idx="1">
                  <c:v>10</c:v>
                </c:pt>
                <c:pt idx="2">
                  <c:v>-3.6</c:v>
                </c:pt>
                <c:pt idx="3">
                  <c:v>2.08</c:v>
                </c:pt>
                <c:pt idx="4">
                  <c:v>1.23</c:v>
                </c:pt>
                <c:pt idx="5">
                  <c:v>2.48</c:v>
                </c:pt>
                <c:pt idx="6">
                  <c:v>7.31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(6,75 – 20,34)</c:v>
                </c:pt>
                <c:pt idx="1">
                  <c:v>Precio objetivo de los analistas (10,00 – 26,75)</c:v>
                </c:pt>
                <c:pt idx="2">
                  <c:v>Comparables: PER NTM (-3,60 – -6,46)</c:v>
                </c:pt>
                <c:pt idx="3">
                  <c:v>DCF (WACC y g ± 0,5) (2,08 – 2,36)</c:v>
                </c:pt>
                <c:pt idx="4">
                  <c:v>Escenarios (bajista – alcista) (1,23 – 3,57)</c:v>
                </c:pt>
                <c:pt idx="5">
                  <c:v>DCF con la prima implícita del mercado (4,2 %)</c:v>
                </c:pt>
                <c:pt idx="6">
                  <c:v>Precio actual (7,35)</c:v>
                </c:pt>
              </c:strCache>
            </c:strRef>
          </c:cat>
          <c:val>
            <c:numRef>
              <c:f>Hoja1!$C$2:$C$8</c:f>
              <c:numCache>
                <c:formatCode>#,##0.0</c:formatCode>
                <c:ptCount val="7"/>
                <c:pt idx="0">
                  <c:v>13.59</c:v>
                </c:pt>
                <c:pt idx="1">
                  <c:v>16.75</c:v>
                </c:pt>
                <c:pt idx="2">
                  <c:v>-2.86</c:v>
                </c:pt>
                <c:pt idx="3">
                  <c:v>0.2799999999999998</c:v>
                </c:pt>
                <c:pt idx="4">
                  <c:v>2.34</c:v>
                </c:pt>
                <c:pt idx="5">
                  <c:v>0.2799999999999998</c:v>
                </c:pt>
                <c:pt idx="6">
                  <c:v>0.08000000000000007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