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Sonova Holding AG</w:t>
      </w:r>
    </w:p>
    <w:p>
      <w:pPr>
        <w:spacing w:after="60"/>
        <w:rPr>
          <w:color w:val="52514E"/>
          <w:sz w:val="22"/>
          <w:szCs w:val="22"/>
        </w:rPr>
      </w:pPr>
      <w:r>
        <w:rPr>
          <w:color w:val="52514E"/>
          <w:sz w:val="22"/>
          <w:szCs w:val="22"/>
        </w:rPr>
        <w:t xml:space="preserve">SOON · SIX Swiss Exchange · ISIN CH0012549785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270,40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292,05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+9,7 % (base +17,1 %)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255,13 CHF · mercado 314,77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16.075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Sonova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SOON / CH0012549785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(audífonos e implantes)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Stäfa (Suiza) · 1947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https://www.sonova.com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270,40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163,00 – 271,60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16.075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16.963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32,3 M CHF/día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292,05 CHF</w:t>
      </w:r>
      <w:r>
        <w:t xml:space="preserve"> frente a 270,40 · Rentabilidad a 12 meses </w:t>
      </w:r>
      <w:r>
        <w:rPr>
          <w:b/>
          <w:bCs/>
        </w:rPr>
        <w:t xml:space="preserve">+9,7 % (base +17,1 %)</w:t>
      </w:r>
      <w:r>
        <w:t xml:space="preserve"> · Valor intrínseco 255,13 CHF · con la prima implícita del mercado: 314,77 (+16,4 %) · Alcista / bajista +8,8 % / -30,8 %</w:t>
      </w:r>
    </w:p>
    <w:p>
      <w:pPr>
        <w:spacing w:after="100"/>
      </w:pPr>
      <w:r>
        <w:rPr>
          <w:b/>
        </w:rPr>
        <w:t xml:space="preserve">La recomendación y por qué.</w:t>
      </w:r>
      <w:r>
        <w:t xml:space="preserve"> Mantener con convicción baja. El objetivo a 12 meses es de 292,05 CHF (nuestro BPA de FY2029e por el PER de la regla v3, ponderado 25/50/25), un 9,7 % sobre el precio de 270,40 con el dividendo; el caso base da un 17,1 %, pero el bajista (−31 %) pesa mucho porque hace solo siete meses la acción cotizaba a 16,7 veces el beneficio adelantado. El valor intrínseco es de 255,13 CHF, un 5,6 % por debajo del precio, y el objetivo medio de los analistas (250,37) también. La convicción es baja porque las reglas discrepan: con nuestro WACC la acción está cara (Vender) y con la prima implícita del mercado vale 314,77 (Comprar). Subiría si el semestre del 17-nov muestra el mayorista por encima del 8 % en moneda local con EON; bajaría por debajo del 5 %.</w:t>
      </w:r>
    </w:p>
    <w:p>
      <w:pPr>
        <w:spacing w:after="100"/>
      </w:pPr>
      <w:r>
        <w:rPr>
          <w:b/>
        </w:rPr>
        <w:t xml:space="preserve">El negocio.</w:t>
      </w:r>
      <w:r>
        <w:t xml:space="preserve"> Sonova es el líder mundial de audífonos (Phonak), con un ROIC del 16,7 % frente a un WACC del 6,46 %: más de 10 puntos, y nunca menos de 15,8 % en cinco años. Gana más que Demant (margen EBITA normalizado del 22,5 % frente al 17,2 % de EBIT de Demant, ROIC del 16,7 % frente al 11,1 %) con la mitad de deuda (1,1 frente a 3,0 veces el EBITDA) [12]. La calidad sostiene el crecimiento que proyectamos (5,5 % anual): la cuota apenas sube y la reinversión es mínima. Veredicto de sostenibilidad: Sí.</w:t>
      </w:r>
    </w:p>
    <w:p>
      <w:pPr>
        <w:spacing w:after="100"/>
      </w:pPr>
      <w:r>
        <w:rPr>
          <w:b/>
        </w:rPr>
        <w:t xml:space="preserve">Sector y ciclo.</w:t>
      </w:r>
      <w:r>
        <w:t xml:space="preserve"> El mercado se recupera tras un 2025 flojo, pero Sonova lo ve crecer solo un 2-4 % en FY2027, frente al 6-7 % que vio Demant en su 3T [2, 12]. El ciclo de producto decide la cuota: Infinio dio a Sonova la mayor ganancia de cuota en seis años y Oticon Reveal se la disputa en 2026.</w:t>
      </w:r>
    </w:p>
    <w:p>
      <w:pPr>
        <w:spacing w:after="100"/>
      </w:pPr>
      <w:r>
        <w:rPr>
          <w:b/>
        </w:rPr>
        <w:t xml:space="preserve">Finanzas.</w:t>
      </w:r>
      <w:r>
        <w:t xml:space="preserve"> Conversión de beneficio en caja del 97 % en cinco años; deuda neta de 994 M. El franco restó 6,1 puntos de ventas y 1,5 de margen en FY2026 y restará 3-4 puntos al EBIT en FY2027 [1, 2]. Consumer Hearing (Sennheiser) se vende con pérdida: vale 110,7 M en libros frente a 330,6 M pagados, ≈ 1,9 CHF por acción, irrelevante para el valor [1].</w:t>
      </w:r>
    </w:p>
    <w:p>
      <w:pPr>
        <w:spacing w:after="100"/>
      </w:pPr>
      <w:r>
        <w:rPr>
          <w:b/>
        </w:rPr>
        <w:t xml:space="preserve">Equipo y gobierno.</w:t>
      </w:r>
      <w:r>
        <w:t xml:space="preserve"> Consejo independiente sin accionista de control y un equipo nuevo con historial (Bernard en WS Audiology, Achermann en Straumann). Resta la rotación casi completa de la cúpula en 2025.</w:t>
      </w:r>
    </w:p>
    <w:p>
      <w:pPr>
        <w:spacing w:after="100"/>
      </w:pPr>
      <w:r>
        <w:rPr>
          <w:b/>
        </w:rPr>
        <w:t xml:space="preserve">Valoración.</w:t>
      </w:r>
      <w:r>
        <w:t xml:space="preserve"> El DCF da 259,56 y el precio descuenta un crecimiento del 6,3 % anual frente al 5,5 % de nuestro base: exigente, pero poco. Cotiza a 22,8 veces nuestro BPA de FY2028e, por debajo de su mediana de cinco años (25,0x) y con una prima del 5 % sobre los comparables (22,7x). Frente a Demant, que descuenta un 10,5 % anual de crecimiento, Sonova está más cerca de su valor.</w:t>
      </w:r>
    </w:p>
    <w:p>
      <w:pPr>
        <w:spacing w:after="100"/>
      </w:pPr>
      <w:r>
        <w:rPr>
          <w:b/>
        </w:rPr>
        <w:t xml:space="preserve">Riesgos y catalizadores.</w:t>
      </w:r>
      <w:r>
        <w:t xml:space="preserve"> Ciclo de producto (EON frente a Reveal; −15 %), franco (−5 % por cada 5 %) e IA y electrónica de consumo. El riesgo de que la IA se coma el negocio es bajo: hoy la IA es el argumento de venta de Phonak (red neuronal en el chip de Sphere y EON) y los AirPods Pro y los OTC solo cubren la pérdida leve con autoajuste; el riesgo medio está en entrantes con IA y clínicas propias (Fortell) en el premium. Catalizadores: Demant el 3-nov, semestre de Sonova el 17-nov y venta de Consumer.</w:t>
      </w:r>
    </w:p>
    <w:p>
      <w:pPr>
        <w:spacing w:after="100"/>
      </w:pPr>
      <w:r>
        <w:rPr>
          <w:b/>
        </w:rPr>
        <w:t xml:space="preserve">Qué cambiaría la decisión.</w:t>
      </w:r>
      <w:r>
        <w:t xml:space="preserve"> Compraríamos por debajo de 255,13 CHF y venderíamos por encima de 329,72. Pasaríamos a Vender si el mayorista crece menos del 5 % en el 1S FY2027 y el margen bruto en moneda local cae; reconsideraríamos al alza si EON sostiene más del 8 % y la guía sube.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292,05 CHF</w:t>
      </w:r>
      <w:r>
        <w:t xml:space="preserve"> (rentabilidad +9,7 % (base +17,1 %)) · Valor intrínseco: 255,13 CHF (-5,6 % sobre 270,40) · con la prima implícita del mercado: 314,77 (+16,4 %)</w:t>
      </w:r>
    </w:p>
    <w:p>
      <w:pPr>
        <w:spacing w:after="100"/>
      </w:pPr>
      <w:r>
        <w:t xml:space="preserve">Sonova es el mayor fabricante mundial de audífonos y uno de los grandes minoristas: 3.605,9 M CHF de ventas en FY2026, un margen EBITA normalizado del 22,5 % y un ROIC del 16,7 % [1]. Su ventaja es la escala en I+D (217,7 M al año) y el chip propio con IA, que le dieron con Infinio la mayor ganancia de cuota en seis años, más una red de clínicas propia que asegura volumen [2].</w:t>
      </w:r>
    </w:p>
    <w:p>
      <w:pPr>
        <w:spacing w:after="100"/>
      </w:pPr>
      <w:r>
        <w:t xml:space="preserve">El precio de 270,40 CHF descuenta un crecimiento de las ventas del 6,3 % anual hasta FY2033 y una rentabilidad implícita del 6,3 %, casi nuestro WACC. Cotiza a 22,8 veces nuestro BPA de FY2028e, por debajo de su mediana adelantada de cinco años (25x), tras subir un 66 % desde el mínimo de marzo [20].</w:t>
      </w:r>
    </w:p>
    <w:p>
      <w:pPr>
        <w:spacing w:after="100"/>
      </w:pPr>
      <w:r>
        <w:t xml:space="preserve">El mercado acierta en lo esencial: Sonova es un buen negocio a un precio razonable, no barato. Para invertir hay que creer que EON mantiene la cuota frente a Oticon Reveal y que el franco deja de restar; entonces el BPA crece un 10 % anual y el múltiplo vuelve a 24-25 veces. Si el ciclo de producto gira a favor de Demant, el múltiplo puede volver a las 16-17 veces de marzo.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10,95 = 182,86 · 23,9x × 13,05 = 311,90 · 25,3x × 14,29 = 361,54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 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250,37 (nuestro base +24,6 %)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255,13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 -30,8 %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6,5 %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314,77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255,13 y 329,72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329,72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255,13 CHF (valor intrínseco) con la tesis intacta: pasaríamos a valorar Comprar.</w:t>
      </w:r>
    </w:p>
    <w:p>
      <w:pPr>
        <w:pStyle w:val="ListParagraph"/>
        <w:numPr>
          <w:ilvl w:val="0"/>
          <w:numId w:val="2"/>
        </w:numPr>
        <w:spacing w:after="60"/>
      </w:pPr>
      <w:r>
        <w:t xml:space="preserve">Precio por encima de 329,72 CHF: Vender.</w:t>
      </w:r>
    </w:p>
    <w:p>
      <w:pPr>
        <w:pStyle w:val="ListParagraph"/>
        <w:numPr>
          <w:ilvl w:val="0"/>
          <w:numId w:val="2"/>
        </w:numPr>
        <w:spacing w:after="60"/>
      </w:pPr>
      <w:r>
        <w:t xml:space="preserve">Mayorista por debajo del 5 % en moneda local en el 1S FY2027 (17-nov-2026): rebaja del BPA y del múltiplo, hacia Vender.</w:t>
      </w:r>
    </w:p>
    <w:p>
      <w:pPr>
        <w:pStyle w:val="ListParagraph"/>
        <w:numPr>
          <w:ilvl w:val="0"/>
          <w:numId w:val="2"/>
        </w:numPr>
        <w:spacing w:after="60"/>
      </w:pPr>
      <w:r>
        <w:t xml:space="preserve">Guía de EBIT core rebajada por debajo del 7 % en moneda local: Vender.</w:t>
      </w:r>
    </w:p>
    <w:p>
      <w:pPr>
        <w:pStyle w:val="ListParagraph"/>
        <w:numPr>
          <w:ilvl w:val="0"/>
          <w:numId w:val="2"/>
        </w:numPr>
        <w:spacing w:after="60"/>
      </w:pPr>
      <w:r>
        <w:t xml:space="preserve">Autorización de auriculares de consumo para pérdida moderada: revisar el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Sonova vuelve a crecer en la parte media de su objetivo (5-10 %), con un margen que sube y sin ruido de Consumer: 6,3 % anual de crecimiento implícito y un PER adelantado de 22,8 veces.</w:t>
      </w:r>
    </w:p>
    <w:p>
      <w:pPr>
        <w:keepNext/>
        <w:spacing w:after="100"/>
      </w:pPr>
      <w:r>
        <w:rPr>
          <w:b/>
          <w:bCs/>
        </w:rPr>
        <w:t xml:space="preserve">Lo que creemos nosotros.</w:t>
      </w:r>
    </w:p>
    <w:p>
      <w:pPr>
        <w:spacing w:after="100"/>
      </w:pPr>
      <w:r>
        <w:t xml:space="preserve">Coincidimos en el beneficio (nuestro BPA de FY2029e, 13,05, está a un 1,5 % del consenso) y somos algo más prudentes en el crecimiento (5,5 %) porque la propia empresa ve el mercado en un 2-4 % y Demant gana cuota con Reveal.</w:t>
      </w:r>
    </w:p>
    <w:p>
      <w:pPr>
        <w:keepNext/>
        <w:spacing w:after="100"/>
      </w:pPr>
      <w:r>
        <w:rPr>
          <w:b/>
          <w:bCs/>
        </w:rPr>
        <w:t xml:space="preserve">Por qué podemos tener razón.</w:t>
      </w:r>
    </w:p>
    <w:p>
      <w:pPr>
        <w:spacing w:after="100"/>
      </w:pPr>
      <w:r>
        <w:t xml:space="preserve">No tenemos una visión distinta del mercado: es una conclusión válida. La diferencia está en el riesgo del ciclo de producto, que el mercado ha dejado de descontar tras subir un 66 %, y en la divisa.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7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16,7 % frente a un WACC del 6,46 %, más de 10 puntos de diferencia.</w:t>
      </w:r>
    </w:p>
    <w:p>
      <w:pPr>
        <w:pStyle w:val="ListParagraph"/>
        <w:numPr>
          <w:ilvl w:val="0"/>
          <w:numId w:val="2"/>
        </w:numPr>
        <w:spacing w:after="60"/>
      </w:pPr>
      <w:r>
        <w:rPr>
          <w:b/>
        </w:rPr>
        <w:t xml:space="preserve">Liderazgo tecnológico</w:t>
      </w:r>
      <w:r>
        <w:t xml:space="preserve">: mayorista +10,9 % en moneda local en el 2S26 y nueva plataforma EON desde agosto de 2026.</w:t>
      </w:r>
    </w:p>
    <w:p>
      <w:pPr>
        <w:pStyle w:val="ListParagraph"/>
        <w:numPr>
          <w:ilvl w:val="0"/>
          <w:numId w:val="2"/>
        </w:numPr>
        <w:spacing w:after="60"/>
      </w:pPr>
      <w:r>
        <w:rPr>
          <w:b/>
        </w:rPr>
        <w:t xml:space="preserve">Balance</w:t>
      </w:r>
      <w:r>
        <w:t xml:space="preserve">: deuda neta de 1,1 veces el EBITDA, bonos en francos al 0-1,95 %.</w:t>
      </w:r>
    </w:p>
    <w:p>
      <w:pPr>
        <w:pStyle w:val="ListParagraph"/>
        <w:numPr>
          <w:ilvl w:val="0"/>
          <w:numId w:val="2"/>
        </w:numPr>
        <w:spacing w:after="60"/>
      </w:pPr>
      <w:r>
        <w:rPr>
          <w:b/>
        </w:rPr>
        <w:t xml:space="preserve">Caja</w:t>
      </w:r>
      <w:r>
        <w:t xml:space="preserve">: conversión del 97 % del beneficio en caja libre en cinco años y dividendo de 4,70 CHF (1,7 %).</w:t>
      </w:r>
    </w:p>
    <w:p>
      <w:pPr>
        <w:pStyle w:val="ListParagraph"/>
        <w:numPr>
          <w:ilvl w:val="0"/>
          <w:numId w:val="2"/>
        </w:numPr>
        <w:spacing w:after="60"/>
      </w:pPr>
      <w:r>
        <w:rPr>
          <w:b/>
        </w:rPr>
        <w:t xml:space="preserve">Múltiplo</w:t>
      </w:r>
      <w:r>
        <w:t xml:space="preserve">: 22,8 veces el BPA adelantado, por debajo de su mediana de cinco años (25,0x).</w:t>
      </w:r>
    </w:p>
    <w:p>
      <w:pPr>
        <w:pStyle w:val="Heading2"/>
      </w:pPr>
      <w:r>
        <w:t xml:space="preserve">En contra</w:t>
      </w:r>
    </w:p>
    <w:p>
      <w:pPr>
        <w:pStyle w:val="ListParagraph"/>
        <w:numPr>
          <w:ilvl w:val="0"/>
          <w:numId w:val="2"/>
        </w:numPr>
        <w:spacing w:after="60"/>
      </w:pPr>
      <w:r>
        <w:rPr>
          <w:b/>
        </w:rPr>
        <w:t xml:space="preserve">Precio</w:t>
      </w:r>
      <w:r>
        <w:t xml:space="preserve">: valor intrínseco de 255,13 CHF, un 5,6 % por debajo del precio.</w:t>
      </w:r>
    </w:p>
    <w:p>
      <w:pPr>
        <w:pStyle w:val="ListParagraph"/>
        <w:numPr>
          <w:ilvl w:val="0"/>
          <w:numId w:val="2"/>
        </w:numPr>
        <w:spacing w:after="60"/>
      </w:pPr>
      <w:r>
        <w:rPr>
          <w:b/>
        </w:rPr>
        <w:t xml:space="preserve">Divisa</w:t>
      </w:r>
      <w:r>
        <w:t xml:space="preserve">: el franco restó 6,1 puntos de ventas en FY2026 y restará 3-4 al EBIT en FY2027.</w:t>
      </w:r>
    </w:p>
    <w:p>
      <w:pPr>
        <w:pStyle w:val="ListParagraph"/>
        <w:numPr>
          <w:ilvl w:val="0"/>
          <w:numId w:val="2"/>
        </w:numPr>
        <w:spacing w:after="60"/>
      </w:pPr>
      <w:r>
        <w:rPr>
          <w:b/>
        </w:rPr>
        <w:t xml:space="preserve">Ciclo de producto</w:t>
      </w:r>
      <w:r>
        <w:t xml:space="preserve">: Oticon Reveal ganó cuota en el 3T26 (+17 % orgánico en audífonos de Demant).</w:t>
      </w:r>
    </w:p>
    <w:p>
      <w:pPr>
        <w:pStyle w:val="ListParagraph"/>
        <w:numPr>
          <w:ilvl w:val="0"/>
          <w:numId w:val="2"/>
        </w:numPr>
        <w:spacing w:after="60"/>
      </w:pPr>
      <w:r>
        <w:rPr>
          <w:b/>
        </w:rPr>
        <w:t xml:space="preserve">Implantes</w:t>
      </w:r>
      <w:r>
        <w:t xml:space="preserve">: ventas −11,1 % en moneda local y margen del 6,8 % por China.</w:t>
      </w:r>
    </w:p>
    <w:p>
      <w:pPr>
        <w:pStyle w:val="ListParagraph"/>
        <w:numPr>
          <w:ilvl w:val="0"/>
          <w:numId w:val="2"/>
        </w:numPr>
        <w:spacing w:after="60"/>
      </w:pPr>
      <w:r>
        <w:rPr>
          <w:b/>
        </w:rPr>
        <w:t xml:space="preserve">Asignación de capital</w:t>
      </w:r>
      <w:r>
        <w:t xml:space="preserve">: Sennheiser Consumer se vende con una pérdida de dos tercios del precio pagado (330,6 M).</w:t>
      </w:r>
    </w:p>
    <w:p>
      <w:pPr>
        <w:pStyle w:val="Heading2"/>
      </w:pPr>
      <w:r>
        <w:t xml:space="preserve">Qué tiene que pasar para que la tesis funcione</w:t>
      </w:r>
    </w:p>
    <w:p>
      <w:pPr>
        <w:spacing w:after="100"/>
      </w:pPr>
      <w:r>
        <w:t xml:space="preserve">La tesis depende de que EON mantenga el mayorista por encima del mercado en los semestres de noviembre de 2026 y mayo de 2027, y de que el EBIT core crezca un 7-10 % en moneda local. La señal de que no se cumple: crecimiento del mayorista por debajo del 5 % en moneda local o margen bruto en moneda local a la baja en el 1S FY2027, o una pérdida de cuota visible en Amplifon tras integrar GN.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mayorista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(2S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EON mantiene la cuota frente a Reveal.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normalizado / EBIT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prometido en la estrategia.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sobre el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pp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pp</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es el mayor riesgo de cifras en CHF.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implantes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2S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con el nuevo procesador.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(mar-26)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compras de clínicas.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30,0x / 24,0x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Sonova nació en 1947 en Zúrich como AG für Elektroakustik, el origen de Phonak; dos familias fundadoras de la etapa moderna (Diethelm y Rihs) siguen con el 17 % del capital [4]. Cotiza en la SIX desde 1994 y adoptó el nombre Sonova en 2007. Creció comprando: Unitron (2001), Advanced Bionics (implantes, 2009), las redes minoristas que hoy forman AudioNova y Boots Hearingcare, y en 2022 Alpaca (EE. UU.), HYSOUND (China) y la división de consumo de Sennheiser. Esta última fue un error: se vende en 2026/27 tras perder valor. En 2025 cambió casi toda la cúpula (presidente, consejero delegado, director financiero y de operaciones) y en marzo de 2026 presentó una estrategia centrada en audífonos e implantes con la ambición de 6.000 M de ventas en FY2031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Zúrich (AG für Elektroakustik, origen de Phonak).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Advanced Bionics: entrada en implantes cocleares.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Sennheiser Consumer (330,6 M), Alpaca Audiology (286,3 M) y HYSOUND en China (243,8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Phonak Infinio y Sphere Infinio, primer audífono con red neuronal dedicada en el chip.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Bernard (ex WS Audiology) sustituye a Arnd Kaldowski como consejero delegado; Gilbert Achermann preside el consejo.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estrategia y venta de Consumer Hearing (marzo); lanzamiento de la plataforma Phonak EON con el chip HYPERSONIC (agosto-octubre).</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Sonova es el mayor fabricante mundial de audífonos y uno de los grandes minoristas del sector. Vende 3.605,9 M CHF (FY2026, sin Consumer Hearing) en tres negocios: Wholesale (1.861,8 M, 52 %), que fabrica y vende Phonak y Unitron a audioprotesistas independientes, cadenas como Costco (con la marca Sennheiser bajo licencia), clientes públicos como la VA de EE. UU. y sus propias tiendas; Retail (1.491,9 M, 41 %), una red de clínicas propias con marcas como AudioNova, Boots Hearingcare, Geers, HearUSA y HYSOUND; y Cochlear Implants (252,1 M, 7 %), Advanced Bionics [1]. Investiga en Suiza, fabrica en Suiza, China, Vietnam y México y vende en más de 100 países con 18.447 empleados [1, 2]. La división de consumo (auriculares Sennheiser, 233 M de ventas y pérdidas) se vende en FY2027 [6].</w:t>
      </w:r>
    </w:p>
    <w:p>
      <w:pPr>
        <w:pStyle w:val="Heading2"/>
      </w:pPr>
      <w:r>
        <w:t xml:space="preserve">Cómo gana dinero</w:t>
      </w:r>
    </w:p>
    <w:p>
      <w:pPr>
        <w:spacing w:after="100"/>
      </w:pPr>
      <w:r>
        <w:t xml:space="preserve">El dinero está en el chip y en la adaptación: el margen bruto del grupo es del 73,7 % y el margen EBITA normalizado del 22,5 % (23,7 % en audífonos, 6,8 % en implantes) [1]. Un audífono se repone cada 4-6 años; la demanda es poco cíclica y crece con el envejecimiento, y el precio medio sube con la mezcla premium. La I+D (217,7 M, 6,0 % de las ventas) financia una plataforma de chip propia cada 18-24 meses; el que acierta el ciclo gana cuota en el canal independiente. El minorista propio da volumen estable y datos, pero con más gasto comercial (35,7 % de las ventas en ventas y marketing). Hay apalancamiento operativo: en FY2026 las ventas crecieron un 5,9 % en moneda local y el EBITA normalizado un 17,3 % [1]. Estacionalidad: el segundo semestre (octubre-marzo) pesa ≈ 52 % de las ventas y ≈ 60 % del EBIT [5].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Instruments: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Instruments: Retail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 Implants (Advanced Bionics)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Instruments: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Hearing Instruments: Retail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 Implants (Advanced Bionics)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miles de audioprotesistas independientes, cadenas, la VA de EE. UU., Costco y el usuario final de las clínicas propias; ningún cliente supera el 10 % de las ventas en las notas [1]. Riesgos de concentración de canal: la integración de GN Hearing en Amplifon (el mayor minorista independiente) y la marca Sennheiser de los audífonos de Costco, que es una licencia de la familia Sennheiser [1]. Poder de precios demostrado: el precio medio subió en Wholesale y Retail en FY2026 con una inflación de costes contenida y el margen bruto en moneda local casi estable [1]; el precio medio del mercado cae por mezcla geográfica y de canal (VA, Costco), no por guerra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 del negocio mayorista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(FY2026); 10,9 % en el 2S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Infinio Ultra, Sphere y Virto R; la mayor ganancia de cuota en seis años según la empresa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 (continuadas)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(FY2025, con Consumer)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Lastrado por implantes (−11,1 % en moneda local por la compra centralizada en China)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normalizado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(FY2025 reexpresado)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 (+2,3 pp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y ahorro en Retail; la divisa restó 1,5 pp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arranque de la regionalización de fábricas y logística en el 1S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implantes cocleares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 en CHF</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China, sistemas +0,7 %; renovaciones −13,1 % por el ciclo del procesador Marvel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994,3 M con arrendamientos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Mismo perímetro que la ficha sectorial del repositorio y que el informe de Demant: cadena del audífono con prescripción (fabricación mayorista y venta minorista con adaptación profesional) más diagnóstico audiológico, mundial [11]. Fuera: implantes cocleares (7 % de las ventas de Sonova) y audio de consumo (Sennheiser, en venta). Usamos el tamaño minorista de Demant (≈ 20.700 M USD en 2025) pasado a CHF; Sonova no publica tamaño en valor, pero sí el crecimiento: 2-4 % en FY2027 y 3-5 % a medio plazo, por debajo del 4-6 % de Demant [2]. Las dos estimaciones de crecimiento son la segunda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17.250 M CHF en 2025 (valor minorista + diagnóstico, 20.700 M USD al cambio del BCE del 14-oct-2026) [11]; mayorista ≈ 5.800 M CHF (7.000 M USD)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(fabricación); fragmentada (minorista)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valor minorista + diagnóst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mayor acceso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+6 % anual de media en diez años; la penetración sigue baja [6,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producto e IA en el chip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Infinio llevó el mayorista de Sonova al +10,9 % en el 2S26; Oticon Reveal llevó el de Demant al +17 % en el 3T26 [2, 12]. Cuota que se gana y se pierde en 12-18 meses.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frenado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 espera solo un 2-4 % de crecimiento del mercado en FY2027; la compra centralizada (VBP) de China hundió los implantes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OTC y auriculares con función de audífono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OTC de la FDA (2022) y AirPods Pro autorizados como audífono para pérdida leve a moderada (2024) [11]; Sonova vendía su propio OTC (Sennheiser All-Day Clear) dentro de Consumer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 y grandes pagadores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 Alemania, NHS y VA fijan buena parte del volumen; VA y managed care presionan el precio medio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fabricantes con ≈ 90 % del mayorista; ciclos de 18-24 meses: Sonova ganó cuota en FY2026 y Demant la recupera en 2026 con Reveal [11,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Costco, VA, managed care y cadenas negocian volumen; Costco vende Phonak con marca Sennheiser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(SWORD, DEEPSONIC, HYPERSONIC) [13]; riesgo de suministro y aranceles, no de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de producto sanitario e I+D de 218 M CHF al año [2]; entrantes con IA (Fortell, 163 M USD captados) aún a escala de clínicas propias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AirPods Pro y OTC para pérdida leve a moderada; implantes solo para pérdida profunda [11].</w:t>
            </w:r>
          </w:p>
        </w:tc>
      </w:tr>
    </w:tbl>
    <w:p>
      <w:pPr>
        <w:spacing w:after="160" w:before="0"/>
      </w:pPr>
    </w:p>
    <w:p>
      <w:pPr>
        <w:pStyle w:val="Heading2"/>
      </w:pPr>
      <w:r>
        <w:t xml:space="preserve">Ciclo</w:t>
      </w:r>
    </w:p>
    <w:p>
      <w:pPr>
        <w:spacing w:after="100"/>
      </w:pPr>
      <w:r>
        <w:t xml:space="preserve">El mercado de audífonos creció por debajo de su tendencia en 2025 (incertidumbre en EE. UU.) y se recupera en 2026: Demant habla de +6-7 % en valor en el 3T y Sonova de un mercado del 2-4 % que mejora a lo largo de FY2027 [2, 12]. Históricamente es poco cíclico: en 2008-09 apenas cayó; en 2020 las ventas de Sonova bajaron un 10,8 % por el cierre de clínicas y rebotaron un 29 % en FY2022 [4]; la inflación de 2022-23 no tocó la demanda.</w:t>
      </w:r>
    </w:p>
    <w:p>
      <w:pPr>
        <w:pStyle w:val="Heading2"/>
      </w:pPr>
      <w:r>
        <w:t xml:space="preserve">Regulación</w:t>
      </w:r>
    </w:p>
    <w:p>
      <w:pPr>
        <w:spacing w:after="100"/>
      </w:pPr>
      <w:r>
        <w:t xml:space="preserve">En EE. UU., la regla OTC de la FDA (octubre de 2022) permite vender audífonos sin receta para pérdida leve a moderada, y desde septiembre de 2024 los AirPods Pro pueden funcionar como audífono autorizado [11]. En China, la compra centralizada por volumen (VBP) de implantes cocleares rebajó precios y volumen de Advanced Bionics en FY2026 [2]. En Europa, el reembolso público (Francia «100 % Santé», Alemania, NHS) sostiene el volumen. Aranceles de EE. UU. desde 2025: Sonova fabrica en Suiza, China, Vietnam y México y regionaliza producción y logística [2].</w:t>
      </w:r>
    </w:p>
    <w:p>
      <w:pPr>
        <w:pStyle w:val="Heading2"/>
      </w:pPr>
      <w:r>
        <w:t xml:space="preserve">Tendencias y disrupción</w:t>
      </w:r>
    </w:p>
    <w:p>
      <w:pPr>
        <w:spacing w:after="100"/>
      </w:pPr>
      <w:r>
        <w:t xml:space="preserve">La IA en el chip es el argumento de venta del premium: Phonak Sphere Infinio fue el primer audífono con red neuronal dedicada (2024) y EON (agosto de 2026) promete un 37 % más de eficiencia total y un 25 % menos de tamaño [13]. La ventaja dura un ciclo: Oticon Reveal de Demant respondió en 2026 [12]. Entrantes financiados por capital riesgo (Fortell, 740 M USD de valoración, 6.800 USD el par) atacan el tramo premium con clínicas propias [14]. Sonova gana con la IA mientras pueda financiar el chip; pierde si el tramo leve se va a la electrónica de consumo, de la que acaba de salir.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fabricante mundial de audífonos (Phonak, Unitron; ≈ 32 % del mayorista medido con sus ventas mayoristas) y 2.º-3.º minorista; 19,4 % del perímetro minorista + diagnóstico con las ventas de audífonos (3.353,8 M); 3.º en implantes cocleares (Advanced Bionics)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integrado (Oticon, clínicas, diagnóstico); EBIT antes de especiales del 17,2 % en 2025 frente al 21,2 % de Sonova; deuda neta 3,0x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 Audiology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Signia y Widex; de EQT y las familias de Widex; el actual consejero delegado de Sonova la dirigió en 2019-2024.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 (con GN Hearing)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minorista mundial; compra GN Hearing (ReSound, ≈ 900 M CHF de ventas) por 17.000 M DKK y pasa a fabricante integrado: riesgo de desvío de volumen [11,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Starkey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Privado; fuerte en el canal independiente de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implantes; su nuevo procesador del 2S26 le quitó cuota a Advanced Bionics en mercados desarrollados [2,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Apple (AirPods Pro) y OTC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Función de audífono autorizada por la FDA para pérdida leve a moderada y autoajuste; compite en el tramo de entrada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clínicas propias y el motor de captación de clientes dirigen volumen a Phonak, pero no hay red entre usuarios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audioprotesista trabaja con el software de ajuste del fabricante (Target) y la reposición cada 4-6 años tiende a repetir marca.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Phonak y chip propio con IA; I+D de 217,7 M (6,0 % de las ventas) [2]; ROCE del 18-24 % durante cinco años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escala del sector: margen EBITA normalizado del 22,5 % frente al 17,2 % de EBIT de Demant y el 11,7 % de Amplifon [2,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fabricantes con ≈ 90 % del mayorista; la regulación y la I+D hacen inviable un sexto fabricante con receta a gran escala [1].</w:t>
            </w:r>
          </w:p>
        </w:tc>
      </w:tr>
    </w:tbl>
    <w:p>
      <w:pPr>
        <w:spacing w:after="160" w:before="0"/>
      </w:pPr>
    </w:p>
    <w:p>
      <w:pPr>
        <w:pStyle w:val="Heading2"/>
      </w:pPr>
      <w:r>
        <w:t xml:space="preserve">Amenazas</w:t>
      </w:r>
    </w:p>
    <w:p>
      <w:pPr>
        <w:spacing w:after="100"/>
      </w:pPr>
      <w:r>
        <w:t xml:space="preserve">Tres amenazas, de más a menos probable. Primera, el ciclo de producto: la ventaja de Infinio duró dos años y Oticon Reveal ya gana cuota; si EON no la recupera en 2027, el mayorista volvería a crecer como el mercado (2-4 %) [2, 12]. Segunda, la integración de GN en Amplifon, primer cliente minorista independiente del sector, que puede desviar volumen a ReSound. Tercera, la electrónica de consumo en el tramo leve (AirPods Pro, OTC): probabilidad media a largo plazo, impacto bajo en el valor porque el grueso del mercado son pérdidas moderadas a profundas con adaptación profesional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FY2022-FY2026: ingresos </w:t>
      </w:r>
      <w:r>
        <w:rPr>
          <w:b/>
          <w:bCs/>
        </w:rPr>
        <w:t xml:space="preserve">1,8 %</w:t>
      </w:r>
      <w:r>
        <w:t xml:space="preserve">, EBITDA </w:t>
      </w:r>
      <w:r>
        <w:rPr>
          <w:b/>
          <w:bCs/>
        </w:rPr>
        <w:t xml:space="preserve">-0,3 %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 cinco años las ventas pasan de 3.363,9 M a 3.605,9 M, pero la cifra engaña: FY2022 incluye la recuperación del Covid (+29 %) y FY2026 excluye Consumer Hearing. En moneda local el grupo creció un 6-8 % en FY2023 y FY2025, un 3,2 % en FY2024 y un 5,9 % en FY2026; el franco fuerte restó 6,1 puntos solo en FY2026 (221 M) [1, 9, 10]. El margen EBITA normalizado cayó del 24,7 % de FY2022 al 20,6 % de FY2024 (inflación de componentes, Consumer con pérdidas y más gasto comercial en Retail) y se recupera al 22,5 % en FY2026 con ahorro en Retail y la escala de Infinio; sin la divisa habría sido del 24,0 % [1]. El EBIT publicado de FY2026 (675,8 M) lleva 104,3 M de partidas no recurrentes y reestructuración [5].</w:t>
      </w:r>
    </w:p>
    <w:p>
      <w:pPr>
        <w:pStyle w:val="Heading2"/>
      </w:pPr>
      <w:r>
        <w:t xml:space="preserve">Ajustes y partidas no recurrentes</w:t>
      </w:r>
    </w:p>
    <w:p>
      <w:pPr>
        <w:spacing w:after="100"/>
      </w:pPr>
      <w:r>
        <w:t xml:space="preserve">Usamos cifras publicadas. Dentro del EBITDA hay partidas que la empresa normaliza y que separamos como no recurrentes: en FY2026, 28,2 M de litigios de patentes, 23,6 M de responsabilidad de un implante antiguo y 0,6 M de compras; en FY2025, 13,8 M [1]. El deterioro de software de 34,7 M (FY2026) está en amortizaciones. Desde FY2027 la empresa publica un EBIT «core» que excluye también la reestructuración (FY2026: 780,1 M frente a 762,9 M normalizado) [5]. Nuestro BPA (de la proyección) está en la base normalizada (FY2026: 10,42), que deja la reestructuración dentro.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 resultados del 18-may-2026 la dirección nueva (Bernard y Carr-Cingari) defendió tres mensajes: el mayorista gana cuota (+10,9 % en moneda local en el 2S, la mayor ganancia en seis años), el apalancamiento operativo continúa (EBIT core +7-10 % frente a ventas +5-8 %) y FY2027 trae una plataforma nueva [2, 8]. Frente a la estrategia de marzo, el discurso cambió en el mercado: Sonova lo ve crecer solo un 2-4 % en FY2027, por debajo del 4-6 % que dice Demant [2]. Las preguntas de los analistas se repitieron sobre la divisa (−3-4 puntos de EBIT en CHF), los implantes en China, el precio de venta de Consumer Hearing y el ritmo de compras de clínicas. La dirección no dio cifra del precio esperado por Consumer ni plazo de recuperación de los implantes más allá de «segundo semestre, sujeto a aprobaciones». El primer semestre de FY2026 decepcionó (−7,1 % en bolsa el 14-nov-2025) por el margen bruto y Consumer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Consumer Hearing (Sennheiser) pasa a actividad interrumpida desde FY2026: la cuenta y los flujos de FY2025 están reexpresados (ventas 3.612,9 M frente a 3.865,4 M publicados); FY2022-FY2024 incluyen el negocio (≈ 250 M de ventas al año) y no son del todo comparables [1, 3].; FY2022: Compras de Sennheiser Consumer y Alpaca Audiology cerradas el 1-mar-2022: entran en el balance de marzo de 2022 con un mes de cuenta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holgado: deuda neta con arrendamientos de 994,3 M, 1,1 veces el EBITDA, con bonos en francos al 0-1,95 % y vencimientos escalonados de 2028 a 2034 [1]. La deuda subió en FY2022-FY2023 para pagar recompras (1.124 M en dos años) y las compras de Alpaca, Sennheiser y HYSOUND, y desde entonces baja con la caja libre. El circulante comercial es del 20 % de las ventas (existencias de 381 M y clientes de 527 M); las existencias bajaron un 19 % en FY2026, en parte por pasar 48 M de Consumer a mantenidos para la venta [1]. El consenso espera una deuda neta de 708 M en marzo de 2027 [21]: hay margen para compras o recompras sin pasar de 1,5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2.900</w:t>
      </w:r>
      <w:r>
        <w:t xml:space="preserve">, conversión </w:t>
      </w:r>
      <w:r>
        <w:rPr>
          <w:b/>
          <w:bCs/>
        </w:rPr>
        <w:t xml:space="preserve">97 %</w:t>
      </w:r>
      <w:r>
        <w:t xml:space="preserve"> del beneficio neto; adquisiciones 1.074, dividendos 1.262, recompras 1.442.</w:t>
      </w:r>
    </w:p>
    <w:p>
      <w:pPr>
        <w:spacing w:after="100"/>
      </w:pPr>
      <w:r>
        <w:t xml:space="preserve">La conversión del beneficio en caja es alta: la caja libre después de arrendamientos e intereses suma 2.900 M en cinco años, el 97 % del beneficio neto. FY2022 está inflado por el cobro de circulante tras el Covid y FY2023 recoge la reposición de existencias. El capex (2,8-4,1 % de las ventas) es casi todo de mantenimiento: clínicas, fábricas y software; la parte de crecimiento son las compras de clínicas (45-100 M al año desde FY2024) y las altas de derechos de uso. La caja se ha usado en dividendos (1.262 M), recompras (1.442 M, casi todas en FY2022-FY2023 a precios de 300-380 CHF) y compras (1.074 M) [1, 3,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AG, Zúrich (reelegido en la junta de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Ernst &amp; Young con opinión favorable [1]. Sin cambios de criterio relevantes salvo la reexpresión por Consumer Hearing (NIIF 5). Capitaliza desarrollo (17,5 M en FY2026) y lo amortiza; la remuneración en acciones (19,3 M) es pequeña frente al beneficio (3,6 %). Deterioros: 34,7 M de software y 38,3 M de Consumer en FY2026; ninguno del fondo de comercio de audífonos (2.026,5 M) ni de implantes (257,8 M), con holgura en las pruebas de +1 punto de tasa [1]. La normalización de la empresa es moderada (≈ 1,4 CHF por acción en FY2026) y se apoya en partidas concretas (litigios, responsabilidad de producto) que, sin embargo, se repiten en implantes. Indicadores del motor: Altman Z de 5,14 (sin riesgo), Piotroski F de 8 (fuerte) y Beneish M de −2,76 (sin señal de manipulación). El tipo impositivo bajo de FY2024 (5,8 %) fue un efecto puntual de la reforma fiscal.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Normalizaciones recurrentes en implantes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y responsabilidad de producto de Advanced Bionics aparecen varios años; 51,8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métrica guiada (EBIT «core» desde FY2027)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también la reestructuración: el «core» de FY2026 es 17,2 M mayor que el normalizado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Consumer Hearing valorado a 110,7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la venta sale por debajo, habrá otra pérdida en actividades interrumpidas (sin efecto en la caja operativa)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6,5 %.</w:t>
      </w:r>
    </w:p>
    <w:p>
      <w:pPr>
        <w:spacing w:after="100"/>
      </w:pPr>
      <w:r>
        <w:t xml:space="preserve">Sonova crea valor con holgura: el ROIC del motor es del 16,7 % en FY2026 frente a un WACC del 6,46 %, más de 10 puntos, y nunca ha bajado del 15,8 % en cinco años; la empresa publica un ROCE del 19,0 % [1]. Sin el fondo de comercio de las compras (2.284 M) el retorno del negocio es del orden del 43 % (estimación propia: NOPAT de 620 M sobre 1.433 M de capital). El ROIC baja del 20,9 % de FY2022 al 15,8 % de FY2025 por margen (Consumer, inflación y divisa) y por las compras de 2022, que añadieron capital con poco beneficio; se recupera en FY2026 con el margen. La rotación del capital (0,62) es la de un grupo con mucho fondo de comercio. Frente a Demant (ROIC del 11,1 % con WACC del 7,69 %, 3,4 puntos) [12], Sonova rinde más con menos deuda: compra menos clínicas y gana más en la fabricación.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721,9 M a 31-mar-2026 más 296 M sin disponer de la línea sindicada de 400 M (hasta abril de 2029, ampliable a 500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publicado en el informe anual; bonos senior en CHF al 0-1,95 %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publicados en los bonos en CHF. Pasivos de contrato por garantías y servicio vendidos con el audífono: 237,2 M (97,7 M a corto y 139,5 M a largo), que son ingresos diferidos, no deuda [1]. Provisiones de 165,4 M, con la de responsabilidad de producto de implantes ampliada en 23,6 M [1]. Pensiones: activo neto de 4,5 M (plan suizo con superávit). Pagos contingentes de compras: 2,8 M, ya dentro de la deuda financiera. Consumer Hearing en venta: activos netos de 110,7 M a valor razonable menos costes de venta [1].</w:t>
      </w:r>
    </w:p>
    <w:p>
      <w:pPr>
        <w:pStyle w:val="Heading1"/>
      </w:pPr>
      <w:r>
        <w:t xml:space="preserve">12. Asignación de capital</w:t>
      </w:r>
    </w:p>
    <w:p>
      <w:pPr>
        <w:pStyle w:val="Confianza"/>
        <w:spacing w:after="100"/>
      </w:pPr>
      <w:r>
        <w:t xml:space="preserve">Confianza: Alta</w:t>
      </w:r>
    </w:p>
    <w:p>
      <w:pPr>
        <w:spacing w:after="100"/>
      </w:pPr>
      <w:r>
        <w:t xml:space="preserve">Reparto de en torno al 40-50 % del beneficio normalizado en dividendo (4,70 CHF por FY2026, ≈ 45 %, el más alto de su historia) [2]. La estrategia de marzo de 2026 prioriza inversión orgánica y compras de clínicas «geo-dirigidas», con recompras cuando sobra caja y un balance fuerte [6]. No hay programa de recompra en vigor; la autocartera (222.207 acciones) es para planes de empleados. La venta de Consumer Hearing liberará ≈ 110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Sennheiser Consumer Division (auriculares premium)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(98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pérdidas operativas, deterioro de 38,3 M en FY2026 y valor neto en venta de solo 110,7 M; se vende en FY2027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Alpaca Audiology (≈ 220 clínicas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Retail EE. UU.; sin deterioro del fondo de comercio de audífonos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HYSOUND (≈ 200 clínicas en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China crece a dos dígitos en FY2026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clínicas (Alemania, Italia, Francia, Australia,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Aportan 0,5-1,3 pp de crecimiento al año [1, 3].</w:t>
            </w:r>
          </w:p>
        </w:tc>
      </w:tr>
    </w:tbl>
    <w:p>
      <w:pPr>
        <w:spacing w:after="160" w:before="0"/>
      </w:pPr>
    </w:p>
    <w:p>
      <w:pPr>
        <w:spacing w:after="100"/>
      </w:pPr>
      <w:r>
        <w:t xml:space="preserve">Asignación de capital irregular. Bien: dividendo creciente, deuda baja y una red minorista comprada en general a precios razonables (Alpaca, HYSOUND y compras pequeñas). Mal: 1.124 M de recompras en FY2022-FY2023 a 300-380 CHF, por encima del precio de hoy, y la compra de Sennheiser Consumer (330,6 M en 2022), que se vende con una pérdida de dos tercios del valor tras años de pérdidas [1, 4]. El ROIC incremental de FY2022-FY2026 es negativo porque el capital comprado no ha aumentado el beneficio (la divisa también resta). La dirección nueva ha cortado lo que no funcionaba; falta ver la disciplina en las compras de clínicas.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WS Audiology en 2019-2024 (fusión de Widex y Sivantos) y 25 años en Essilor. En su primer año: estrategia nueva, venta de Consumer Hearing y regionalización de la operación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Elodie Carr-Cingari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Landis+Gyr (2020-2025) y de Hoerbiger; antes en Alstom y General Electric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Gilbert Achermann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Straumann de 2010 a 2024, tras ser su director financiero y consejero delegado: la referencia de creación de valor en la tecnología médica suiza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di Fiore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noviembre de 2025 para sustituir a Ludger Althoff; dirige la regionalización de fábricas y logística [17,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Anders Rosengren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Ericsson (estrategia, software y arquitectura); responsable de la plataforma EON [17].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EBITA normalizado +14-18 % en moneda local (mayo de 2025); en marzo de 2026, «parte baja»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EBITA normalizado +17,3 % (actividades continuadas)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+6-9 % y EBITA ajustado +7-11 % en moneda local (mayo de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+7,6 % y EBITA ajustado +7,4 %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en los documentos leídos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+3,2 % y EBITA ajustado +4,4 % en moneda local; −3,0 % en CHF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+5-8 % y EBIT core +7-10 % en moneda local; divisa −1-2 pp en ventas y −3-4 pp en EBIT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(semestre el 17-nov-2026)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y con experiencia del sector: Eric Bernard dirigió WS Audiology (competidor directo) y Gilbert Achermann presidió Straumann en su mejor década [17]. El riesgo es la rotación: en seis meses de 2025 cambiaron presidente, consejero delegado, director financiero, de I+D y de operaciones [17, 18]. La credibilidad de la guía es buena: FY2025 y FY2026 se cumplieron (FY2026 en la parte baja de ventas) [9]. Sin participaciones relevantes de los directivos nuevos; el plan a largo plazo pasa a medirse con TSR, EBIT acumulado y ROCE desde FY2027 [18].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Gilbert Achermann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e innovación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Widmer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Diggelmann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Behar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Stoltenberg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Ingrid Cotoros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en la junta de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Malina Man Lin Ngai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en la junta de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(propuesta)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Hooi Ling Tan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(propuesta en la junta de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Beda Diethelm y Annamaria Diethelm-Pandiani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sin pacto con otros accionistas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Rihs (Hans-Ulrich, Gabriela y Stefan)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MFS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por encima del 3 %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5,08 % a menos del 3 % (dic-2025)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222.207 acciones (18.825 un año 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2,61 M CHF en FY2026 (fijo 0,75 M por el año parcial, variable anual 0,66 M y opciones y acciones por 1,05 M); su salario anual está fijado en 1,0 M [18]. La dirección entera cobró 8,47 M. Desde FY2027 el variable anual depende de crecimiento de ventas y EBIT core más objetivos estratégicos (0-200 %) y el plan a largo plazo pasa a ser solo de acciones con TSR relativo (30 %), EBIT acumulado (40 %) y ROCE (30 %), a tres años [18]. Premia rentabilidad y no solo crecimiento. Hay cláusula de recuperación. En la junta de 2025 la remuneración de la dirección se aprobó con el 89,97 % y el informe con el 92,20 % [18].</w:t>
      </w:r>
    </w:p>
    <w:p>
      <w:pPr>
        <w:pStyle w:val="Heading2"/>
      </w:pPr>
      <w:r>
        <w:t xml:space="preserve">Operaciones vinculadas, estructura de control y defensas</w:t>
      </w:r>
    </w:p>
    <w:p>
      <w:pPr>
        <w:spacing w:after="100"/>
      </w:pPr>
      <w:r>
        <w:t xml:space="preserve">Sin accionista de control: las dos familias fundadoras (Diethelm 11,3 % y Rihs 6,2 %) no tienen pacto y pueden vender libremente [17]. Una acción, un voto, con la restricción habitual suiza de inscripción de nominativas sin derecho de voto para fiduciarios por encima de ciertos límites. Sin operaciones vinculadas relevantes. El consejo es independiente en su totalidad (presidente no ejecutivo). Capital autorizado y condicional de hasta 9,99 % para operaciones y planes [17].</w:t>
      </w:r>
    </w:p>
    <w:p>
      <w:pPr>
        <w:pStyle w:val="Heading2"/>
      </w:pPr>
      <w:r>
        <w:t xml:space="preserve">Señales de alerta</w:t>
      </w:r>
    </w:p>
    <w:p>
      <w:pPr>
        <w:pStyle w:val="ListParagraph"/>
        <w:numPr>
          <w:ilvl w:val="0"/>
          <w:numId w:val="2"/>
        </w:numPr>
        <w:spacing w:after="60"/>
      </w:pPr>
      <w:r>
        <w:t xml:space="preserve">Rotación casi completa de la cúpula en 2025: presidente (junio), director financiero (julio), consejero delegado (septiembre), I+D (octubre) y operaciones (diciembre) [17, 18].</w:t>
      </w:r>
    </w:p>
    <w:p>
      <w:pPr>
        <w:pStyle w:val="ListParagraph"/>
        <w:numPr>
          <w:ilvl w:val="0"/>
          <w:numId w:val="2"/>
        </w:numPr>
        <w:spacing w:after="60"/>
      </w:pPr>
      <w:r>
        <w:t xml:space="preserve">Venta de Consumer Hearing con pérdida: valor en libros de 110,7 M frente a 330,6 M pagados en 2022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(abril de 2026 a marzo de 2027), del 18-may-2026: ventas +5-8 % y EBIT «core» +7-10 % en moneda local; con los cambios de principios de mayo, la divisa resta 1-2 puntos a las ventas y 3-4 al EBIT en francos [2]. A medio plazo (estrategia del 23-mar-2026): ventas +5-10 % y EBIT core +7-12 % anual en moneda local, con la ambición de 6.000 M de ventas en FY2031 [2]. Mercado esperado: 2-4 % en FY2027, hacia el 3-5 % a medio plazo. Dividendo de 4,70 CHF (≈ 45 % de reparto). Sin cambios de guía desde mayo; el semestre se publica el 17-nov-2026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 – 350,00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[21]. El objetivo medio (250,37 CHF) va un 6 % por debajo del precio tras la subida del 65 % desde el mínimo de marzo; la recomendación media es «Outperform» [22]. Las ventas de FY2027e (3.867 M) son un 7,2 % más que FY2026, en la parte alta de la guía en moneda local sin descontar la divisa; el BPA de FY2027e (10,32) parece mezclar el publicado con partidas no recurrentes y la venta de Consumer, porque el EBIT esperado (832,6 M) daría más de 11 CHF por acción. Sin serie de revisiones legible.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vivido dos años malos y un rebote fuerte. Cayó un 54,9 % entre noviembre de 2021 y el mínimo de 163 CHF del 23-mar-2026 (día de la estrategia y del aviso de ventas en la parte baja de la guía), por la normalización tras el Covid, la pérdida de margen de FY2023-FY2024 y el franco fuerte [20]. Desde entonces sube un 66 % hasta 270,40 CHF, máximo de 52 semanas el 13-oct: resultados en línea, mayorista acelerando, el rebote de todo el sector (Demant +65 % en el año) y el lanzamiento de EON en agosto [2, 20]. En el año gana un 30,6 % frente al 6,5 % del SMI. Beta de 1,12 (mensual, cinco años) y 0,88 (semanal, dos años); volatilidad del 27,9 % [20].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de los últimos doce meses Sonova cotiza a 17,2 veces el EBITDA, en su media de cinco años (17,6x), y a 30 veces el beneficio publicado, en el percentil 80, porque el BPA publicado de FY2026 lleva partidas no recurrentes. Con el beneficio adelantado (precio ÷ BPA normalizado del año siguiente), la base de la regla a 12 meses, cotiza a 22,8 veces nuestro BPA de FY2028e frente a una mediana de 25,0 veces en cinco años y un mínimo de 16,7 veces en marzo de 2026: un 9 % por debajo de su historia. La mediana incluye el 35,5x de marzo de 2022 (euforia post-Covid); sin él sería de 24,8x. Lo estructural que cambia: el franco fuerte resta crecimiento en CHF cada año.</w:t>
      </w:r>
    </w:p>
    <w:p>
      <w:pPr>
        <w:pStyle w:val="Heading1"/>
      </w:pPr>
      <w:r>
        <w:t xml:space="preserve">18. Comparables cotizados</w:t>
      </w:r>
    </w:p>
    <w:p>
      <w:pPr>
        <w:pStyle w:val="Confianza"/>
        <w:spacing w:after="100"/>
      </w:pPr>
      <w:r>
        <w:t xml:space="preserve">Confianza: Media</w:t>
      </w:r>
    </w:p>
    <w:p>
      <w:pPr>
        <w:spacing w:after="100"/>
      </w:pPr>
      <w:r>
        <w:t xml:space="preserve">Comparables del sector de audífonos (Demant, Amplifon, Cochlear) y de tecnología médica de venta a través de profesionales con márgenes altos (Straumann, Coloplast, Alcon, Smith &amp; Nephew, Edwards). GN Store Nord fuera (pérdidas tras vender GN Hearing) y WS Audiology y Starkey no cotizan. Edwards y Straumann crecen más (9-11 %); Smith &amp; Nephew y Alcon son de crecimiento y margen menores; los mantenemos para que la mediana no sea solo del sector, con tres cotizadas.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14,4x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15,4x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22,7x / 26,5x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3,8x / 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9,8 + 0,55 × crecimiento; R² = 0,22. El crecimiento explica poco los múltiplos de estos comparables (R² &lt; 0,3): la regresión no se usa en la valoración.</w:t>
      </w:r>
    </w:p>
    <w:p>
      <w:pPr>
        <w:spacing w:after="100"/>
      </w:pPr>
      <w:r>
        <w:t xml:space="preserve">Sonova cotiza a 24,0 veces el BPA de los próximos doce meses (consenso), frente a una mediana de 22,7 veces en los comparables, y a 15,1 veces el EBITDA frente a 14,4 veces: una prima pequeña (5-6 %) que se justifica por un ROIC del 16,7 % frente al 11,1 % de mediana y menos deuda (1,0x frente a 1,5x) [26, 27]. Frente a Demant, la comparación directa: Sonova cotiza a 24x frente a 22,7x con un margen EBITDA de 27,4 % frente a 23,9 % y la mitad de deuda, pero crece menos en los próximos doce meses (6,9 % frente al 10,6 % de Demant, que suma la compra de KIND y el ciclo de Oticon Reveal). Usaríamos el PER: el EV/EBITDA de Amplifon no es comparable tras GN.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(ReSound, Beltone)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17.000 M DKK libre de caja y deuda; EBITDA pro forma 2025 de 1.185 M DKK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KIND Group (≈ 650 clínicas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700 M EUR; ≈ 17 veces el EBIT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Sennheiser Consumer Division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330,6 M CHF menos 65,4 M de caja adquirida; ventas ≈ 250 M EUR (estimación propia del múltiplo). Audio de consumo: no comparable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Alpaca Audiology (≈ 220 clínicas en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ni EBITDA publicados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HYSOUND (≈ 200 clínicas en China)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ventas ni EBITDA publicados [4].</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valoran negocios de audición a 2,4-2,6 veces las ventas y unas 14 veces el EBITDA (Amplifon–GN Hearing, Demant–KIND) [12]. Sonova cotiza a 4,7 veces las ventas y 17,2 veces el EBITDA: por encima de esos precios de control, porque es el líder con más margen. No es objeto plausible de una OPA (16.000 M CHF, sin un comprador natural con capacidad y riesgo de competencia). La venta de Sennheiser Consumer (pagada a ≈ 1 vez las ventas en 2022) se hará a menos de 0,5 veces: el audio de consumo vale poco.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+5,0 % en CHF, punto medio de la guía (+5-8 % en moneda local) menos 1,5 puntos de divisa [2]. FY2028-FY2029: +6,5 %, con un mercado que vuelve a su 3-5 %, cuota del mayorista y ≈ 1 punto de compras de clínicas. Después baja al 4,0 % en FY2033. La media (5,5 %) queda por debajo del 5-10 % a medio plazo de la estrategia y lejos de la ambición de 6.000 M en FY2031, que exigiría ≈ 10,7 % anual [6]. Historia: 3-8 % en moneda local en FY2023-FY2026, menos en CHF. El consenso espera +7,2 % en FY2027 y +6,5 % en FY2028 [21].</w:t>
      </w:r>
    </w:p>
    <w:p>
      <w:pPr>
        <w:keepNext/>
        <w:spacing w:after="100"/>
      </w:pPr>
      <w:r>
        <w:rPr>
          <w:b/>
          <w:bCs/>
        </w:rPr>
        <w:t xml:space="preserve">Márgenes.</w:t>
      </w:r>
    </w:p>
    <w:p>
      <w:pPr>
        <w:spacing w:after="100"/>
      </w:pPr>
      <w:r>
        <w:t xml:space="preserve">Margen EBITDA (normalizado, con alquileres en amortización) del 27,4 % en FY2027e, igual que FY2026: la guía de EBIT core en CHF (+3,5-6,5 %) crece como las ventas. Sube al 29,0 % en FY2031 con apalancamiento operativo y ahorro estructural (la estrategia promete EBIT core +7-12 % con ventas +5-10 %) [6]. Precedentes: 29,7 % en FY2022 y 27,0 % en FY2023 (con Consumer) [1]. El consenso de FY2029 (EBITDA 1.269 M, 28,9 %) está casi igual [21].</w:t>
      </w:r>
    </w:p>
    <w:p>
      <w:pPr>
        <w:keepNext/>
        <w:spacing w:after="100"/>
      </w:pPr>
      <w:r>
        <w:rPr>
          <w:b/>
          <w:bCs/>
        </w:rPr>
        <w:t xml:space="preserve">Inversión y circulante.</w:t>
      </w:r>
    </w:p>
    <w:p>
      <w:pPr>
        <w:spacing w:after="100"/>
      </w:pPr>
      <w:r>
        <w:t xml:space="preserve">Capex del 6,0 % de las ventas: 2,8 % de inmovilizado e intangibles (102,7 M en FY2026), ≈ 1,9 % de altas de derechos de uso de las clínicas y ≈ 1,3 % de compras de clínicas, porque el crecimiento proyectado incluye ≈ 1 punto comprado [1]. Amortización del 6,2 % al 5,8 % (incluye 48 M de intangibles de compras y la de derechos de uso). Circulante comercial del 20 % de las ventas, como en FY2026 (20,3 %).</w:t>
      </w:r>
    </w:p>
    <w:p>
      <w:pPr>
        <w:keepNext/>
        <w:spacing w:after="100"/>
      </w:pPr>
      <w:r>
        <w:rPr>
          <w:b/>
          <w:bCs/>
        </w:rPr>
        <w:t xml:space="preserve">Coste del capital.</w:t>
      </w:r>
    </w:p>
    <w:p>
      <w:pPr>
        <w:spacing w:after="100"/>
      </w:pPr>
      <w:r>
        <w:t xml:space="preserve">Todo en francos. Tasa libre del 0,54 % (Confederación a 10 años, 8-oct-2026) [23]; beta 1,0, entre la mensual de cinco años (1,12) y la semanal de dos años (0,88) frente al SMI [20]; prima de mercado del 5,5 % y 1 punto adicional, como en los demás informes suizos del repositorio, porque los flujos están en euros, dólares y yuanes y el bono suizo es anormalmente bajo. Coste de la deuda del 1,5 % antes de impuestos (bonos al 0-1,95 %), tipo del 16 % y 10 % de deuda. WACC 6,46 % (Demant 7,69 % en coronas).</w:t>
      </w:r>
    </w:p>
    <w:p>
      <w:pPr>
        <w:keepNext/>
        <w:spacing w:after="100"/>
      </w:pPr>
      <w:r>
        <w:rPr>
          <w:b/>
          <w:bCs/>
        </w:rPr>
        <w:t xml:space="preserve">Valor terminal.</w:t>
      </w:r>
    </w:p>
    <w:p>
      <w:pPr>
        <w:spacing w:after="100"/>
      </w:pPr>
      <w:r>
        <w:t xml:space="preserve">Crecimiento a perpetuidad del 1,0 % en francos, coherente con la inflación suiza y por debajo del crecimiento real del mercado (4-6 %); el múltiplo implícito del terminal debe quedar cerca de las 14-15 veces el EBITDA de los comparables [26].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M (5 % del NOPAT)</w:t>
            </w:r>
          </w:p>
        </w:tc>
      </w:tr>
    </w:tbl>
    <w:p>
      <w:pPr>
        <w:spacing w:after="160" w:before="0"/>
      </w:pPr>
    </w:p>
    <w:p>
      <w:pPr>
        <w:spacing w:after="100"/>
      </w:pPr>
      <w:r>
        <w:t xml:space="preserve">La proyección apenas necesita inversión neta de la amortización (reinversión acumulada de 326 M, el 5 % del NOPAT, con un capex bruto medio del 6,0 %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ventas +5-8 % en moneda local (punto medio 6,5 %) con ≈ 1 punto de compras, menos 1,5 puntos de divisa [2]. Volumen del mayorista con EON y del minorista con aperturas.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del 3-4 % en unidades más cuota; precio medio +1,5 % por mezcla premium; compras de clínicas ≈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FY2028e; segundo año de EON y recuperación de implantes.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plataforma (ciclo de 2 años); volumen algo menor.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mercado (3-5 %) más compras.</w:t>
            </w:r>
          </w:p>
        </w:tc>
      </w:tr>
    </w:tbl>
    <w:p>
      <w:pPr>
        <w:spacing w:after="160" w:before="0"/>
      </w:pPr>
    </w:p>
    <w:p>
      <w:pPr>
        <w:spacing w:after="100"/>
      </w:pPr>
      <w:r>
        <w:t xml:space="preserve">La calidad sostiene el crecimiento proyectado. La proyección necesita poca inversión neta (reinversión del 5 % del NOPAT), así que la prueba es el poder de precios y la cuota. La cuota en el perímetro minorista + diagnóstico pasa del 19,4 % al ≈ 19,7 % en FY2033 (estimación propia: ventas de audífonos de ≈ 5.000 M frente a un mercado de ≈ 25.500 M al 5 %), 1,02 veces la actual; el crecimiento medio del 5,5 % es el del mercado más un punto de compras. El ROIC del 16,7 % (10 puntos sobre el WACC) y el poder de precios demostrado (precio medio al alza en FY2026 en mayorista y minorista) lo financian sin capital nuevo. Ninguna prueba falla;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6,5 %)</w:t>
            </w:r>
          </w:p>
        </w:tc>
      </w:tr>
    </w:tbl>
    <w:p>
      <w:pPr>
        <w:spacing w:after="160" w:before="0"/>
      </w:pPr>
    </w:p>
    <w:p>
      <w:pPr>
        <w:spacing w:after="100"/>
      </w:pPr>
      <w:r>
        <w:t xml:space="preserve">El DCF da 259,56 CHF por acción, un 4,0 % por debajo del precio, con el 73 % del valor en el terminal. El DCF inverso dice que el precio de 270,40 descuenta un crecimiento de las ventas del 6,3 % anual en FY2027-FY2033 frente al 5,5 % de nuestro base, o un margen EBITDA del 29,9 % frente al 29,0 %, y una rentabilidad anual implícita del 6,3 %, casi igual que nuestro WACC (6,46 %). Es exigente, pero poco: el precio pide algo más que el mercado y la cuota, cerca del 5-10 % que promete la empresa, sin llegar a su ambición de 6.000 M. Con la prima implícita del mercado (4,2 %), el DCF sube a 336,17 (+24 %): la diferencia entre las dos lecturas es de tasa de descuento, no de cifras. Frente a Demant, que descuenta un 10,5 % anual frente al 5,8 % de su base, Sonova está mucho más cerca de su valor.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EON no recupera el terreno frente a Oticon Reveal, Amplifon empuja ReSound tras comprar GN y el mercado se queda en un 2-3 %; el franco resta otra vez. Crecimiento 2,5 puntos menor y margen 2 puntos por debajo: ya pasó en FY2024 (+3,2 % en moneda local y margen del 20,6 %).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en el punto medio, mercado que vuelve al 3-5 % y margen EBITDA que sube 1,6 puntos en cinco años con apalancamiento operativo.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EON repite el éxito de Infinio, el mercado acelera con la IA y las compras de clínicas suman más: crecimiento 1,5 puntos mayor y margen 1 punto por encima, cerca de la ambición de la estrategia.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27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250,16 CHF (-7,5 %).</w:t>
      </w:r>
    </w:p>
    <w:p>
      <w:pPr>
        <w:spacing w:after="100"/>
      </w:pPr>
      <w:r>
        <w:t xml:space="preserve">Por DCF la asimetría es desfavorable: el alcista vale 294,32 (+8,8 %) y el bajista 187,19 (−30,8 %). A 12 meses, con la regla de múltiplos, el alcista da +35 % y el bajista −31 %: la diferencia es que el mercado paga hoy 22,8 veces el beneficio adelantado, por debajo de su mediana, y la regla supone que el múltiplo vuelve a medio camino. El bajista pesa mucho porque el mínimo de cinco años (16,7x) es de hace solo siete meses. No compensa comprar al precio de hoy.</w:t>
      </w:r>
    </w:p>
    <w:p>
      <w:pPr>
        <w:pStyle w:val="Heading1"/>
      </w:pPr>
      <w:r>
        <w:t xml:space="preserve">22. Suma de partes</w:t>
      </w:r>
    </w:p>
    <w:p>
      <w:pPr>
        <w:pStyle w:val="Confianza"/>
        <w:spacing w:after="100"/>
      </w:pPr>
      <w:r>
        <w:t xml:space="preserve">Confianza: Media</w:t>
      </w:r>
    </w:p>
    <w:p>
      <w:pPr>
        <w:spacing w:after="100"/>
      </w:pPr>
      <w:r>
        <w:t xml:space="preserve">No aplica: audífonos (93 % de las ventas) e implantes comparten I+D, canal y fondo de comercio, y los implantes (252,1 M de ventas y 17,2 M de EBITA normalizado) valen menos del 3 % del grupo incluso a 3 veces las ventas. Consumer Hearing, en venta, entra en el puente a su valor en libros (110,7 M, ≈ 1,9 CHF por acción)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27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255,13 CHF (-5,6 % sobre 270,40).</w:t>
      </w:r>
    </w:p>
    <w:p>
      <w:pPr>
        <w:spacing w:after="100"/>
      </w:pPr>
      <w:r>
        <w:t xml:space="preserve">Pesamos el DCF (40 %) y los escenarios (40 %) porque el negocio es estable y predecible, y los comparables (20 %) porque mezclan negocios de crecimiento distinto. Transacciones sin peso: valoran control de negocios peores. La dispersión es moderada: el DCF da 259,56, el PER de los comparables 255,96 y el EV/EBITDA de los comparables 256,41 en la mediana; los escenarios ponderan 250,16. El valor intrínseco es de 255,13 CHF, un 5,6 % por debajo del precio. Con la prima implícita del mercado sería de 314,77 (+16,4 %). Consumer Hearing apenas mueve el valor (≈ 1,9 CHF por acción): vender Sennheiser es limpieza, no tesis.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(22.8x) a mitad de camino hacia la mediana de 5 años (25x)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r>
    </w:tbl>
    <w:p>
      <w:pPr>
        <w:spacing w:after="160" w:before="0"/>
      </w:pPr>
    </w:p>
    <w:p>
      <w:pPr>
        <w:spacing w:after="100"/>
      </w:pPr>
      <w:r>
        <w:rPr>
          <w:b/>
          <w:bCs/>
        </w:rPr>
        <w:t xml:space="preserve">Objetivo a 12 meses (ponderado):</w:t>
      </w:r>
      <w:r>
        <w:t xml:space="preserve"> 292,05 CHF · rentabilidad +9,7 % (base +17,1 %) · señal Mantener.</w:t>
      </w:r>
    </w:p>
    <w:p>
      <w:pPr>
        <w:spacing w:after="100"/>
      </w:pPr>
      <w:r>
        <w:t xml:space="preserve">Para comparar, con la regla v2 (historia al cierre, mismo precio): 17,2x / 22,8x / 26,7x, 9,4 %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FY2029e (13,05) está un 1,5 % por debajo del consenso (13,25) y el de FY2028e (11,87) un 1,8 % por debajo (12,09): coinciden en ventas (4.294 frente a 4.395 M) y margen; la diferencia es un tipo impositivo algo mayor (16 %). Nuestro BPA de FY2027e (10,71) está por encima del consenso (10,32), que parece mezclar partidas no recurrentes o la venta de Consumer. Nuestro precio base (311,90) queda por encima del objetivo medio de los analistas (250,37), que va por detrás de la cotización tras la subida desde marzo: es diferencia de múltiplo y de fecha (miramos FY2029e), no de beneficio.</w:t>
      </w:r>
    </w:p>
    <w:p>
      <w:pPr>
        <w:keepNext/>
        <w:spacing w:after="100"/>
      </w:pPr>
      <w:r>
        <w:rPr>
          <w:b/>
          <w:bCs/>
        </w:rPr>
        <w:t xml:space="preserve">Del valor intrínseco al objetivo a 12 meses.</w:t>
      </w:r>
    </w:p>
    <w:p>
      <w:pPr>
        <w:spacing w:after="100"/>
      </w:pPr>
      <w:r>
        <w:t xml:space="preserve">El valor intrínseco (255,13) queda un 13 % por debajo del objetivo a 12 meses ponderado (292,05). La regla de múltiplos supone que el mercado vuelva a pagar a medio camino de las 25 veces de su mediana; el DCF a un WACC del 6,46 % pide, para justificar ese múltiplo, algo más de crecimiento (6,3 % frente al 5,5 %). Para cerrar la distancia tendría que pasar que EON sostenga el mayorista por encima del 8 % durante dos años y que el franco deje de restar.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con EON; crecimiento del mayorista frente al +10,9 % del 2S26 y efecto de la divisa en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de Demant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cuota: si Oticon Reveal sigue ganando cuota al ritmo del 3T (+17 % orgánico), presión sobre Phonak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a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de la venta de Consumer Hearing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frente a los 110,7 M en libros; cierra la distracción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(2S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nuevo procesador de sonido de Advanced Bionics (sujeto a aprobación)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implantes fuera de China tras perder cuota con el lanzamiento de Cochlear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FY2027 y guía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EBIT core +7-10 % en moneda local; primer año de la nueva estrategia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(abierto)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GN Hearing por Amplifon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desvío de volumen del mayor minorista independiente hacia ReSound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producto: EON no supera a Oticon Reveal y Sonova pierde cuota en el mayorista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(crecimiento −2,5 pp y margen −2 pp: escenario bajista −27,8 % en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I+D del sector, chip propio y red propia que da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mayorista por debajo del 5 % en moneda local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frente a EUR y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divisa (fábricas en Asia y México); coberturas de transacción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por encima de −4 puntos sobre el EBIT en CHF</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más lento (2-4 %) y precio medio a la baja por mezcla de canal (VA, Costco, managed 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−1,5 pp durante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cuota y premium con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mercado por debajo del 2 %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de consumo e IA: AirPods Pro, OTC y entrantes con IA (Fortell) se quedan el tramo leve y empujan el precio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a varios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receta y la adaptación profesional para pérdida moderada a profunda; IA propia en el chip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Apple o Samsung obtengan autorización para pérdida moderada, o caída del precio medio premium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Implantes cocleares: compra centralizada en China y competencia de Cochlear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y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(7 % de las ventas, margen del 6,8 %)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 nuevo en el 2S FY2027 y sinergias con Phonak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implantes otra vez a la baja en el 2S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GN Hearing en Amplifon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 es multimarca y Sonova tiene red propia en sus mercados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cuota de Phonak en Amplifon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audífonos fabricados en Asia y Suiza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en México y regionalización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sectoriales o retirada de exenciones a productos sanitarios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ejecución de la nueva estrategia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con historial en 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salida en la dirección o guía incumplida en FY2027</w:t>
            </w:r>
          </w:p>
        </w:tc>
      </w:tr>
    </w:tbl>
    <w:p>
      <w:pPr>
        <w:spacing w:after="160" w:before="0"/>
      </w:pPr>
    </w:p>
    <w:p>
      <w:pPr>
        <w:pStyle w:val="Heading2"/>
      </w:pPr>
      <w:r>
        <w:t xml:space="preserve">Pre-mortem</w:t>
      </w:r>
    </w:p>
    <w:p>
      <w:pPr>
        <w:spacing w:after="100"/>
      </w:pPr>
      <w:r>
        <w:t xml:space="preserve">Octubre de 2029: Sonova cotiza a 160 CHF. La historia más probable empieza en el semestre de noviembre de 2026: EON vende bien en EE. UU., pero Oticon Reveal ya ha ganado los clientes independientes que tenía que ganar y el mayorista se queda en un +5 %. En 2027 Amplifon integra GN Hearing y empieza a empujar ReSound en sus 10.000 puntos de venta; el mercado sigue en un 2-4 % porque los usuarios alargan la renovación, como ya decían en los foros, y la VA y Costco presionan el precio medio. El franco se aprecia otro 5 % y el EBIT en CHF crece un 2-3 % al año, lejos del 7-12 % de la estrategia. Los implantes no remontan en China. El mercado deja de pagar 23-25 veces el beneficio adelantado y vuelve a las 16-17 veces de marzo de 2026: con un BPA de 11 CHF, la acción cae a 180 CHF. Los indicadores que lo habrían anticipado: el crecimiento del mayorista en el 1S FY2027 por debajo del 5 %, el margen bruto en moneda local a la baja y comentarios de pérdida de cuota en Amplifon.</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78/100 (percentil 98 en salud)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r>
    </w:tbl>
    <w:p>
      <w:pPr>
        <w:spacing w:after="160" w:before="0"/>
      </w:pPr>
    </w:p>
    <w:p>
      <w:pPr>
        <w:pStyle w:val="Heading2"/>
      </w:pPr>
      <w:r>
        <w:t xml:space="preserve">Asuntos materiales</w:t>
      </w:r>
    </w:p>
    <w:p>
      <w:pPr>
        <w:spacing w:after="100"/>
      </w:pPr>
      <w:r>
        <w:t xml:space="preserve">Lo material para las cifras es la seguridad del producto (Sonova dotó 23,6 M en FY2026 por la responsabilidad de un implante antiguo) y los litigios de patentes (28,2 M en FY2026) [2]; la privacidad de los datos de audición de audífonos conectados; y el acceso: reembolso público y precio en mercados emergentes, donde la nueva estrategia quiere productos más baratos para Asia [6].</w:t>
      </w:r>
    </w:p>
    <w:p>
      <w:pPr>
        <w:pStyle w:val="Heading2"/>
      </w:pPr>
      <w:r>
        <w:t xml:space="preserve">Controversias</w:t>
      </w:r>
    </w:p>
    <w:p>
      <w:pPr>
        <w:spacing w:after="100"/>
      </w:pPr>
      <w:r>
        <w:t xml:space="preserve">Revaluación de la provisión de responsabilidad de producto de un implante antiguo de Advanced Bionics (23,6 M) y litigios de patentes con acuerdo (28,2 M) en FY2026 [2]. Sin sanciones de reguladores en tres años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mayorista del 1S FY2027 viene de EON y qué cuota se ha perdido frente a Oticon Reveal en el canal independiente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+10,9 % del 2S26 continúa o vuelve al mercado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Consumer Hearing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con qué condiciones se vende (licencia Sennheiser, OTC, Costco)? ¿Se queda Sonova con la marca para los audífonos de Costco?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en libros de 110,7 M y riesgo de canal en Costco.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ya en EUR y USD tras la regionalización y cómo cambia la sensibilidad del EBIT al franco?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1,5 pp de margen en FY2026 y resta 3-4 pp de crecimiento del EBIT en FY2027.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 el mercado en un 2-4 % cuando Demant habla de un 6-7 % en 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definición o de visión que cambia el crecimiento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clínicas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múltiplo y qué retorno se exigen a las compras «geo-dirigidas» de Retail?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 las compras de 2022 fue 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espera la aprobación del nuevo procesador y qué cuota de China se puede recuperar con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implantes del 6,8 % y provisiones recurrentes.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entrantes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responde Sonova a entrantes con IA y clínicas propias (Fortell) y a una posible autorización de los auriculares para pérdida moderada?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sustitución en el tramo premium y leve.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HearingTracker (usuarios de audífonos)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por EON pero pocas ganas de cambiar: varios usuarios de Infinio y Sphere dicen que la diferencia de tamaño no justifica renovar y que el habla en ruido sigue siendo difícil con cualquier marca; Sphere sí se valora como salto real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HearingTracker (venta de Sennheiser)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de Consumer se ve lógica; la duda es si afecta a los audífonos con marca Sennheiser de Costco. Un usuario devolvió el OTC de Sennheiser por simple y opina que unos AirPods de 200 USD rinden igual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(SONVY)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Noticias y transcripciones (estrategia, resultados, lanzamiento de EON) sin debate apreciable de lectores en el ADR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 de analistas en MarketScreener y prensa sectorial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media «Outperform» pero objetivo medio un 6 % por debajo del precio: los analistas llegan tarde a la subida desde 163 CHF. La prensa sectorial recuerda que EON no tiene aún datos clínicos independientes [22,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 y la IA en el chip como motor de cuota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Infinio llevó el mayorista al +10,9 % en el 2S26; EON aún sin datos de venta (semestre el 17-nov).</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lento de los usuarios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Coherente con un mercado que Sonova prevé en solo un 2-4 % en FY2027: la nueva plataforma gana cuota, no amplía mucho el mercado.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Sennheiser y canal Costco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audífonos Sennheiser de Costco los fabrica Phonak bajo licencia de marca; el negocio en venta es el de consumo (233 M de ventas, pérdidas).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AirPods y OTC frente a la receta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los foros se ven como sustituto del OTC barato, no del audífono con adaptación: lo mismo que dicen las cifras.</w:t>
            </w:r>
          </w:p>
        </w:tc>
      </w:tr>
    </w:tbl>
    <w:p>
      <w:pPr>
        <w:spacing w:after="160" w:before="0"/>
      </w:pPr>
    </w:p>
    <w:p>
      <w:pPr>
        <w:spacing w:after="100"/>
      </w:pPr>
      <w:r>
        <w:t xml:space="preserve">El sentimiento ha pasado de la capitulación de marzo (163 CHF, ventas en la parte baja de la guía) a un optimismo prudente: la subida del 66 % ha ido más rápida que los analistas, cuyo objetivo medio (250,37 CHF) queda un 6 % por debajo del precio [22]. En los foros de usuarios EON despierta interés pero poca urgencia de cambiar de audífono, lo que encaja con un mercado que Sonova ve crecer solo un 2-4 %: la nueva plataforma gana cuota pero no acelera la renovación [28]. Los usuarios ven los AirPods como rival del OTC barato, no del audífono con adaptación [29]. No aporta un riesgo nuevo; refuerza que el próximo dato que importa es el crecimiento del mayorista en el semestre del 17-nov.</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31 (15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 explica la causa (créditos fiscales, regularizaciones, mezcla de países) y no lo proyectes en el DCF. Explicación: El 5,8 % de FY2024 recoge activos fiscales diferidos reconocidos por la reforma fiscal suiza; el BPA normalizado de ese año (9,70 frente a 10,08 publicado) lo excluye y el DCF proyecta un 16 % (impuesto mínimo global) [1,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20,0 % frente a 20,3 % real: genera una variación de circulante de 26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 Explicación: R² bajo: los comparables mezclan audífonos, implantes, dental y oftalmología; no usamos el valor de la regresión, solo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crecimiento orgánico por semestre de actividades continuadas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Cifras reexpresadas (solo EBIT por semestre); 2) presentación del 1S26 (con Consumer Hearing); 3) informe anual 2025/26 (solo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mayorista/minorista anteriores a FY2025 sin Consumer Hearing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(solo FY2025-26 reexpresados); 2) cifras reexpresadas (dos años); 3) informes anteriores con la segmentación vieja (HI con Consumer)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publicado por Sonova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(solo crecimiento del mercado); 2) presentación de estrategia (penetración, sin cifra en valor); 3) ficha sectorial con el tamaño de Demant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WS Audiology y Starkey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cotizan; 2) prensa (sin cuentas completas); 3) ficha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las operaciones de directivos son anónimas (solo cargo e importe); 2) informe de remuneración (solo tenencias a cierre); 3) prensa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en contra de la remuneración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2025/26 (solo a favor en 2025); 2) web de inversores (no accesible);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Suiza no tiene registro público de posiciones cortas; 2) prensa; 3) proveedores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estimaciones y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2) Investing (JavaScript); 3) prensa suiza (cash.ch, sin cifras 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suizos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cash.ch y finanzen.net (sin hilo accesible: 404); 2) stock3 (sin comentarios); 3) Reddit (403 en la nube) y Stocktwits (símbolo inexistente)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 Annual Report 2025/26 – Financial Report (estados consolidados, notas 2.2, 3.5, 4.2, 4.5, 6.3, cifras clave de cinco años, conciliación de medidas normalizadas)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https://www.sonova.com/wp-content/uploads/2026/05/08_Sonova_AR_25-26_Finance_en.pdf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release: Sonova delivers strong FY 2025/26 results (ventas 3.605,9 M, EBITA normalizado 811,2 M, guía 2026/27)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https://www.sonova.com/wp-content/uploads/2026/05/Sonova_FY25-26-Results_EN.pdf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2024/25 – Financial Report (estados consolidados 2023/24 y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https://www.sonova.com/wp-content/uploads/2025/05/08_Sonova_AR_24-25_Finance_en_0.pdf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2022/23 – Financial Report (estados 2021/22 y 2022/23, cinco años 2018/19-2022/23, nota 6.1 de 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https://www.sonova.com/wp-content/uploads/2023/05/08_Sonova_AR_2022_23_Financial_report_en.pdf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Restated comparative figures FY 24/25 and FY 25/26 (semestres reexpresados sin Consumer Hearing; EBIT «core»)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https://www.sonova.com/wp-content/uploads/2026/05/Restated-comparative-figures.pdf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Sonova presents renewed strategy … CHF 6 billion in revenue by FY 2030/31 (venta de Consumer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https://www.sonova.com/wp-content/uploads/2026/03/260323_Sonova-Strategy-Update-EN.pdf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Results 1H 2025/26 –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https://www.sonova.com/wp-content/uploads/2025/11/Sonova_HY-25-26-Presentation_0.pdf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2025/26 results presentation (calendario: resultados semestrales el 17-nov-2026)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https://www.sonova.com/wp-content/uploads/2026/05/Sonova-FY_25-26_Presentation.pdf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resultados FY 2024/25 y guía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https://www.sonova.com/wp-content/uploads/2025/05/Sonova_FY24-2520Results20EN.pdf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resultados FY 2023/24 y guía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https://www.sonova.com/wp-content/uploads/2024/05/Sonova_FY23-2420Results_EN.pdf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«Audífonos y audiología» (perímetro, tamaño, comparables, riesgo OTC/AirPods/IA), hecha desde el informe anual 2025 de Demant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sectores/audifonos-2026-10-14.md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Demant (cuentas 2025, margen, ROIC, guía 2026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informes/demant-2026-10-14/datos.json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EUHA 2026 – Innovation that drives adoption (Phonak EON: chip propio, red neuronal, 25 % más pequeño)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https://www.sonova.com/wp-content/uploads/2026/10/Investor-Presentation-EUHA-2026-1.pdf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Fortell raises $163M for AI hearing aids at a $740M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Dealroom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https://dealroom.co/news/149734-fortell-raises-163m-for-ai-hearing-aids-at-a-740m-valuation/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Cochlear (cuentas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informes/cochlear-2026-10-08/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Sennheiser All-Day Clear: Sonova lanza un audífono OTC autoajustable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https://www.sonova.com/sites/default/files/2023-06/All-Day%20Clear%20Media%20Release%20EN.pdf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2025/26 – Corporate Governance Report (accionistas, consejo, dirección,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https://www.sonova.com/wp-content/uploads/2026/05/06_Sonova_AR_25-26_CorpGov_en.pdf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Annual Report 2025/26 – Compensation Report (remuneración del consejero delegado, votos de la junta de 2025, nuevo plan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https://www.sonova.com/wp-content/uploads/2026/05/07_Sonova_AR_25-26_Comp_en.pdf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T. Rowe Price Associates controls less than 3% of Sonova Holding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https://www.sonova.com/en/investor-news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SOON.SW, ^SSMI y EXV4.DE: históricos diarios (precio, rango, beta, volatilidad, cierres de ejercicio a 31 de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https://finance.yahoo.com/quote/SOON.SW/history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finances (consenso FY2027-FY2029: ventas, EBITDA, EBIT, BPA, DPA,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consensus (19 analistas, «Outperform», objetivo medio 250,37 CHF, máx. 350, mín. 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0,9330 CHF/EUR; 7,4754 DKK/EUR; 1,1195 USD/EUR; 1,5971 AUD/EUR)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sector de audífonos al 14-oct-2026 (Demant, Cochlear, Straumann, Coloplast, Amplifon; MarketScreener y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sectores/audifonos-2026-10-14-comparables.json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Straumann (comparables de tecnología médica de MarketScreener a 3-oct-2026: Alcon, Smith &amp; Nephew, Edwards)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informes/straumann-2026-10-14/datos.json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HearingTracker: «How often to upgrade Phonak hearing aids?» (EON frente a Infinio y Sphere; 16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https://forum.hearingtracker.com/t/-/135050/2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HearingTracker: «Sennheiser is for sale: Sonova wants to divest itself of the headphone brand»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https://forum.hearingtracker.com/t/sennheiser-is-for-sale-sonova-wants-to-divest-itself-of-the-headphone-brand/111627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(SONVY): news and analysis feed («Sonova unveils next-gen AI hearing aids», 24-ago-2026)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https://seekingalpha.com/api/sa/combined/SONVY.xml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Phonak launches Eon – «a new benchmark for intelligent hearing» (cobertura sectorial: sin datos clínicos independientes al lanzamiento)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Audiology Worldnews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https://www.audiology-worldnews.com/new-products/phonak-launches-eon-a-new-benchmark-for-intelligent-hearing/</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ninguna</w:t>
      </w:r>
      <w:r>
        <w:t xml:space="preserve"> · Generado el 14 oct 2026.</w:t>
      </w:r>
    </w:p>
    <w:p>
      <w:pPr>
        <w:pStyle w:val="Nota"/>
        <w:spacing w:after="100"/>
      </w:pPr>
      <w:r>
        <w:t xml:space="preserve">Suiza no tiene XBRL: las cuentas se han copiado a mano de los estados consolidados de los informes anuales 2022/23, 2024/25 y 2025/26 [1, 3, 4]. Ejercicio de abril a marzo con la etiqueta del año en que termina (FY2026 = abr-25 a mar-26). Perímetro mixto: FY2022-FY2024 tal como se publicaron, con Consumer Hearing (≈ 250 M de ventas y pérdidas); FY2025 reexpresado y FY2026 de actividades continuadas, sin Consumer Hearing, que está en venta [1]. El balance de FY2026 lleva Consumer en «activos mantenidos para la venta» (261,2 M) y sus pasivos (150,5 M). Último balance publicado: 31-mar-2026 (el semestre sale el 17-nov-2026). El BPA de la historia del PER es el normalizado de la empresa (FY2022-FY2026) y el ajustado de los informes viejos (FY2019-FY2021), que excluía también la reestructuración. Comparables del sector del 14-oct (ficha sectorial) y de tecnología médica del 3-oct (informe de Straumann), en CHF al cambio del BCE del 14-oct [25, 26, 27]. Un solo proveedor de consenso gratuito (MarketScreener). Sin registro público de operaciones de directivos ni de posiciones cortas en Suiza.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Sonova Holding AG (SOON)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270,40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(163,00 – 271,60)</c:v>
                </c:pt>
                <c:pt idx="1">
                  <c:v>Precio objetivo de los analistas (170,00 – 350,00)</c:v>
                </c:pt>
                <c:pt idx="2">
                  <c:v>Comparables: EV/EBITDA NTM (212,13 – 270,55)</c:v>
                </c:pt>
                <c:pt idx="3">
                  <c:v>Comparables: PER NTM (209,73 – 298,25)</c:v>
                </c:pt>
                <c:pt idx="4">
                  <c:v>DCF (WACC y g ± 0,5) (221,37 – 314,74)</c:v>
                </c:pt>
                <c:pt idx="5">
                  <c:v>Escenarios (bajista – alcista) (187,19 – 294,32)</c:v>
                </c:pt>
                <c:pt idx="6">
                  <c:v>DCF con la prima implícita del mercado (4,2 %)</c:v>
                </c:pt>
                <c:pt idx="7">
                  <c:v>Precio actual (270,40)</c:v>
                </c:pt>
              </c:strCache>
            </c:strRef>
          </c:cat>
          <c:val>
            <c:numRef>
              <c:f>Hoja1!$B$2:$B$9</c:f>
              <c:numCache>
                <c:formatCode>#,##0</c:formatCode>
                <c:ptCount val="8"/>
                <c:pt idx="0">
                  <c:v>163</c:v>
                </c:pt>
                <c:pt idx="1">
                  <c:v>170</c:v>
                </c:pt>
                <c:pt idx="2">
                  <c:v>212.13</c:v>
                </c:pt>
                <c:pt idx="3">
                  <c:v>209.73</c:v>
                </c:pt>
                <c:pt idx="4">
                  <c:v>221.37</c:v>
                </c:pt>
                <c:pt idx="5">
                  <c:v>187.19</c:v>
                </c:pt>
                <c:pt idx="6">
                  <c:v>298.82</c:v>
                </c:pt>
                <c:pt idx="7">
                  <c:v>269.05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(163,00 – 271,60)</c:v>
                </c:pt>
                <c:pt idx="1">
                  <c:v>Precio objetivo de los analistas (170,00 – 350,00)</c:v>
                </c:pt>
                <c:pt idx="2">
                  <c:v>Comparables: EV/EBITDA NTM (212,13 – 270,55)</c:v>
                </c:pt>
                <c:pt idx="3">
                  <c:v>Comparables: PER NTM (209,73 – 298,25)</c:v>
                </c:pt>
                <c:pt idx="4">
                  <c:v>DCF (WACC y g ± 0,5) (221,37 – 314,74)</c:v>
                </c:pt>
                <c:pt idx="5">
                  <c:v>Escenarios (bajista – alcista) (187,19 – 294,32)</c:v>
                </c:pt>
                <c:pt idx="6">
                  <c:v>DCF con la prima implícita del mercado (4,2 %)</c:v>
                </c:pt>
                <c:pt idx="7">
                  <c:v>Precio actual (270,40)</c:v>
                </c:pt>
              </c:strCache>
            </c:strRef>
          </c:cat>
          <c:val>
            <c:numRef>
              <c:f>Hoja1!$C$2:$C$9</c:f>
              <c:numCache>
                <c:formatCode>#,##0</c:formatCode>
                <c:ptCount val="8"/>
                <c:pt idx="0">
                  <c:v>108.60000000000002</c:v>
                </c:pt>
                <c:pt idx="1">
                  <c:v>180</c:v>
                </c:pt>
                <c:pt idx="2">
                  <c:v>58.420000000000016</c:v>
                </c:pt>
                <c:pt idx="3">
                  <c:v>88.52000000000001</c:v>
                </c:pt>
                <c:pt idx="4">
                  <c:v>93.37</c:v>
                </c:pt>
                <c:pt idx="5">
                  <c:v>107.13</c:v>
                </c:pt>
                <c:pt idx="6">
                  <c:v>84.61000000000001</c:v>
                </c:pt>
                <c:pt idx="7">
                  <c:v>2.6999999999999886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Hearing Instruments: Wholesale</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1821.4</c:v>
                </c:pt>
                <c:pt idx="1">
                  <c:v>1861.8</c:v>
                </c:pt>
              </c:numCache>
            </c:numRef>
          </c:val>
        </c:ser>
        <c:ser>
          <c:idx val="1"/>
          <c:order val="1"/>
          <c:tx>
            <c:strRef>
              <c:f>Hoja1!$C$1</c:f>
              <c:strCache>
                <c:ptCount val="1"/>
                <c:pt idx="0">
                  <c:v>Hearing Instruments: Retail</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1487.5</c:v>
                </c:pt>
                <c:pt idx="1">
                  <c:v>1491.9</c:v>
                </c:pt>
              </c:numCache>
            </c:numRef>
          </c:val>
        </c:ser>
        <c:ser>
          <c:idx val="2"/>
          <c:order val="2"/>
          <c:tx>
            <c:strRef>
              <c:f>Hoja1!$D$1</c:f>
              <c:strCache>
                <c:ptCount val="1"/>
                <c:pt idx="0">
                  <c:v>Cochlear Implants (Advanced Bionics)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303.9</c:v>
                </c:pt>
                <c:pt idx="1">
                  <c:v>252.1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Hearing Instruments: Wholesale</c:v>
                </c:pt>
                <c:pt idx="1">
                  <c:v>Hearing Instruments: Retail</c:v>
                </c:pt>
                <c:pt idx="2">
                  <c:v>Cochlear Implants (Advanced Bionics)</c:v>
                </c:pt>
              </c:strCache>
            </c:strRef>
          </c:cat>
          <c:val>
            <c:numRef>
              <c:f>Hoja1!$B$2:$B$4</c:f>
              <c:numCache>
                <c:formatCode>General</c:formatCode>
                <c:ptCount val="3"/>
                <c:pt idx="0">
                  <c:v>51.6</c:v>
                </c:pt>
                <c:pt idx="1">
                  <c:v>41.4</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EE. UU.</c:v>
                </c:pt>
                <c:pt idx="2">
                  <c:v>Américas sin EE. UU.</c:v>
                </c:pt>
                <c:pt idx="3">
                  <c:v>Asia-Pacífico</c:v>
                </c:pt>
              </c:strCache>
            </c:strRef>
          </c:cat>
          <c:val>
            <c:numRef>
              <c:f>Hoja1!$B$2:$B$5</c:f>
              <c:numCache>
                <c:formatCode>0"%"</c:formatCode>
                <c:ptCount val="4"/>
                <c:pt idx="0">
                  <c:v>52.8</c:v>
                </c:pt>
                <c:pt idx="1">
                  <c:v>30.3</c:v>
                </c:pt>
                <c:pt idx="2">
                  <c:v>7.3</c:v>
                </c:pt>
                <c:pt idx="3">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(valor minorista + diagnóstico))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17250</c:v>
                </c:pt>
                <c:pt idx="1">
                  <c:v>17940</c:v>
                </c:pt>
                <c:pt idx="2">
                  <c:v>18750</c:v>
                </c:pt>
                <c:pt idx="3">
                  <c:v>19590</c:v>
                </c:pt>
                <c:pt idx="4">
                  <c:v>20470</c:v>
                </c:pt>
                <c:pt idx="5">
                  <c:v>21390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Sonova</c:v>
                </c:pt>
                <c:pt idx="1">
                  <c:v>Demant</c:v>
                </c:pt>
                <c:pt idx="2">
                  <c:v>WS Audiology</c:v>
                </c:pt>
                <c:pt idx="3">
                  <c:v>Amplifon (con GN Hearing)</c:v>
                </c:pt>
                <c:pt idx="4">
                  <c:v>Starkey</c:v>
                </c:pt>
                <c:pt idx="5">
                  <c:v>Cochlear</c:v>
                </c:pt>
                <c:pt idx="6">
                  <c:v>Apple (AirPods Pro) y OTC</c:v>
                </c:pt>
              </c:strCache>
            </c:strRef>
          </c:cat>
          <c:val>
            <c:numRef>
              <c:f>Hoja1!$B$2:$B$8</c:f>
              <c:numCache>
                <c:formatCode>0.0"%"</c:formatCode>
                <c:ptCount val="7"/>
                <c:pt idx="0">
                  <c:v>20.2</c:v>
                </c:pt>
                <c:pt idx="1">
                  <c:v>17.2</c:v>
                </c:pt>
                <c:pt idx="3">
                  <c:v>11.7</c:v>
                </c:pt>
                <c:pt idx="5">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Hoja1!$B$2:$B$13</c:f>
              <c:numCache>
                <c:formatCode>#,##0</c:formatCode>
                <c:ptCount val="12"/>
                <c:pt idx="0">
                  <c:v>3363.9</c:v>
                </c:pt>
                <c:pt idx="1">
                  <c:v>3738.4</c:v>
                </c:pt>
                <c:pt idx="2">
                  <c:v>3626.9</c:v>
                </c:pt>
                <c:pt idx="3">
                  <c:v>3612.9</c:v>
                </c:pt>
                <c:pt idx="4">
                  <c:v>3605.9</c:v>
                </c:pt>
                <c:pt idx="5">
                  <c:v>3786</c:v>
                </c:pt>
                <c:pt idx="6">
                  <c:v>4032</c:v>
                </c:pt>
                <c:pt idx="7">
                  <c:v>4294</c:v>
                </c:pt>
                <c:pt idx="8">
                  <c:v>4552</c:v>
                </c:pt>
                <c:pt idx="9">
                  <c:v>4802</c:v>
                </c:pt>
                <c:pt idx="10">
                  <c:v>5043</c:v>
                </c:pt>
                <c:pt idx="11">
                  <c:v>5244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Hoja1!$C$2:$C$13</c:f>
              <c:numCache>
                <c:formatCode>#,##0</c:formatCode>
                <c:ptCount val="12"/>
                <c:pt idx="0">
                  <c:v>999.1</c:v>
                </c:pt>
                <c:pt idx="1">
                  <c:v>1009.6</c:v>
                </c:pt>
                <c:pt idx="2">
                  <c:v>936.8000000000001</c:v>
                </c:pt>
                <c:pt idx="3">
                  <c:v>966.1999999999999</c:v>
                </c:pt>
                <c:pt idx="4">
                  <c:v>988.5</c:v>
                </c:pt>
                <c:pt idx="5">
                  <c:v>1037</c:v>
                </c:pt>
                <c:pt idx="6">
                  <c:v>1129</c:v>
                </c:pt>
                <c:pt idx="7">
                  <c:v>1224</c:v>
                </c:pt>
                <c:pt idx="8">
                  <c:v>1311</c:v>
                </c:pt>
                <c:pt idx="9">
                  <c:v>1393</c:v>
                </c:pt>
                <c:pt idx="10">
                  <c:v>1462</c:v>
                </c:pt>
                <c:pt idx="11">
                  <c:v>1521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73.1</c:v>
                </c:pt>
                <c:pt idx="1">
                  <c:v>70.5</c:v>
                </c:pt>
                <c:pt idx="2">
                  <c:v>72</c:v>
                </c:pt>
                <c:pt idx="3">
                  <c:v>74.3</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29.7</c:v>
                </c:pt>
                <c:pt idx="1">
                  <c:v>27</c:v>
                </c:pt>
                <c:pt idx="2">
                  <c:v>25.8</c:v>
                </c:pt>
                <c:pt idx="3">
                  <c:v>26.7</c:v>
                </c:pt>
                <c:pt idx="4">
                  <c:v>27.4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23.4</c:v>
                </c:pt>
                <c:pt idx="1">
                  <c:v>20.6</c:v>
                </c:pt>
                <c:pt idx="2">
                  <c:v>19</c:v>
                </c:pt>
                <c:pt idx="3">
                  <c:v>20.3</c:v>
                </c:pt>
                <c:pt idx="4">
                  <c:v>20.2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19.3</c:v>
                </c:pt>
                <c:pt idx="1">
                  <c:v>17.3</c:v>
                </c:pt>
                <c:pt idx="2">
                  <c:v>16.6</c:v>
                </c:pt>
                <c:pt idx="3">
                  <c:v>15.5</c:v>
                </c:pt>
                <c:pt idx="4">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1S25</c:v>
                </c:pt>
                <c:pt idx="1">
                  <c:v>2S25</c:v>
                </c:pt>
                <c:pt idx="2">
                  <c:v>1S26</c:v>
                </c:pt>
                <c:pt idx="3">
                  <c:v>2S26</c:v>
                </c:pt>
              </c:strCache>
            </c:strRef>
          </c:cat>
          <c:val>
            <c:numRef>
              <c:f>Hoja1!$B$2:$B$5</c:f>
              <c:numCache>
                <c:formatCode>0.0"%"</c:formatCode>
                <c:ptCount val="4"/>
                <c:pt idx="2">
                  <c:v>0.1</c:v>
                </c:pt>
                <c:pt idx="3">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51</c:v>
                </c:pt>
                <c:pt idx="1">
                  <c:v>51</c:v>
                </c:pt>
                <c:pt idx="2">
                  <c:v>54</c:v>
                </c:pt>
                <c:pt idx="3">
                  <c:v>58</c:v>
                </c:pt>
                <c:pt idx="4">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167</c:v>
                </c:pt>
                <c:pt idx="1">
                  <c:v>139</c:v>
                </c:pt>
                <c:pt idx="2">
                  <c:v>156</c:v>
                </c:pt>
                <c:pt idx="3">
                  <c:v>184</c:v>
                </c:pt>
                <c:pt idx="4">
                  <c:v>147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76</c:v>
                </c:pt>
                <c:pt idx="1">
                  <c:v>64</c:v>
                </c:pt>
                <c:pt idx="2">
                  <c:v>73</c:v>
                </c:pt>
                <c:pt idx="3">
                  <c:v>106</c:v>
                </c:pt>
                <c:pt idx="4">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750.8</c:v>
                </c:pt>
                <c:pt idx="1">
                  <c:v>531.9999999999999</c:v>
                </c:pt>
                <c:pt idx="2">
                  <c:v>523.9999999999999</c:v>
                </c:pt>
                <c:pt idx="3">
                  <c:v>561.4999999999999</c:v>
                </c:pt>
                <c:pt idx="4">
                  <c:v>532.1999999999999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649</c:v>
                </c:pt>
                <c:pt idx="1">
                  <c:v>647.5</c:v>
                </c:pt>
                <c:pt idx="2">
                  <c:v>601</c:v>
                </c:pt>
                <c:pt idx="3">
                  <c:v>558.5</c:v>
                </c:pt>
                <c:pt idx="4">
                  <c:v>537.1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20.9</c:v>
                </c:pt>
                <c:pt idx="1">
                  <c:v>19.8</c:v>
                </c:pt>
                <c:pt idx="2">
                  <c:v>17.2</c:v>
                </c:pt>
                <c:pt idx="3">
                  <c:v>15.8</c:v>
                </c:pt>
                <c:pt idx="4">
                  <c:v>16.7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6.5</c:v>
                </c:pt>
                <c:pt idx="1">
                  <c:v>6.5</c:v>
                </c:pt>
                <c:pt idx="2">
                  <c:v>6.5</c:v>
                </c:pt>
                <c:pt idx="3">
                  <c:v>6.5</c:v>
                </c:pt>
                <c:pt idx="4">
                  <c:v>6.5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26.9</c:v>
                </c:pt>
                <c:pt idx="1">
                  <c:v>28</c:v>
                </c:pt>
                <c:pt idx="2">
                  <c:v>25.7</c:v>
                </c:pt>
                <c:pt idx="3">
                  <c:v>21.8</c:v>
                </c:pt>
                <c:pt idx="4">
                  <c:v>20.4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c:v>
                </c:pt>
                <c:pt idx="1">
                  <c:v>1.47</c:v>
                </c:pt>
                <c:pt idx="2">
                  <c:v>1.44</c:v>
                </c:pt>
                <c:pt idx="3">
                  <c:v>1.17</c:v>
                </c:pt>
                <c:pt idx="4">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FY2029</c:v>
                </c:pt>
                <c:pt idx="2">
                  <c:v>FY2030</c:v>
                </c:pt>
                <c:pt idx="3">
                  <c:v>FY2031</c:v>
                </c:pt>
                <c:pt idx="4">
                  <c:v>FY2032+</c:v>
                </c:pt>
              </c:strCache>
            </c:strRef>
          </c:cat>
          <c:val>
            <c:numRef>
              <c:f>Hoja1!$B$2:$B$6</c:f>
              <c:numCache>
                <c:formatCode>#,##0</c:formatCode>
                <c:ptCount val="5"/>
                <c:pt idx="0">
                  <c:v>118</c:v>
                </c:pt>
                <c:pt idx="1">
                  <c:v>300</c:v>
                </c:pt>
                <c:pt idx="2">
                  <c:v>300</c:v>
                </c:pt>
                <c:pt idx="3">
                  <c:v>200</c:v>
                </c:pt>
                <c:pt idx="4">
                  <c:v>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594.1</c:v>
                </c:pt>
                <c:pt idx="1">
                  <c:v>261.1</c:v>
                </c:pt>
                <c:pt idx="2">
                  <c:v>101.6</c:v>
                </c:pt>
                <c:pt idx="3">
                  <c:v>71.9</c:v>
                </c:pt>
                <c:pt idx="4">
                  <c:v>45.5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201.6</c:v>
                </c:pt>
                <c:pt idx="1">
                  <c:v>267.6</c:v>
                </c:pt>
                <c:pt idx="2">
                  <c:v>274.1</c:v>
                </c:pt>
                <c:pt idx="3">
                  <c:v>256.2</c:v>
                </c:pt>
                <c:pt idx="4">
                  <c:v>262.3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757.9</c:v>
                </c:pt>
                <c:pt idx="1">
                  <c:v>502.7</c:v>
                </c:pt>
                <c:pt idx="2">
                  <c:v>51.3</c:v>
                </c:pt>
                <c:pt idx="3">
                  <c:v>67.3</c:v>
                </c:pt>
                <c:pt idx="4">
                  <c:v>63.1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Beda Diethelm y Annamaria Diethelm-Pandiani</c:v>
                </c:pt>
                <c:pt idx="1">
                  <c:v>Familia Rihs (Hans-Ulrich, Gabriela y Stefan)</c:v>
                </c:pt>
                <c:pt idx="2">
                  <c:v>UBS Fund Management (Switzerland)</c:v>
                </c:pt>
                <c:pt idx="3">
                  <c:v>BlackRock</c:v>
                </c:pt>
                <c:pt idx="4">
                  <c:v>MFS Investment Management</c:v>
                </c:pt>
                <c:pt idx="5">
                  <c:v>T. Rowe Price</c:v>
                </c:pt>
                <c:pt idx="6">
                  <c:v>Autocartera</c:v>
                </c:pt>
              </c:strCache>
            </c:strRef>
          </c:cat>
          <c:val>
            <c:numRef>
              <c:f>Hoja1!$B$2:$B$8</c:f>
              <c:numCache>
                <c:formatCode>0.0"%"</c:formatCode>
                <c:ptCount val="7"/>
                <c:pt idx="0">
                  <c:v>11.26</c:v>
                </c:pt>
                <c:pt idx="1">
                  <c:v>6.18</c:v>
                </c:pt>
                <c:pt idx="2">
                  <c:v>5.48</c:v>
                </c:pt>
                <c:pt idx="3">
                  <c:v>5.1</c:v>
                </c:pt>
                <c:pt idx="4">
                  <c:v>3.02</c:v>
                </c:pt>
                <c:pt idx="5">
                  <c:v>3</c:v>
                </c:pt>
                <c:pt idx="6">
                  <c:v>0.37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c:v>
                </c:pt>
                <c:pt idx="1">
                  <c:v>23.3</c:v>
                </c:pt>
                <c:pt idx="2">
                  <c:v>5.5</c:v>
                </c:pt>
                <c:pt idx="3">
                  <c:v>37.9</c:v>
                </c:pt>
                <c:pt idx="4">
                  <c:v>4.5</c:v>
                </c:pt>
                <c:pt idx="5">
                  <c:v>55.6</c:v>
                </c:pt>
                <c:pt idx="6">
                  <c:v>-38.7</c:v>
                </c:pt>
                <c:pt idx="7">
                  <c:v>25.1</c:v>
                </c:pt>
                <c:pt idx="8">
                  <c:v>8</c:v>
                </c:pt>
                <c:pt idx="9">
                  <c:v>-30.1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14.1</c:v>
                </c:pt>
                <c:pt idx="2">
                  <c:v>-10.2</c:v>
                </c:pt>
                <c:pt idx="3">
                  <c:v>26</c:v>
                </c:pt>
                <c:pt idx="4">
                  <c:v>0.8</c:v>
                </c:pt>
                <c:pt idx="5">
                  <c:v>20.3</c:v>
                </c:pt>
                <c:pt idx="6">
                  <c:v>-16.7</c:v>
                </c:pt>
                <c:pt idx="7">
                  <c:v>3.8</c:v>
                </c:pt>
                <c:pt idx="8">
                  <c:v>4.2</c:v>
                </c:pt>
                <c:pt idx="9">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25.3</c:v>
                </c:pt>
                <c:pt idx="1">
                  <c:v>17.6</c:v>
                </c:pt>
                <c:pt idx="2">
                  <c:v>18.1</c:v>
                </c:pt>
                <c:pt idx="3">
                  <c:v>17.1</c:v>
                </c:pt>
                <c:pt idx="4">
                  <c:v>11.8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17.6</c:v>
                </c:pt>
                <c:pt idx="1">
                  <c:v>17.6</c:v>
                </c:pt>
                <c:pt idx="2">
                  <c:v>17.6</c:v>
                </c:pt>
                <c:pt idx="3">
                  <c:v>17.6</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Sonova</c:v>
                </c:pt>
                <c:pt idx="1">
                  <c:v>Demant</c:v>
                </c:pt>
                <c:pt idx="2">
                  <c:v>Amplifon</c:v>
                </c:pt>
                <c:pt idx="3">
                  <c:v>Cochlear</c:v>
                </c:pt>
                <c:pt idx="4">
                  <c:v>Straumann</c:v>
                </c:pt>
                <c:pt idx="5">
                  <c:v>Coloplast</c:v>
                </c:pt>
                <c:pt idx="6">
                  <c:v>Alcon</c:v>
                </c:pt>
                <c:pt idx="7">
                  <c:v>Smith &amp; Nephew</c:v>
                </c:pt>
                <c:pt idx="8">
                  <c:v>Edwards Lifesciences</c:v>
                </c:pt>
              </c:strCache>
            </c:strRef>
          </c:cat>
          <c:val>
            <c:numRef>
              <c:f>Hoja1!$B$2:$B$10</c:f>
              <c:numCache>
                <c:formatCode>0.0"x"</c:formatCode>
                <c:ptCount val="9"/>
                <c:pt idx="0">
                  <c:v>15.1</c:v>
                </c:pt>
                <c:pt idx="1">
                  <c:v>13.5</c:v>
                </c:pt>
                <c:pt idx="3">
                  <c:v>14.6</c:v>
                </c:pt>
                <c:pt idx="4">
                  <c:v>15.7</c:v>
                </c:pt>
                <c:pt idx="5">
                  <c:v>14.4</c:v>
                </c:pt>
                <c:pt idx="6">
                  <c:v>10.6</c:v>
                </c:pt>
                <c:pt idx="7">
                  <c:v>8.2</c:v>
                </c:pt>
                <c:pt idx="8">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Sonova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c:v>
                </c:pt>
              </c:numCache>
            </c:numRef>
          </c:xVal>
          <c:yVal>
            <c:numRef>
              <c:f>Hoja1!$C$2</c:f>
              <c:numCache>
                <c:formatCode>0.0"x"</c:formatCode>
                <c:ptCount val="1"/>
                <c:pt idx="0">
                  <c:v>15.1</c:v>
                </c:pt>
              </c:numCache>
            </c:numRef>
          </c:yVal>
          <c:smooth val="0"/>
        </c:ser>
        <c:ser>
          <c:idx val="1"/>
          <c:order val="1"/>
          <c:tx>
            <c:strRef>
              <c:f>Hoja1!$A$3</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10.6</c:v>
                </c:pt>
              </c:numCache>
            </c:numRef>
          </c:xVal>
          <c:yVal>
            <c:numRef>
              <c:f>Hoja1!$C$3</c:f>
              <c:numCache>
                <c:formatCode>0.0"x"</c:formatCode>
                <c:ptCount val="1"/>
                <c:pt idx="0">
                  <c:v>13.5</c:v>
                </c:pt>
              </c:numCache>
            </c:numRef>
          </c:yVal>
          <c:smooth val="0"/>
        </c:ser>
        <c:ser>
          <c:idx val="2"/>
          <c:order val="2"/>
          <c:tx>
            <c:strRef>
              <c:f>Hoja1!$A$4</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c:v>
                </c:pt>
              </c:numCache>
            </c:numRef>
          </c:xVal>
          <c:yVal>
            <c:numRef>
              <c:f>Hoja1!$C$4</c:f>
              <c:numCache>
                <c:formatCode>0.0"x"</c:formatCode>
                <c:ptCount val="1"/>
                <c:pt idx="0">
                  <c:v>14.6</c:v>
                </c:pt>
              </c:numCache>
            </c:numRef>
          </c:yVal>
          <c:smooth val="0"/>
        </c:ser>
        <c:ser>
          <c:idx val="3"/>
          <c:order val="3"/>
          <c:tx>
            <c:strRef>
              <c:f>Hoja1!$A$5</c:f>
              <c:strCache>
                <c:ptCount val="1"/>
                <c:pt idx="0">
                  <c:v>Straumann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8.7</c:v>
                </c:pt>
              </c:numCache>
            </c:numRef>
          </c:xVal>
          <c:yVal>
            <c:numRef>
              <c:f>Hoja1!$C$5</c:f>
              <c:numCache>
                <c:formatCode>0.0"x"</c:formatCode>
                <c:ptCount val="1"/>
                <c:pt idx="0">
                  <c:v>15.7</c:v>
                </c:pt>
              </c:numCache>
            </c:numRef>
          </c:yVal>
          <c:smooth val="0"/>
        </c:ser>
        <c:ser>
          <c:idx val="4"/>
          <c:order val="4"/>
          <c:tx>
            <c:strRef>
              <c:f>Hoja1!$A$6</c:f>
              <c:strCache>
                <c:ptCount val="1"/>
                <c:pt idx="0">
                  <c:v>Coloplast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7.6</c:v>
                </c:pt>
              </c:numCache>
            </c:numRef>
          </c:xVal>
          <c:yVal>
            <c:numRef>
              <c:f>Hoja1!$C$6</c:f>
              <c:numCache>
                <c:formatCode>0.0"x"</c:formatCode>
                <c:ptCount val="1"/>
                <c:pt idx="0">
                  <c:v>14.4</c:v>
                </c:pt>
              </c:numCache>
            </c:numRef>
          </c:yVal>
          <c:smooth val="0"/>
        </c:ser>
        <c:ser>
          <c:idx val="5"/>
          <c:order val="5"/>
          <c:tx>
            <c:strRef>
              <c:f>Hoja1!$A$7</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6.2</c:v>
                </c:pt>
              </c:numCache>
            </c:numRef>
          </c:xVal>
          <c:yVal>
            <c:numRef>
              <c:f>Hoja1!$C$7</c:f>
              <c:numCache>
                <c:formatCode>0.0"x"</c:formatCode>
                <c:ptCount val="1"/>
                <c:pt idx="0">
                  <c:v>10.6</c:v>
                </c:pt>
              </c:numCache>
            </c:numRef>
          </c:yVal>
          <c:smooth val="0"/>
        </c:ser>
        <c:ser>
          <c:idx val="6"/>
          <c:order val="6"/>
          <c:tx>
            <c:strRef>
              <c:f>Hoja1!$A$8</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5.1</c:v>
                </c:pt>
              </c:numCache>
            </c:numRef>
          </c:xVal>
          <c:yVal>
            <c:numRef>
              <c:f>Hoja1!$C$8</c:f>
              <c:numCache>
                <c:formatCode>0.0"x"</c:formatCode>
                <c:ptCount val="1"/>
                <c:pt idx="0">
                  <c:v>8.2</c:v>
                </c:pt>
              </c:numCache>
            </c:numRef>
          </c:yVal>
          <c:smooth val="0"/>
        </c:ser>
        <c:ser>
          <c:idx val="7"/>
          <c:order val="7"/>
          <c:tx>
            <c:strRef>
              <c:f>Hoja1!$A$9</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19.4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(ReSound, Beltone)</c:v>
                </c:pt>
                <c:pt idx="1">
                  <c:v>KIND Group (≈ 650 clínicas en Alemania)</c:v>
                </c:pt>
                <c:pt idx="2">
                  <c:v>Sennheiser Consumer Division</c:v>
                </c:pt>
                <c:pt idx="3">
                  <c:v>Alpaca Audiology (≈ 220 clínicas en EE. UU.)</c:v>
                </c:pt>
                <c:pt idx="4">
                  <c:v>HYSOUND (≈ 200 clínicas en China)</c:v>
                </c:pt>
              </c:strCache>
            </c:strRef>
          </c:cat>
          <c:val>
            <c:numRef>
              <c:f>Hoja1!$B$2:$B$6</c:f>
              <c:numCache>
                <c:formatCode>0.0"x"</c:formatCode>
                <c:ptCount val="5"/>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656</c:v>
                </c:pt>
                <c:pt idx="1">
                  <c:v>697</c:v>
                </c:pt>
                <c:pt idx="2">
                  <c:v>759</c:v>
                </c:pt>
                <c:pt idx="3">
                  <c:v>820</c:v>
                </c:pt>
                <c:pt idx="4">
                  <c:v>877</c:v>
                </c:pt>
                <c:pt idx="5">
                  <c:v>925</c:v>
                </c:pt>
                <c:pt idx="6">
                  <c:v>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4335</c:v>
                </c:pt>
                <c:pt idx="1">
                  <c:v>11983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270,40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187.19</c:v>
                </c:pt>
                <c:pt idx="1">
                  <c:v>259.56</c:v>
                </c:pt>
                <c:pt idx="2">
                  <c:v>294.32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270,40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(163,00 – 271,60)</c:v>
                </c:pt>
                <c:pt idx="1">
                  <c:v>Precio objetivo de los analistas (170,00 – 350,00)</c:v>
                </c:pt>
                <c:pt idx="2">
                  <c:v>Comparables: EV/EBITDA NTM (212,13 – 270,55)</c:v>
                </c:pt>
                <c:pt idx="3">
                  <c:v>Comparables: PER NTM (209,73 – 298,25)</c:v>
                </c:pt>
                <c:pt idx="4">
                  <c:v>DCF (WACC y g ± 0,5) (221,37 – 314,74)</c:v>
                </c:pt>
                <c:pt idx="5">
                  <c:v>Escenarios (bajista – alcista) (187,19 – 294,32)</c:v>
                </c:pt>
                <c:pt idx="6">
                  <c:v>DCF con la prima implícita del mercado (4,2 %)</c:v>
                </c:pt>
                <c:pt idx="7">
                  <c:v>Precio actual (270,40)</c:v>
                </c:pt>
              </c:strCache>
            </c:strRef>
          </c:cat>
          <c:val>
            <c:numRef>
              <c:f>Hoja1!$B$2:$B$9</c:f>
              <c:numCache>
                <c:formatCode>#,##0</c:formatCode>
                <c:ptCount val="8"/>
                <c:pt idx="0">
                  <c:v>163</c:v>
                </c:pt>
                <c:pt idx="1">
                  <c:v>170</c:v>
                </c:pt>
                <c:pt idx="2">
                  <c:v>212.13</c:v>
                </c:pt>
                <c:pt idx="3">
                  <c:v>209.73</c:v>
                </c:pt>
                <c:pt idx="4">
                  <c:v>221.37</c:v>
                </c:pt>
                <c:pt idx="5">
                  <c:v>187.19</c:v>
                </c:pt>
                <c:pt idx="6">
                  <c:v>298.82</c:v>
                </c:pt>
                <c:pt idx="7">
                  <c:v>269.05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(163,00 – 271,60)</c:v>
                </c:pt>
                <c:pt idx="1">
                  <c:v>Precio objetivo de los analistas (170,00 – 350,00)</c:v>
                </c:pt>
                <c:pt idx="2">
                  <c:v>Comparables: EV/EBITDA NTM (212,13 – 270,55)</c:v>
                </c:pt>
                <c:pt idx="3">
                  <c:v>Comparables: PER NTM (209,73 – 298,25)</c:v>
                </c:pt>
                <c:pt idx="4">
                  <c:v>DCF (WACC y g ± 0,5) (221,37 – 314,74)</c:v>
                </c:pt>
                <c:pt idx="5">
                  <c:v>Escenarios (bajista – alcista) (187,19 – 294,32)</c:v>
                </c:pt>
                <c:pt idx="6">
                  <c:v>DCF con la prima implícita del mercado (4,2 %)</c:v>
                </c:pt>
                <c:pt idx="7">
                  <c:v>Precio actual (270,40)</c:v>
                </c:pt>
              </c:strCache>
            </c:strRef>
          </c:cat>
          <c:val>
            <c:numRef>
              <c:f>Hoja1!$C$2:$C$9</c:f>
              <c:numCache>
                <c:formatCode>#,##0</c:formatCode>
                <c:ptCount val="8"/>
                <c:pt idx="0">
                  <c:v>108.60000000000002</c:v>
                </c:pt>
                <c:pt idx="1">
                  <c:v>180</c:v>
                </c:pt>
                <c:pt idx="2">
                  <c:v>58.420000000000016</c:v>
                </c:pt>
                <c:pt idx="3">
                  <c:v>88.52000000000001</c:v>
                </c:pt>
                <c:pt idx="4">
                  <c:v>93.37</c:v>
                </c:pt>
                <c:pt idx="5">
                  <c:v>107.13</c:v>
                </c:pt>
                <c:pt idx="6">
                  <c:v>84.61000000000001</c:v>
                </c:pt>
                <c:pt idx="7">
                  <c:v>2.6999999999999886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