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Hermès International SCA</w:t>
      </w:r>
    </w:p>
    <w:p>
      <w:pPr>
        <w:spacing w:after="60"/>
        <w:rPr>
          <w:color w:val="52514E"/>
          <w:sz w:val="22"/>
          <w:szCs w:val="22"/>
        </w:rPr>
      </w:pPr>
      <w:r>
        <w:rPr>
          <w:color w:val="52514E"/>
          <w:sz w:val="22"/>
          <w:szCs w:val="22"/>
        </w:rPr>
        <w:t xml:space="preserve">RMS · Euronext París · ISIN FR0000052292 · Consumo discrecional</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22 oct 2026</w:t>
      </w:r>
      <w:r>
        <w:rPr>
          <w:color w:val="52514E"/>
          <w:sz w:val="18"/>
          <w:szCs w:val="18"/>
        </w:rPr>
        <w:t xml:space="preserve"> · Divisa: </w:t>
      </w:r>
      <w:r>
        <w:rPr>
          <w:b/>
          <w:bCs/>
          <w:color w:val="52514E"/>
          <w:sz w:val="18"/>
          <w:szCs w:val="18"/>
        </w:rPr>
        <w:t xml:space="preserve">EUR</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1.356,50 EUR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1.669,39 EUR</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+24,4 % (base +19,9 %)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937,70 EUR · mercado 1.160,14</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Media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142.365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16,7x</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-1,4x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Hermès International SCA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RMS / FR0000052292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Euronext París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CAC 40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Consumo discrecional / Textil, confección y bienes de lujo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 rue du Faubourg Saint-Honoré, París · 1837</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27.107</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https://finance.hermes.com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1.356,50 (21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1.255,00 – 2.300,00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105,0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32,6 %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142.365 M EUR</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130.999 M EUR</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156 M EUR/día (105.925 acciones, 3 meses)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 feb 2027</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Media · Objetivo a 12 meses </w:t>
      </w:r>
      <w:r>
        <w:rPr>
          <w:b/>
          <w:bCs/>
        </w:rPr>
        <w:t xml:space="preserve">1.669,39 EUR</w:t>
      </w:r>
      <w:r>
        <w:t xml:space="preserve"> frente a 1.356,50 · Rentabilidad a 12 meses </w:t>
      </w:r>
      <w:r>
        <w:rPr>
          <w:b/>
          <w:bCs/>
        </w:rPr>
        <w:t xml:space="preserve">+24,4 % (base +19,9 %)</w:t>
      </w:r>
      <w:r>
        <w:t xml:space="preserve"> · Valor intrínseco 937,70 EUR · con la prima implícita del mercado: 1.160,14 (-14,5 %) · Alcista / bajista -15,7 % / -48,4 %</w:t>
      </w:r>
    </w:p>
    <w:p>
      <w:pPr>
        <w:spacing w:after="100"/>
      </w:pPr>
      <w:r>
        <w:rPr>
          <w:b/>
        </w:rPr>
        <w:t xml:space="preserve">La recomendación y por qué.</w:t>
      </w:r>
      <w:r>
        <w:t xml:space="preserve"> Mantener, con convicción media. La regla de 12 meses da un objetivo ponderado de 1.669,39 EUR, un +24,4 % con dividendo sobre el cierre del 21-oct (1.356,50 EUR), y un +19,8 % en el caso base: si la empresa estuviera barata sería compra. No lo está: el valor intrínseco es de 937,70 EUR, un 30,9 % por debajo del precio, y ni el escenario alcista del DCF (1.143,77 EUR) llega al precio. El 22-oct la acción cayó en torno a un 8 % por la mañana (≈1.245 EUR) tras unos ingresos del 3T26 peores de lo esperado [D]. La convicción es media porque las dos reglas coinciden (ni compra ni venta) y el precio está lejos de los dos umbrales; la subiría una vuelta de Asia al crecimiento y la bajaría un margen semestral por debajo del 39 %.</w:t>
      </w:r>
    </w:p>
    <w:p>
      <w:pPr>
        <w:spacing w:after="100"/>
      </w:pPr>
      <w:r>
        <w:rPr>
          <w:b/>
        </w:rPr>
        <w:t xml:space="preserve">Qué ha pasado en el 3T26.</w:t>
      </w:r>
      <w:r>
        <w:t xml:space="preserve"> Ventas de 4.096 M EUR, +4,3 % a tipos constantes frente al +5,2-5,5 % esperado: el menor crecimiento trimestral desde 2020. Asia-Pacífico sin Japón (42 % de las ventas) quedó plana y Confección y Accesorios cayó un 2,0 %; la Marroquinería aceleró (+10,8 %) y Japón, Europa y Américas crecen un 9-10 % [A]. En nueve meses: 12.260 M, +5,5 % a tipos constantes y +2,9 % publicado (divisas −310 M). La guía sigue sin cifras [D].</w:t>
      </w:r>
    </w:p>
    <w:p>
      <w:pPr>
        <w:spacing w:after="100"/>
      </w:pPr>
      <w:r>
        <w:rPr>
          <w:b/>
        </w:rPr>
        <w:t xml:space="preserve">El negocio.</w:t>
      </w:r>
      <w:r>
        <w:t xml:space="preserve"> Es el mejor negocio del lujo: margen operativo del 41,0 % en el 1S26, ROIC del 55,1 % y 12.926 M EUR de caja neta [A]. La calidad sostiene nuestro caso base (veredicto «Sí»): un 6,6 % anual con un taller nuevo al año y subidas de precio moderadas; no sostiene el 13,0 % anual que descuenta el precio.</w:t>
      </w:r>
    </w:p>
    <w:p>
      <w:pPr>
        <w:spacing w:after="100"/>
      </w:pPr>
      <w:r>
        <w:rPr>
          <w:b/>
        </w:rPr>
        <w:t xml:space="preserve">Sector y ciclo.</w:t>
      </w:r>
      <w:r>
        <w:t xml:space="preserve"> La recuperación del lujo se frena: LVMH creció un 1 % orgánico en el 3T26 y su Moda y Marroquinería cayó un 5 % por China [B]. Hermès sigue ganando cuota, pero su motor de 2019-2025, China, no crece.</w:t>
      </w:r>
    </w:p>
    <w:p>
      <w:pPr>
        <w:spacing w:after="100"/>
      </w:pPr>
      <w:r>
        <w:rPr>
          <w:b/>
        </w:rPr>
        <w:t xml:space="preserve">Valoración.</w:t>
      </w:r>
      <w:r>
        <w:t xml:space="preserve"> El DCF da 941,81 EUR (WACC del 9,93 %) y 1.190,77 EUR con la prima del mercado. Cotiza a 31,5 veces el beneficio de los últimos doce meses y 17,6 veces el EBITDA, por debajo del mínimo de 2021-2025 (45,0 y 26,8 veces), y con una prima del 23 % en PER y del 92 % en EV/EBITDA sobre el lujo [D]. El objetivo a 12 meses supone que el mercado sigue pagando unas 30 veces el beneficio de 2028e (53,96 EUR, un 2,8 % por encima del consenso por el fin de la contribución fiscal francesa).</w:t>
      </w:r>
    </w:p>
    <w:p>
      <w:pPr>
        <w:spacing w:after="100"/>
      </w:pPr>
      <w:r>
        <w:rPr>
          <w:b/>
        </w:rPr>
        <w:t xml:space="preserve">En cartera.</w:t>
      </w:r>
      <w:r>
        <w:t xml:space="preserve"> Pasa el filtro de rentabilidad para seguir (ponderada ≥10 % y base ≥5 %), pero no el de valor: el valor intrínseco está más de un 15 % por debajo del precio. Es la misma situación que antes de los resultados: la prueba de robustez da «No mantener» por valor, no por rentabilidad.</w:t>
      </w:r>
    </w:p>
    <w:p>
      <w:pPr>
        <w:spacing w:after="100"/>
      </w:pPr>
      <w:r>
        <w:rPr>
          <w:b/>
        </w:rPr>
        <w:t xml:space="preserve">Qué cambiaría la decisión.</w:t>
      </w:r>
      <w:r>
        <w:t xml:space="preserve"> Compra por debajo de 937,70 EUR (valor intrínseco); venta por encima de 1.874,47 EUR. Revisaríamos el caso base al alza si Asia-Pacífico sin Japón vuelve a crecer por encima del 6 % en un semestre.</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Mantener</w:t>
      </w:r>
      <w:r>
        <w:t xml:space="preserve"> · Convicción: Media · Horizonte: 12 meses · Objetivo a 12 meses: </w:t>
      </w:r>
      <w:r>
        <w:rPr>
          <w:b/>
          <w:bCs/>
        </w:rPr>
        <w:t xml:space="preserve">1.669,39 EUR</w:t>
      </w:r>
      <w:r>
        <w:t xml:space="preserve"> (rentabilidad +24,4 % (base +19,9 %)) · Valor intrínseco: 937,70 EUR (-30,9 % sobre 1.356,50) · con la prima implícita del mercado: 1.160,14 (-14,5 %)</w:t>
      </w:r>
    </w:p>
    <w:p>
      <w:pPr>
        <w:spacing w:after="100"/>
      </w:pPr>
      <w:r>
        <w:t xml:space="preserve">Hermès es una marca de 189 años que vende objetos que fabrica en cantidades que ella decide: margen operativo del 41,0 %, ROIC del 55,1 %, sin deuda y con 12.926 M EUR de caja [A].</w:t>
      </w:r>
    </w:p>
    <w:p>
      <w:pPr>
        <w:spacing w:after="100"/>
      </w:pPr>
      <w:r>
        <w:t xml:space="preserve">El precio ya ha caído más de un 40 % en 2026 y cotiza a 31,5 veces el beneficio, por debajo de su mínimo de cinco años [D]. Pero el DCF inverso dice que todavía descuenta un 13,0 % de crecimiento anual hasta 2035 con nuestros márgenes, cuando la empresa crece un 4,3 % a tipos constantes en el 3T26 y el consenso espera un 7,5 % para 2027-2028 [A, D].</w:t>
      </w:r>
    </w:p>
    <w:p>
      <w:pPr>
        <w:spacing w:after="100"/>
      </w:pPr>
      <w:r>
        <w:t xml:space="preserve">El mercado acierta en la calidad y se equivoca en la duración del crecimiento: la marroquinería crece con la capacidad (en torno a un 6 % de volumen al año) y con subidas de precio que el sector ya no acepta como antes. Nuestro caso base, un 6,6 % anual, vale 941,81 EUR.</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1.669,39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23,8x × 46,97 = 1.117,89 · 29,8x × 53,96 = 1.608,01 · 40,2x × 58,30 = 2.343,66</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24,4 % / 19,9 %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 (selector de método: sin marcas: decide la v3)</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1.625,35 (nuestro base -1,1 %)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937,70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-15,7 % / -48,4 %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-0,32x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7,7 % frente a 9,9 % y 8,4 %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8,4 %)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1.160,14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0,22x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(2027e-2035e)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13,0 % frente a 3,5 %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(6,3 %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(Mantener con las dos reglas de acuerdo y lejos de los umbrales)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Media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937,70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937,70 y 1.874,88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1.874,88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Por debajo de 937,70 EUR (el valor intrínseco) pasaría a Comprar, si la rentabilidad a 12 meses sigue por encima del 15 %.</w:t>
      </w:r>
    </w:p>
    <w:p>
      <w:pPr>
        <w:pStyle w:val="ListParagraph"/>
        <w:numPr>
          <w:ilvl w:val="0"/>
          <w:numId w:val="2"/>
        </w:numPr>
        <w:spacing w:after="60"/>
      </w:pPr>
      <w:r>
        <w:t xml:space="preserve">Por encima de 1.874,47 EUR la regla de 12 meses daría Vender.</w:t>
      </w:r>
    </w:p>
    <w:p>
      <w:pPr>
        <w:pStyle w:val="ListParagraph"/>
        <w:numPr>
          <w:ilvl w:val="0"/>
          <w:numId w:val="2"/>
        </w:numPr>
        <w:spacing w:after="60"/>
      </w:pPr>
      <w:r>
        <w:t xml:space="preserve">Si el crecimiento a tipos constantes supera el 9 % dos trimestres seguidos con Asia por encima del 6 %, revisaríamos el caso base al alza.</w:t>
      </w:r>
    </w:p>
    <w:p>
      <w:pPr>
        <w:pStyle w:val="ListParagraph"/>
        <w:numPr>
          <w:ilvl w:val="0"/>
          <w:numId w:val="2"/>
        </w:numPr>
        <w:spacing w:after="60"/>
      </w:pPr>
      <w:r>
        <w:t xml:space="preserve">Si el margen operativo semestral baja del 39 %, bajaríamos el caso base.</w:t>
      </w:r>
    </w:p>
    <w:p>
      <w:pPr>
        <w:pStyle w:val="Heading2"/>
      </w:pPr>
      <w:r>
        <w:t xml:space="preserve">Dónde discrepamos del mercado</w:t>
      </w:r>
    </w:p>
    <w:p>
      <w:pPr>
        <w:keepNext/>
        <w:spacing w:after="100"/>
      </w:pPr>
      <w:r>
        <w:rPr>
          <w:b/>
          <w:bCs/>
        </w:rPr>
        <w:t xml:space="preserve">Lo que descuenta el precio.</w:t>
      </w:r>
    </w:p>
    <w:p>
      <w:pPr>
        <w:spacing w:after="100"/>
      </w:pPr>
      <w:r>
        <w:t xml:space="preserve">Que la caída es un bache: Hermès volverá a crecer cerca de un 13 % anual (el DCF inverso) y merece casi 30 veces el beneficio. El objetivo medio de los analistas es de 1.625,35 EUR, aún sin revisar por el 3T26, con 2 ventas de 23 [D].</w:t>
      </w:r>
    </w:p>
    <w:p>
      <w:pPr>
        <w:keepNext/>
        <w:spacing w:after="100"/>
      </w:pPr>
      <w:r>
        <w:rPr>
          <w:b/>
          <w:bCs/>
        </w:rPr>
        <w:t xml:space="preserve">Lo que creemos nosotros.</w:t>
      </w:r>
    </w:p>
    <w:p>
      <w:pPr>
        <w:spacing w:after="100"/>
      </w:pPr>
      <w:r>
        <w:t xml:space="preserve">Hermès seguirá ganando cuota, pero a un ritmo del 7-7,5 % hasta 2030 y del 5 % en 2035: su crecimiento lo limitan los artesanos y un cliente que acepta peor las subidas de precio. Con ese ritmo la acción vale 941,81 EUR por DCF y 1.190,77 EUR con la prima del mercado.</w:t>
      </w:r>
    </w:p>
    <w:p>
      <w:pPr>
        <w:keepNext/>
        <w:spacing w:after="100"/>
      </w:pPr>
      <w:r>
        <w:rPr>
          <w:b/>
          <w:bCs/>
        </w:rPr>
        <w:t xml:space="preserve">Por qué podemos tener razón.</w:t>
      </w:r>
    </w:p>
    <w:p>
      <w:pPr>
        <w:spacing w:after="100"/>
      </w:pPr>
      <w:r>
        <w:t xml:space="preserve">Porque la caída de 2025-2026 es de crecimiento, no de margen: del 13-15 % a tipos constantes al 4-6 %, con Asia plana en el 3T26 [A]. El precio ha bajado el múltiplo, pero no lo suficiente para ese crecimiento.</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EUR) · precio actual 1.356,5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941,81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930,49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770,75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931,87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pStyle w:val="Heading2"/>
      </w:pPr>
      <w:r>
        <w:t xml:space="preserve">A favor</w:t>
      </w:r>
    </w:p>
    <w:p>
      <w:pPr>
        <w:pStyle w:val="ListParagraph"/>
        <w:numPr>
          <w:ilvl w:val="0"/>
          <w:numId w:val="2"/>
        </w:numPr>
        <w:spacing w:after="60"/>
      </w:pPr>
      <w:r>
        <w:rPr>
          <w:b/>
        </w:rPr>
        <w:t xml:space="preserve">El mejor margen del lujo</w:t>
      </w:r>
      <w:r>
        <w:t xml:space="preserve">: 41,0 % de margen operativo en el 1S26 y ROIC del 55,1 % [A].</w:t>
      </w:r>
    </w:p>
    <w:p>
      <w:pPr>
        <w:pStyle w:val="ListParagraph"/>
        <w:numPr>
          <w:ilvl w:val="0"/>
          <w:numId w:val="2"/>
        </w:numPr>
        <w:spacing w:after="60"/>
      </w:pPr>
      <w:r>
        <w:rPr>
          <w:b/>
        </w:rPr>
        <w:t xml:space="preserve">La Marroquinería acelera</w:t>
      </w:r>
      <w:r>
        <w:t xml:space="preserve">: +10,8 % a tipos constantes en el 3T26, frente al −5 % de la de LVMH [A, B].</w:t>
      </w:r>
    </w:p>
    <w:p>
      <w:pPr>
        <w:pStyle w:val="ListParagraph"/>
        <w:numPr>
          <w:ilvl w:val="0"/>
          <w:numId w:val="2"/>
        </w:numPr>
        <w:spacing w:after="60"/>
      </w:pPr>
      <w:r>
        <w:rPr>
          <w:b/>
        </w:rPr>
        <w:t xml:space="preserve">Balance de caja</w:t>
      </w:r>
      <w:r>
        <w:t xml:space="preserve">: 12.926 M EUR de caja neta y ninguna deuda financiera relevante [A].</w:t>
      </w:r>
    </w:p>
    <w:p>
      <w:pPr>
        <w:pStyle w:val="ListParagraph"/>
        <w:numPr>
          <w:ilvl w:val="0"/>
          <w:numId w:val="2"/>
        </w:numPr>
        <w:spacing w:after="60"/>
      </w:pPr>
      <w:r>
        <w:rPr>
          <w:b/>
        </w:rPr>
        <w:t xml:space="preserve">La familia compra</w:t>
      </w:r>
      <w:r>
        <w:t xml:space="preserve">: compras de miembros de la familia y consejeros en 2026, sin ventas [C].</w:t>
      </w:r>
    </w:p>
    <w:p>
      <w:pPr>
        <w:pStyle w:val="ListParagraph"/>
        <w:numPr>
          <w:ilvl w:val="0"/>
          <w:numId w:val="2"/>
        </w:numPr>
        <w:spacing w:after="60"/>
      </w:pPr>
      <w:r>
        <w:rPr>
          <w:b/>
        </w:rPr>
        <w:t xml:space="preserve">Múltiplo en mínimos</w:t>
      </w:r>
      <w:r>
        <w:t xml:space="preserve">: 31,5 veces el beneficio frente a una media de 49,3 veces en 2021-2025 [D].</w:t>
      </w:r>
    </w:p>
    <w:p>
      <w:pPr>
        <w:pStyle w:val="Heading2"/>
      </w:pPr>
      <w:r>
        <w:t xml:space="preserve">En contra</w:t>
      </w:r>
    </w:p>
    <w:p>
      <w:pPr>
        <w:pStyle w:val="ListParagraph"/>
        <w:numPr>
          <w:ilvl w:val="0"/>
          <w:numId w:val="2"/>
        </w:numPr>
        <w:spacing w:after="60"/>
      </w:pPr>
      <w:r>
        <w:rPr>
          <w:b/>
        </w:rPr>
        <w:t xml:space="preserve">El precio pide un 13,0 % anual</w:t>
      </w:r>
      <w:r>
        <w:t xml:space="preserve"> de crecimiento hasta 2035, frente al 6,6 % de nuestro caso base.</w:t>
      </w:r>
    </w:p>
    <w:p>
      <w:pPr>
        <w:pStyle w:val="ListParagraph"/>
        <w:numPr>
          <w:ilvl w:val="0"/>
          <w:numId w:val="2"/>
        </w:numPr>
        <w:spacing w:after="60"/>
      </w:pPr>
      <w:r>
        <w:rPr>
          <w:b/>
        </w:rPr>
        <w:t xml:space="preserve">China no crece</w:t>
      </w:r>
      <w:r>
        <w:t xml:space="preserve">: Asia-Pacífico sin Japón, el 42 % de las ventas, 0,0 % en el 3T26 [A].</w:t>
      </w:r>
    </w:p>
    <w:p>
      <w:pPr>
        <w:pStyle w:val="ListParagraph"/>
        <w:numPr>
          <w:ilvl w:val="0"/>
          <w:numId w:val="2"/>
        </w:numPr>
        <w:spacing w:after="60"/>
      </w:pPr>
      <w:r>
        <w:rPr>
          <w:b/>
        </w:rPr>
        <w:t xml:space="preserve">El crecimiento más bajo desde 2020</w:t>
      </w:r>
      <w:r>
        <w:t xml:space="preserve">: +4,3 % a tipos constantes en el 3T26, por debajo de lo esperado [A].</w:t>
      </w:r>
    </w:p>
    <w:p>
      <w:pPr>
        <w:pStyle w:val="ListParagraph"/>
        <w:numPr>
          <w:ilvl w:val="0"/>
          <w:numId w:val="2"/>
        </w:numPr>
        <w:spacing w:after="60"/>
      </w:pPr>
      <w:r>
        <w:rPr>
          <w:b/>
        </w:rPr>
        <w:t xml:space="preserve">Divisas</w:t>
      </w:r>
      <w:r>
        <w:t xml:space="preserve">: −310 M EUR de ventas en nueve meses [A].</w:t>
      </w:r>
    </w:p>
    <w:p>
      <w:pPr>
        <w:pStyle w:val="ListParagraph"/>
        <w:numPr>
          <w:ilvl w:val="0"/>
          <w:numId w:val="2"/>
        </w:numPr>
        <w:spacing w:after="60"/>
      </w:pPr>
      <w:r>
        <w:rPr>
          <w:b/>
        </w:rPr>
        <w:t xml:space="preserve">Gobierno cerrado</w:t>
      </w:r>
      <w:r>
        <w:t xml:space="preserve">: el socio colectivo nombra al gerente y la remuneración no tiene métricas de retorno [C].</w:t>
      </w:r>
    </w:p>
    <w:p>
      <w:pPr>
        <w:pStyle w:val="Heading2"/>
      </w:pPr>
      <w:r>
        <w:t xml:space="preserve">Qué tiene que pasar para que la tesis funcione</w:t>
      </w:r>
    </w:p>
    <w:p>
      <w:pPr>
        <w:spacing w:after="100"/>
      </w:pPr>
      <w:r>
        <w:t xml:space="preserve">La tesis depende de que el crecimiento a tipos constantes se quede en el 4-8 % y no vuelva a los dos dígitos. Lo próximo: la revisión del consenso tras el 3T26 (noviembre), las subidas de precio de enero de 2027 y los resultados de 2026 el 12-feb-2027, con el margen del segundo semestre.</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tipos constantes (trimestral)</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 (3T26)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3 % o &gt; 9 % dos trimestres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variable que separa nuestro valor del precio.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Asia-Pacífico sin Japón</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 (3T26)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 6 % o &lt; 0 %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42 % de las ventas.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Marroquinería a tipos constantes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+10,8 % (3T26)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8 % o &gt; 12 %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precio y capacidad.</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operativo recurrente semestral</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41,0 %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39 %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Divisas y absorción de capacidad.</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Compras de la familia (AMF)</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Compras netas en 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Ventas netas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Señal de quien mejor conoce la empresa.</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17,6x / 16,7x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31,5x / 28,8x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19,9x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8,12x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(2020-2025)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46,0 %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55,1 %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9,9 %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-1,4x · -1,4x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 de 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Alta</w:t>
      </w:r>
    </w:p>
    <w:p>
      <w:pPr>
        <w:spacing w:after="100"/>
      </w:pPr>
      <w:r>
        <w:t xml:space="preserve">Hermès nació en 1837 como taller de arneses de Thierry Hermès en París y se trasladó al 24 de la rue du Faubourg Saint-Honoré en 1880 [1]. Pasó de la guarnicionería al bolso, la seda y la moda en el siglo XX (Kelly en 1956, Birkin en 1984) bajo las familias Hermès, Dumas y Puech [1]. Salió a bolsa en 1993 con la familia en el control. En 2010 LVMH reveló una participación construida con derivados que llegó al 23 %; la familia agrupó más del 50 % en el holding H51 y en 2014 LVMH repartió su participación tras una multa de 8 M EUR de la AMF [25]. La lección: el control familiar, blindado por la forma de comanditaria por acciones, es parte de la tesis. Axel Dumas, sexta generación, dirige la casa desde 2013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1837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Thierry Hermès abre su taller de arneses y sillas de montar en París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1880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Charles-Émile Hermès traslada el taller al 24 de la rue du Faubourg Saint-Honoré, sede actual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1937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carré de seda; el bolso de 1930 pasa a llamarse Kelly en 1956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1978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Jean-Louis Dumas toma el mando y crea la filial de relojes en Bienne (Suiza)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1984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Nace el bolso Birkin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a bolsa de Hermès International el 3 de junio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LVMH revela una participación de en torno al 17 % construida con derivados; llegará al 23 % [25].</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Axel Dumas, sexta generación, nombrado gerente (Executive Chairman); la AMF multa a LVMH con 8 M EUR por la toma de participación [1, 25].</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Acuerdo con LVMH, que reparte su 23 % entre sus accionistas y se compromete a no volver a comprar en cinco años [25].</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Entrada en el CAC 40; en 2021, en el Euro Stoxx 50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Toma de control de la distribución en Emiratos Árabes Unidos; ventas por encima de 15.000 M EUR [4].</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25.º taller de marroquinería (Loupes) y tres más anunciados hasta 2030; peor caída bursátil de su historia: −36,9 % en el año (sin dividendos) al cierre del 20-oct [11, 26].</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Hermès diseña, fabrica y vende objetos de lujo con su única marca a través de 16 oficios. La Marroquinería-Guarnicionería (bolsos Birkin, Kelly, Constance, pequeña marroquinería y sillas de montar) hace el 44 % de las ventas de 2025 (7.070 M EUR); Prêt-à-porter y Accesorios, el 28 %; Seda y Textiles, el 6 %; los Otros oficios (joyería y casa), el 13 %; Perfumes y Belleza, Relojes y Otros productos, el resto [1]. Vende en 294 tiendas exclusivas, 234 de ellas propias, y en hermes.com; Asia-Pacífico sin Japón supone el 42 % de las ventas, Américas el 19 % y Europa con Francia el 25 % [1]. Fabrica el 55 % de sus objetos en talleres propios y exclusivos y el 75 % en Francia, con 79 centros de producción y 25 talleres de marroquinería [1, 2].</w:t>
      </w:r>
    </w:p>
    <w:p>
      <w:pPr>
        <w:pStyle w:val="Heading2"/>
      </w:pPr>
      <w:r>
        <w:t xml:space="preserve">Cómo gana dinero</w:t>
      </w:r>
    </w:p>
    <w:p>
      <w:pPr>
        <w:spacing w:after="100"/>
      </w:pPr>
      <w:r>
        <w:t xml:space="preserve">Vende caro lo que fabrica en cantidades que controla: el margen bruto fue del 71,1 % en 2025 y el margen operativo recurrente del 41,0 % [1]. La marroquinería está limitada por la capacidad: cada taller nuevo (uno al año, unos 260 artesanos) añade volumen, y el resto del crecimiento sale del precio y la mezcla [1, 7]. Casi todo se produce en euros y casi todo se vende en otras divisas: los tipos de cambio restaron más de 360 M EUR a las ventas del 1S26, aunque la empresa cubre casi el 100 % de sus flujos internos del año siguiente [1, 2]. No hay ingresos recurrentes por contrato, pero la demanda de los modelos icónicos supera a la oferta y la venta es en tienda propia, sin rebajas ni outlets. El gasto en comunicación es solo del 3,9 % de las ventas [1].</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68"/>
        <w:gridCol w:w="1320"/>
        <w:gridCol w:w="1320"/>
        <w:gridCol w:w="1320"/>
        <w:gridCol w:w="1188"/>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Francia</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1.575</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45,4 %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Europa (sin Francia)</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2.362</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Japón</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1.591</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39,3 %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Asia-Pacífico (sin Japón)</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6.702</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41,9 %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41,2 %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Américas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3.075</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Otros (Oriente Medio)</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697</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No asignado</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EBIT</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25"/>
        <w:gridCol w:w="1302"/>
        <w:gridCol w:w="1302"/>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2021</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2022</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Francia</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1.447</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Europa (sin Francia)</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2.147</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2.362</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Japón</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1.437</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1.591</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Asia-Pacífico (sin Japón)</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4.251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5.556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6.273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6.648</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6.702</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Américas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2.865</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Otros (Oriente Medio)</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627</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697</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No asignado</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destino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Clientes particulares de muy alto patrimonio, sin concentración: ningún cliente pesa en las cuentas [1]. Los bolsos icónicos se asignan a clientes con historial de compra; un tribunal federal de California desestimó definitivamente en septiembre de 2025 la demanda colectiva que lo calificaba de venta condicionada [18]. El poder de precios se ve en los márgenes: el margen operativo subió del 31,0 % de 2020 al 41,1 % de 2025 con una inflación de costes alta y con divisas en contra, y la empresa creció un 8,9 % a tipos constantes en 2025 cuando el mercado crecía un 1 % [1, 15]. Bain calcula que los bolsos icónicos del sector subieron entre un 50 % y un 70 % de 2019 a 2025, y que eso expulsó a unos 70 millones de clientes aspiracionales del mercado desde 2022 [15]: Hermès apenas depende de ellos.</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tipos constantes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8,9 % (2025); 6,1 % (1S26); 5,5 % (9M26; 3T26 4,3 %)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p.p. (2025)</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Frenazo en Asia-Pacífico sin Japón (+4,9 % en 2025; +1,6 % en 9M26 y 0,0 % en el 3T26) [1, 11].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operativo recurrente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41,0 % (2025 y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 divisas en contra (−360 M de ventas en 1S26) [1,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de Marroquinería-Guarnicionería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6.457 M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7.070 M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 a tipos constantes</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44 % de las ventas; +10,2 % a tipos constantes en 9M26 y +10,8 % en el 3T26; limitada por la capacidad de los talleres (25 en abr-2026) [1, 11].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Tiendas exclusivas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 (234 propias)</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Red estable; crecimiento por ampliación y traslado de tiendas [1].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Plantilla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25.185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26.494 (2025); 27.107 (jun-26)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16.656 en Francia a jun-26 [1,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Inversiones operativas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1.067 M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1.161 M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7,3 % de las ventas; talleres y tiendas [1].</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relevante es el de </w:t>
      </w:r>
      <w:r>
        <w:rPr>
          <w:b/>
        </w:rPr>
        <w:t xml:space="preserve">bienes personales de lujo</w:t>
      </w:r>
      <w:r>
        <w:t xml:space="preserve"> a escala mundial (marroquinería, moda, calzado, joyería, relojería y belleza de gama alta), medido por Bain y Altagamma a precio de venta al público: 358.000 M EUR en 2025 [15, 16]. Es donde están el 100 % de las ventas de Hermès. Dentro, la marroquinería de lujo suma unos 74.000 M EUR en 2025 (−5 % a −7 %) y Hermès tiene en torno al 9,6 % (estimación propia) [15]. Usamos la serie de Bain de junio de 2026 (1996-2025) y la contrastamos con la edición de diciembre de 2025 [15, 16]; los datos de los competidores salen de sus cuentas. El TCAC histórico se mide de 2019 a 2025 para no partir del valle de 2020; el previsto (3,5 %) es estimación propia a partir del +2/4 % que Bain prevé para 2026 y su visión de crecimiento positivo hasta 2035 [15, 16].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358.000 M EUR en 2025 (−2 % a tipos corrientes, +1 % a tipos constantes); 365.000-373.000 M EUR previstos para 2026 [15, 16].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Recuperación</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histórico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3,9 %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los 5 primeros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Moderadamente 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lones de EUR)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Riqueza y gasto de los clientes de muy alto patrimonio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mercado perdió unos 20 millones de clientes en 2025 (330 millones frente a 400 en 2022), sobre todo aspiracionales; el cliente rico sostuvo su gasto [15]. Es la base de clientes de Hermès.</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Fatiga de precios en la marroquinería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marroquinería de lujo cayó entre un 5 % y un 7 % en 2025, hasta unos 74.000 M EUR; los bolsos icónicos subieron entre un 50 % y un 70 % de 2019 a 2025 [15]. En 2026 la divergencia sigue: Moda y Marroquinería de LVMH cae un 5 % orgánico en el 3T26 (−2 % en nueve meses), mientras la Marroquinería de Hermès crece un 10,8 % a tipos constantes en el 3T26 y un 10,2 % en nueve meses [11, 28].</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China continental</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lujo en China continental cayó entre un 6 % y un 8 % en 2025 [15]; Bain veía recuperación gradual en 2026 [16], pero LVMH atribuye su 3T26 a la menor demanda china [28]. Asia-Pacífico sin Japón es el 42 % de las ventas de Hermès en nueve meses (5.182 de 12.260 M EUR); creció un 1,6 % a tipos constantes en nueve meses y un 0,0 % en el 3T26, con la Gran China estable [11].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Consumo en EE. UU.</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Américas sumó unos 101.000 M EUR en 2025 (0 % a +2 %) y es la región que tira en 2026 según Bain [15, 16]; Hermès crece un 13,1 % a tipos constantes en Américas en nueve meses (8,8 % en el 3T26) y LVMH habla de un mercado estadounidense «boyante» [11, 28].</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Geopolítica de Oriente Medio y turismo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Bain sitúa el conflicto entre EE. UU. e Irán, el petróleo por encima de 100 USD y la caída de las devoluciones de impuestos a turistas (−20 % en febrero de 2026) como lastres del 1S26 [16]; la zona «Otros» (sobre todo Oriente Medio) cae un 4,3 % a tipos constantes en las ventas de Hermès en nueve meses y un 4,5 % en el 3T26 [11].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Divisas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Producción en euros y ventas en otras divisas: los tipos de cambio restaron unos 310 M EUR a las ventas de los nueve meses de 2026 (más de 360 M EUR en el 1S26), de modo que el grupo crece un 2,9 % publicado frente al 5,5 % a tipos constantes; en el 3T26 el efecto ya fue favorable (+5,5 % publicado frente a +4,3 %) [2, 11].</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cinco primeros grupos suman en torno al 35 % del mercado; solo entre el 40 % y el 45 % de las marcas creció en 2025 [15]. En el segmento de Hermès (marroquinería de máximo precio) la rivalidad es mucho menor: Chanel es el único rival de tamaño comparable [17].</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Clientes atomizados, venta en tiendas propias (234 de 294) y demanda superior a la oferta en los bolsos icónicos; el tribunal federal de California desestimó en septiembre de 2025 la demanda colectiva por las condiciones de venta del Birkin [1, 18].</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Integración vertical: el 55 % de los objetos se fabrica en talleres propios y exclusivos, y Hermès controla curtidurías; la piel exótica depende de pocos criadores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Marca de 189 años, 25 talleres de marroquinería y artesanos formados durante años: la capacidad no se compra [1, 11].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gasto se desplaza a experiencias (+2/6 % en 2026) y la segunda mano llega a unos 50.000 M EUR, pero los bolsos Hermès se revenden por encima del precio de tienda, lo que refuerza la marca [15, 16].</w:t>
            </w:r>
          </w:p>
        </w:tc>
      </w:tr>
    </w:tbl>
    <w:p>
      <w:pPr>
        <w:spacing w:after="160" w:before="0"/>
      </w:pPr>
    </w:p>
    <w:p>
      <w:pPr>
        <w:pStyle w:val="Heading2"/>
      </w:pPr>
      <w:r>
        <w:t xml:space="preserve">Ciclo</w:t>
      </w:r>
    </w:p>
    <w:p>
      <w:pPr>
        <w:spacing w:after="100"/>
      </w:pPr>
      <w:r>
        <w:t xml:space="preserve">El lujo personal cayó dos años seguidos (364.000 M EUR en 2024 y 358.000 M en 2025) y Bain prevé un +2 % a +4 % a tipos constantes en 2026, con un primer trimestre todavía negativo a tipos corrientes (−5 % a −3 %) [16]. Es una recuperación tibia: el 1S26 sufrió el conflicto entre EE. UU. e Irán, el petróleo por encima de 100 USD y la primera subida de tipos del BCE desde 2023 [16]. En 2020 el mercado cayó un 21 % y Hermès un 7 %; en 2025 el mercado retrocedió un 2 % y Hermès subió un 5,5 % publicado [6, 16]. El 3T26 confirma que la recuperación se frena: LVMH creció un 1 % orgánico y su Moda y Marroquinería cayó un 5 %, por China, y el año va hacia la mitad baja del +2/4 % de Bain [28]. Hermès sigue por encima (+4,3 % a tipos constantes en el 3T26, Marroquinería +10,8 %), pero también se frena [A].</w:t>
      </w:r>
    </w:p>
    <w:p>
      <w:pPr>
        <w:pStyle w:val="Heading2"/>
      </w:pPr>
      <w:r>
        <w:t xml:space="preserve">Regulación</w:t>
      </w:r>
    </w:p>
    <w:p>
      <w:pPr>
        <w:spacing w:after="100"/>
      </w:pPr>
      <w:r>
        <w:t xml:space="preserve">Tres frentes con cifras. </w:t>
      </w:r>
      <w:r>
        <w:rPr>
          <w:b/>
        </w:rPr>
        <w:t xml:space="preserve">Aranceles de EE. UU.</w:t>
      </w:r>
      <w:r>
        <w:t xml:space="preserve">: Américas es el 19 % de las ventas y Hermès fabrica en Europa; aun así, la región creció un 15,3 % a tipos constantes en el 1S26 [2]. </w:t>
      </w:r>
      <w:r>
        <w:rPr>
          <w:b/>
        </w:rPr>
        <w:t xml:space="preserve">Fiscalidad francesa</w:t>
      </w:r>
      <w:r>
        <w:t xml:space="preserve">: la contribución excepcional sobre los beneficios de las grandes empresas costó unos 325 M EUR en 2025 (dos puntos de margen neto) y sigue en 2026 [1, 2]. </w:t>
      </w:r>
      <w:r>
        <w:rPr>
          <w:b/>
        </w:rPr>
        <w:t xml:space="preserve">China</w:t>
      </w:r>
      <w:r>
        <w:t xml:space="preserve">: Bain incluye el endurecimiento de normas entre los retos de corto plazo del sector, y la prensa recoge en octubre de 2026 la presión fiscal china sobre las marcas de lujo [16, 40]. Además, la piel exótica (cocodrilo, avestruz) está sujeta al convenio CITES y a la presión de las organizaciones de bienestar animal [1].</w:t>
      </w:r>
    </w:p>
    <w:p>
      <w:pPr>
        <w:pStyle w:val="Heading2"/>
      </w:pPr>
      <w:r>
        <w:t xml:space="preserve">Tendencias y disrupción</w:t>
      </w:r>
    </w:p>
    <w:p>
      <w:pPr>
        <w:spacing w:after="100"/>
      </w:pPr>
      <w:r>
        <w:t xml:space="preserve">El gasto se desplaza de los objetos a las experiencias (+2/6 % en 2026 frente al +2/4 % de los bienes personales) y la segunda mano llega a unos 50.000 M EUR [15, 16]. La marroquinería es la categoría perdedora (−5 % a −7 % en 2025) por la fatiga de precio y la falta de novedades, y la joyería la ganadora (+4/+6 %) [15]. Hermès gana con las dos: sus bolsos no pierden valor en la reventa y su joyería y casa (Otros oficios) crecieron un 11 % en 2025 [1]. El riesgo para Hermès es la normalización china: las marcas locales ganan terreno entre los jóvenes [15].</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Tercer grupo mundial de bienes personales de lujo por ventas tras LVMH y Richemont, empatado con Chanel (≈4,5 % del mercado); ≈9,6 % de la marroquinería de lujo mundial (7.070 M EUR de 74.000 M EUR), estimación propia [1, 15].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Amplio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6"/>
        <w:gridCol w:w="847"/>
        <w:gridCol w:w="953"/>
        <w:gridCol w:w="1059"/>
        <w:gridCol w:w="847"/>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Cuota</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LVMH (Moda y Marroquinería)</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Francia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MC.PA</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37.770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Louis Vuitton y Dior: ventas del segmento −8 % publicadas en 2025 y margen del 37,1 % al 35,0 % [19]. En 2026 sigue cayendo: −2 % orgánico en nueve meses y −5 % en el 3T26 por China [28].</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Compagnie Financière Richemont</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Suiza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CFR.SW</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22.420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Ejercicio a mar-2026. Cartier y Van Cleef &amp; Arpels: joyería con un 30,5 % de margen; compite con Hermès en joyería y relojes [20].</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Chanel</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Reino Unido/Francia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16.426</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cotiza. 19.300 M USD de ingresos (+2 %) y 4.712 M USD de resultado operativo en 2025; su rival directo en bolsos de máximo precio [21].</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Kering</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Francia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KER.PA</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14.675</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−13 % en 2025; Gucci 5.992 M EUR con un 16,1 % de margen: lo que pasa cuando una marca pierde al cliente aspiracional [22].</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Prada</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Italia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1913.HK</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5.718</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+9 % en 2025 gracias a Miu Miu; consolida Versace desde dic-2025 [23].</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Moncler</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Italia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MONC.MI</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3.132</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29,2 %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 a tipos constantes en 2025, especialista en abrigo [24].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efecto red propiamente dicho; el valor de reventa de los bolsos (por encima del precio de tienda) refuerza la demanda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acceso a los bolsos icónicos depende de la relación con la tienda: el cliente que cambia de marca pierde su historial, aunque no hay contrato.</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operativo del 39-42 % en 2021-2025 frente al 35 % de LVMH Moda y Marroquinería, el 24 % de Chanel y el 11 % de Kering; creció un 8,9 % a tipos constantes en 2025 con el mercado plano y su Marroquinería crece un 10,2 % en los nueve meses de 2026 mientras la de LVMH cae un 2 % [3, 7, 9, 10, 17, 18].</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Integración vertical (55 % en talleres propios, curtidurías propias) y gasto en comunicación del 3,9 % de las ventas (620 M EUR en 2025) [3].</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oferta la limitan los artesanos (formación larga): el 25.º taller de marroquinería (Loupes) abrió en abril de 2026 y hay tres más anunciados, Charleville-Mézières (2027), Colombelles (2028) y Les Andelys (2030); la capacidad crece a ritmo de un taller al año y no se puede replicar deprisa [17].</w:t>
            </w:r>
          </w:p>
        </w:tc>
      </w:tr>
    </w:tbl>
    <w:p>
      <w:pPr>
        <w:spacing w:after="160" w:before="0"/>
      </w:pPr>
    </w:p>
    <w:p>
      <w:pPr>
        <w:pStyle w:val="Heading2"/>
      </w:pPr>
      <w:r>
        <w:t xml:space="preserve">Amenazas</w:t>
      </w:r>
    </w:p>
    <w:p>
      <w:pPr>
        <w:spacing w:after="100"/>
      </w:pPr>
      <w:r>
        <w:t xml:space="preserve">La amenaza principal no es un competidor, sino la erosión de su propia escasez: si Hermès sube precios por encima de lo que acepta su cliente o fabrica más de lo que se desea, los bolsos dejarían de revenderse por encima del precio de tienda (Bain: el lujo perdió 70 millones de clientes desde 2022 por la subida de precios) [15]. Probabilidad baja: Hermès crece con capacidad, uno o dos talleres al año [2]. La segunda es China: Asia-Pacífico sin Japón es el 42 % de las ventas y creció un 1,6 % a tipos constantes en nueve meses y un 0,0 % en el 3T26, con la Gran China «estable» y Confección y Accesorios en −2,0 % por la demanda china [B17, A]. La tercera, Chanel, que factura algo más que Hermès (19.300 M USD) y compite en el mismo cliente y en bolsos de máximo precio [17].</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6.389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8.982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+40,6 %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4.093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11.602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5.357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4.697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3.367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13.427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6.350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5.650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4.311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41,12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15.170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6.910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6.150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43,87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16.002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7.368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6.569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4.524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43,07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33 %</w:t>
            </w:r>
          </w:p>
        </w:tc>
      </w:tr>
    </w:tbl>
    <w:p>
      <w:pPr>
        <w:spacing w:after="160" w:before="0"/>
      </w:pPr>
    </w:p>
    <w:p>
      <w:pPr>
        <w:spacing w:after="100"/>
      </w:pPr>
      <w:r>
        <w:t xml:space="preserve">Crecimiento anual compuesto 2020-2025: ingresos </w:t>
      </w:r>
      <w:r>
        <w:rPr>
          <w:b/>
          <w:bCs/>
        </w:rPr>
        <w:t xml:space="preserve">20,2 %</w:t>
      </w:r>
      <w:r>
        <w:t xml:space="preserve">, EBITDA </w:t>
      </w:r>
      <w:r>
        <w:rPr>
          <w:b/>
          <w:bCs/>
        </w:rPr>
        <w:t xml:space="preserve">24,2 %</w:t>
      </w:r>
      <w:r>
        <w:t xml:space="preserve">, BPA </w:t>
      </w:r>
      <w:r>
        <w:rPr>
          <w:b/>
          <w:bCs/>
        </w:rPr>
        <w:t xml:space="preserve">26,7 %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EUR,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Las ventas pasaron de 6.389 M EUR en 2020 a 16.002 M en 2025, un 20,2 % anual, sin compras relevantes: el crecimiento es orgánico salvo el control de la distribución en Emiratos en 2024 [1, 4]. El margen EBITDA subió del 39,1 % de 2020 (año de cierres) al 45,6-47,3 % de 2021-2025, y el margen EBIT al 41,1 % en 2025 [1]. El margen bruto mejoró del 69,1 % al 71,1 % por precio y mezcla, pese a las divisas [1, 6]. El frenazo es reciente: de +15,7 % en 2023 a +5,5 % publicado en 2025 (+8,9 % a tipos constantes) y +1,6 % en el 1S26 (+6,1 %), por China y las divisas [1, 2]. El beneficio neto cayó en 2025 (4.524 M frente a 4.603 M) por la contribución excepcional francesa: sin ella, el margen neto habría sido del 30,3 % [1].</w:t>
      </w:r>
    </w:p>
    <w:p>
      <w:pPr>
        <w:pStyle w:val="Heading2"/>
      </w:pPr>
      <w:r>
        <w:t xml:space="preserve">Ajustes y partidas no recurrentes</w:t>
      </w:r>
    </w:p>
    <w:p>
      <w:pPr>
        <w:spacing w:after="100"/>
      </w:pPr>
      <w:r>
        <w:t xml:space="preserve">Usamos las cifras publicadas. Hermès no presenta partidas no recurrentes desde 2021 (el resultado operativo recurrente es igual al operativo); en 2020 incluyó 91 M de ingresos no recurrentes, que el motor quita del EBITDA [6]. El EBITDA es el resultado operativo más todas las amortizaciones, incluidas las de derechos de uso (799 M en 2025); las de 2022 y 2023 son estimación propia (660 y 700 M) [1, 5]. Los deterioros de activos (127 M en 2025, 84 M en 2024) quedan dentro del EBITDA, como en las cuentas; MarketScreener los suma al suyo [1, 34]. La contribución excepcional francesa infla el tipo impositivo de 2025 (33,4 %) y del 1S26 (35,4 %) frente al 28,7 % de 2024 [1, 2].</w:t>
      </w:r>
    </w:p>
    <w:p>
      <w:pPr>
        <w:pStyle w:val="Heading1"/>
      </w:pPr>
      <w:r>
        <w:t xml:space="preserve">6. Resultados recientes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514"/>
        <w:gridCol w:w="1220"/>
        <w:gridCol w:w="1220"/>
        <w:gridCol w:w="1220"/>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3.962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+17,6 %</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4.129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3.881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+9,6 %</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4.087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4.070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4.094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En línea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3T26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4.096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+4,3 %</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Inferior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En los ingresos del 3T26 (22-oct-2026) el mensaje cambió de tono: de la «confianza» en el segundo semestre de julio a un crecimiento «robusto en un contexto macroeconómico difícil» y un trimestre «en línea» con el segundo en valor (4,1 mil M) [2, 11]. El director financiero, Eric du Halgouët, calificó China de «muy difícil» aunque seguirá invirtiendo allí, atribuyó toda la caída de Confección y Accesorios (−2,0 %, la primera en años) a la demanda china y defendió que el deseo por el Birkin sigue «intacto», con un aumento de la producción de en torno al 6 % anual [13, 14]. La Marroquinería aceleró ligeramente (+10,8 % frente a +10,2 % del 2T) y Américas se frenó (+8,8 % frente a +13,7 %) [2, 11]. La guía sigue sin cifras: «objetivo ambicioso» a tipos constantes a medio plazo [11]. Lo que no se cuantificó: las subidas de precio de 2027, el efecto de las divisas en el margen del segundo semestre y cuándo vuelve a crecer la Gran China. Las ventas quedaron por debajo de FactSet (4.130 M, +5,5 %) y de Visible Alpha (+5,2 %), y la acción abrió a la baja [13, 14].</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11.051</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4.920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7.380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13.847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7.071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-5.269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9.400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17.459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9.744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-7.810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12.440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20.447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11.164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-9.104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15.201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23.084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12.039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-9.865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17.327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24.322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2.201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12.773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2.312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-10.427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18.840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13,8 %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150</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5,0x</w:t>
            </w:r>
          </w:p>
        </w:tc>
      </w:tr>
    </w:tbl>
    <w:p>
      <w:pPr>
        <w:spacing w:after="160" w:before="0"/>
      </w:pPr>
    </w:p>
    <w:p>
      <w:pPr>
        <w:pStyle w:val="Nota"/>
        <w:spacing w:after="100"/>
      </w:pPr>
      <w:r>
        <w:t xml:space="preserve">Días de inventario y de pago calculados sobre el coste de ventas.</w:t>
      </w:r>
    </w:p>
    <w:p>
      <w:pPr>
        <w:pStyle w:val="Nota"/>
        <w:spacing w:after="100"/>
      </w:pPr>
      <w:r>
        <w:t xml:space="preserve">Cambio de perímetro (2024: Toma de control (enero de 2024) de la distribución minorista en los Emiratos Árabes Unidos junto a su socio local: la zona «Otros (Oriente Medio)» pasa de 299 M a 627 M de ventas (+110 %); efecto no significativo en las cuentas según la empresa [4].).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El balance es una caja: la caja neta reexpresada pasó de 4.904 M en 2020 a 12.926 M en jun-2026 tras pagar 8.719 M en dividendos en 2020-2025 [1, 2, 6]. El circulante comercial oscila entre el 11,9 % y el 17,1 % de las ventas: subió al 16,1 % en 2024 por existencias (2.797 M) y bajó al 13,8 % en 2025, y en el 1S26 se mantuvo estable [1, 2]. Los activos financieros no corrientes (1.230 M) incluyen 616 M de colocaciones de tesorería a más de tres meses y participaciones en proveedores y curtidurías [2, 10].</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9,49</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25,36</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4.184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3.367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32,45</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4.328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4.311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30,45</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5.139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3.767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35,90</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5.374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3.881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4.524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36,95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2020-2025: FCF </w:t>
      </w:r>
      <w:r>
        <w:rPr>
          <w:b/>
          <w:bCs/>
        </w:rPr>
        <w:t xml:space="preserve">17.901</w:t>
      </w:r>
      <w:r>
        <w:t xml:space="preserve">, conversión </w:t>
      </w:r>
      <w:r>
        <w:rPr>
          <w:b/>
          <w:bCs/>
        </w:rPr>
        <w:t xml:space="preserve">87 %</w:t>
      </w:r>
      <w:r>
        <w:t xml:space="preserve"> del beneficio neto; adquisiciones 650, dividendos 8.719, recompras 578.</w:t>
      </w:r>
    </w:p>
    <w:p>
      <w:pPr>
        <w:spacing w:after="100"/>
      </w:pPr>
      <w:r>
        <w:t xml:space="preserve">Hermès convierte en caja libre entre el 74 % y el 109 % de su beneficio neto: 3.881 M en 2025 (86 %) y 17.901 M acumulados en 2020-2025 [1]. Los años bajos son los de inversión en existencias (2023: −794 M de circulante) [5]. Las inversiones operativas subieron del 4,5 % de las ventas en 2022 al 7,3 % en 2025 (1.161 M): talleres de marroquinería, la nueva sede de rue d'Anjou y tiendas en propiedad, con 449 M en Américas y 359 M en Francia [1]. Estimación propia: el mantenimiento está cerca de la amortización del inmovilizado (448 M, 2,8 % de las ventas) y el resto es crecimiento [1]. Sumando los arrendamientos (332 M), la inversión total fue del 9,3 % de las ventas en 2025.</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PricewaterhouseCoopers Audit y Grant Thornton Audit</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18,87</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Fortaleza financiera alta (7-9).</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1,17x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t xml:space="preserve">Opinión limpia de PwC (desde 2011) y Grant Thornton (desde 1999, 27 años seguidos) sobre 2025, con dos asuntos clave: la valoración de las existencias y la contabilización de las coberturas de divisa [1]. Las existencias son el juicio más relevante: 1.429 M de deterioro sobre 4.004 M brutos a dic-2025 (36 %) [1]. La remuneración en acciones (gratuitas para empleados) costó 199 M en 2025, el 3,0 % del resultado operativo [1]. No hay capitalización de gastos de desarrollo ni fondo de comercio relevante (180 M). Los tres indicadores del motor son impecables: Altman Z de 18,02 (zona segura, por la caja y la ausencia de deuda), Piotroski F de 8 sobre 9 y Beneish M de −2,71, lejos de la zona de manipulación. La conversión del beneficio en caja (86 % en 2025) confirma que el beneficio es real.</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Antigüedad del auditor</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Grant Thornton lleva 27 años seguidos; PwC, 15. En Francia la coauditoría obligatoria mitiga el riesgo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Deterioro de existencias elevado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36 % del bruto; criterio estable y asunto clave del auditor [1, 10].</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Contribución excepcional francesa</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Infla el tipo impositivo de 2025-2026; no es una partida recurrente pero puede prolongarse [1, 2].</w:t>
            </w:r>
          </w:p>
        </w:tc>
      </w:tr>
    </w:tbl>
    <w:p>
      <w:pPr>
        <w:spacing w:after="160" w:before="0"/>
      </w:pPr>
    </w:p>
    <w:p>
      <w:pPr>
        <w:pStyle w:val="Heading1"/>
      </w:pPr>
      <w:r>
        <w:t xml:space="preserve">10. Rentabilidad sobre el capital</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85"/>
        <w:gridCol w:w="985"/>
        <w:gridCol w:w="985"/>
        <w:gridCol w:w="985"/>
        <w:gridCol w:w="1095"/>
        <w:gridCol w:w="1095"/>
        <w:gridCol w:w="1095"/>
        <w:gridCol w:w="1204"/>
        <w:gridCol w:w="1209"/>
      </w:tblGrid>
      <w:tr>
        <w:trPr>
          <w:cantSplit/>
          <w:tblHeader/>
        </w:trPr>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c>
          <w:tcPr>
            <w:tcW w:type="dxa" w:w="12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 sin f. de comercio</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0,58x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4.157</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33,3 %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59,9 %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0,72x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4.150</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60,5 %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76,8 %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0,74x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4.395</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77,2 %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75,9 %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0,71x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5.373</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76,5 %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64,7 %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0,70x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6.784</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66,1 %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55,1 %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25,0 %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19,1 %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28,3 %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0,68x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1,31x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7.944</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56,5 %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pStyle w:val="Heading2"/>
      </w:pPr>
      <w:r>
        <w:t xml:space="preserve">Fondo de comercio y compras</w:t>
      </w:r>
    </w:p>
    <w:p>
      <w:pPr>
        <w:spacing w:after="100"/>
      </w:pPr>
      <w:r>
        <w:t xml:space="preserve">Fondo de comercio: 180 M en 2025 (el 3 % del capital invertido medio); ha subido más de un 5 % en 1 de 5 años: compra única grande. ROIC publicado 55,1 %; sin fondo de comercio, 56,5 %. El ROIC sin fondo de comercio mide el rendimiento del negocio operativo; decide el publicado (§4.1) y la cifra sin fondo de comercio es dato para una excepción razonada.</w:t>
      </w:r>
    </w:p>
    <w:p>
      <w:pPr>
        <w:spacing w:after="100"/>
      </w:pPr>
      <w:r>
        <w:rPr>
          <w:b/>
          <w:bCs/>
        </w:rPr>
        <w:t xml:space="preserve">ROIC incremental</w:t>
      </w:r>
      <w:r>
        <w:t xml:space="preserve"> (variación del NOPAT sobre variación del capital invertido en el periodo): 79,4 % · </w:t>
      </w:r>
      <w:r>
        <w:rPr>
          <w:b/>
          <w:bCs/>
        </w:rPr>
        <w:t xml:space="preserve">WACC</w:t>
      </w:r>
      <w:r>
        <w:t xml:space="preserve">: 9,9 %.</w:t>
      </w:r>
    </w:p>
    <w:p>
      <w:pPr>
        <w:spacing w:after="100"/>
      </w:pPr>
      <w:r>
        <w:t xml:space="preserve">Hermès crea valor por un margen enorme: el ROIC fue del 55,1 % en 2025, más de cinco veces el WACC del 9,99 %, y no ha bajado del 33 % ni en 2020 [1]. Lo mueve el margen (EBIT del 41,1 %), no la rotación: el capital invertido creció con talleres, tiendas y existencias, y por eso el ROIC baja del 76,8 % de 2022 al 55,1 % aunque el margen se mantenga. El ROIC incremental histórico (79,4 %) dice que cada euro invertido en capacidad ha rendido mucho, pero el de 2025 es menor: las ventas crecieron un 5,5 % con un capital invertido que siguió subiendo. El ROE (25 %) queda por debajo del ROIC por la caja ociosa: 12.926 M que rinden lo que paguen los depósitos [2]. Ningún comparable se acerca: LVMH tiene un ROIC del 12,7 % [42].</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-10.642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133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-10.509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y equivalentes 12.310 M y colocaciones a más de tres meses 616 M a 30-jun-2026 (caja neta reexpresada 12.926 M); deuda financiera de 5 M [2, 10].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Sin rating</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pStyle w:val="Heading2"/>
      </w:pPr>
      <w:r>
        <w:t xml:space="preserve">Covenants, pasivos fuera de la deuda y contingencias</w:t>
      </w:r>
    </w:p>
    <w:p>
      <w:pPr>
        <w:spacing w:after="100"/>
      </w:pPr>
      <w:r>
        <w:t xml:space="preserve">No hay deuda financiera relevante ni covenants: 34 M de préstamos a dic-2025 y 5 M a jun-2026 [1, 2]. Los pasivos por arrendamiento suman 2.279 M a jun-2026 (tiendas y oficinas), que van en la deuda del puente [2]. Pensiones y prestaciones a largo plazo: 179 M de provisión a jun-2026 (133 M después de impuestos) [10]. Provisiones de 151 M y pasivos fiscales corrientes de 787 M (la contribución excepcional) [2]. Las existencias brutas (4.240 M) llevan un deterioro de 1.536 M, el 36 %: es el juicio contable más relevante y un asunto clave del auditor [1, 10].</w:t>
      </w:r>
    </w:p>
    <w:p>
      <w:pPr>
        <w:pStyle w:val="Heading1"/>
      </w:pPr>
      <w:r>
        <w:t xml:space="preserve">12. Asignación de capital</w:t>
      </w:r>
    </w:p>
    <w:p>
      <w:pPr>
        <w:pStyle w:val="Confianza"/>
        <w:spacing w:after="100"/>
      </w:pPr>
      <w:r>
        <w:t xml:space="preserve">Confianza: Media</w:t>
      </w:r>
    </w:p>
    <w:p>
      <w:pPr>
        <w:spacing w:after="100"/>
      </w:pPr>
      <w:r>
        <w:t xml:space="preserve">La política es estable: dividendo ordinario creciente (18 EUR por 2025, 42 % del beneficio) y, cuando sobra caja, un dividendo extraordinario (5 EUR en 2012, 2015 y 2018; 10 EUR en 2024 y 2025) [1]. Las recompras son pequeñas y sirven para cubrir las acciones gratuitas de los empleados: 160 M en el 1S26 [2]. Las prioridades son la inversión en capacidad (talleres y tiendas, 1.161 M en 2025) y la integración vertical (curtidurías, proveedores) [1]. No hay objetivo de endeudamiento: la empresa no usa deuda.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3.767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3.881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2.796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6" name="Gráfico 16" descr="Usos de la caja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Control de la distribución minorista en Emiratos Árabes Unidos (con su socio local)</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Oriente Medio pasa de 299 a 627 M de ventas en 2024; efecto no significativo según la empresa [4].</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2023</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Compras de sociedades consolidadas (perímetro de producción y distribución)</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288</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Aparece fondo de comercio de 72 M en 2023 [5].</w:t>
            </w:r>
          </w:p>
        </w:tc>
      </w:tr>
    </w:tbl>
    <w:p>
      <w:pPr>
        <w:spacing w:after="160" w:before="0"/>
      </w:pPr>
    </w:p>
    <w:p>
      <w:pPr>
        <w:spacing w:after="100"/>
      </w:pPr>
      <w:r>
        <w:t xml:space="preserve">La dirección asigna bien el capital del negocio y mal el de la caja. En 2020-2025 generó 17.901 M de flujo libre, pagó 8.719 M en dividendos, gastó 650 M en compras pequeñas y 578 M en recompras, y acumuló el resto [1]. Las inversiones en capacidad rinden (ROIC incremental histórico del 79,4 %) y las compras han sido de proveedores y distribuidores, sin deterioros relevantes [1, 4]. Pero 12.926 M de caja (10 % de la capitalización) rinden un 2-3 % [2]: un dividendo extraordinario o una recompra mayor, con la acción un 44 % por debajo de su máximo, crearían más valor. La familia compra a título personal (40,7 M EUR en 12 meses), no a través de la empresa [30].</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Axel Dumas</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Gerente (Executive Chairman)</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2013</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0,01 %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Sexta generación de la familia; BNP Paribas en China y EE. UU. (1995-2003); en Hermès desde 2003 (ventas en Francia, joyería 2006-2008, marroquinería 2008-2011, director general de operaciones en 2011). Gerente desde el 5-jun-2013. Posee 11.638 acciones a título personal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Émile Hermès SAS</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Socio colectivo (associé commandité) y segundo gerente</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1990</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Sociedad de los descendientes de Émile Hermès, responsable ilimitada de las deudas de la SCA; nombra y cesa a los gerentes y fija su política de remuneración. Presidida por Henri-Louis Bauer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Éric du Halgouët</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general adjunto de Finanzas (Executive Vice-President Finance)</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Miembro del Comité Ejecutivo desde el 1-jun-2015, responsable de Finanzas del grupo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Éric de Seynes</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del Consejo de Vigilancia</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2010</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Miembro de la familia Hermès, presidente del Consejo de Vigilancia; consejero desde 2010 (y antes en otro mandato); trayectoria en Yamaha Motor Europe, de la que fue presidente y consejero delegado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Pierre-Alexis Dumas</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artístico general (Artistic Executive Vice-President)</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Hijo de Jean-Louis Dumas; responsable de la creación de los 16 oficios desde 2005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Agnès de Villers</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Directora general adjunta de Marroquinería-Guarnicionería</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2022</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Responsable del oficio que hace el 44 % de las ventas y de la apertura de los talleres (24.º en 2025 y 25.º en 2026) [1, 9].</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Objetivo a medio plazo de crecimiento ambicioso de las ventas a tipos constantes (sin cifra)</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+42 % a tipos constantes; margen operativo recurrente 39,3 %</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Objetivo a medio plazo de crecimiento ambicioso a tipos constantes</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+23 %; margen 40,5 %</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Objetivo a medio plazo de crecimiento ambicioso a tipos constantes</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+21 %; margen 42,1 %</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Objetivo a medio plazo de crecimiento ambicioso a tipos constantes</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+15 % (con Emiratos); margen 40,5 %</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Objetivo ambicioso a tipos constantes; Marroquinería en línea con su objetivo anual de capacidad</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+8,9 %; Marroquinería +13 %; margen 41,0 % [3]</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Objetivo a medio plazo de crecimiento ambicioso a tipos constantes, confirmado el 29-jul y el 22-oct-2026 [11]</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9M26: +5,5 % a tipos constantes (3T26 +4,3 %), Marroquinería +10,2 %; margen del 1S26 41,0 % [11]</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Equipo estable y alineado con el capital familiar: Axel Dumas dirige desde 2013 y el Comité Ejecutivo mezcla miembros de la familia (Pierre-Alexis Dumas, Guillaume de Seynes, Wilfried Guerrand) con directivos de carrera (Éric du Halgouët en Finanzas desde 2015) [1]. La guía es cualitativa («crecimiento ambicioso a tipos constantes») y se ha cumplido todos los años de 2021 a 2025, con crecimientos del 9 % al 42 % [1]. La sucesión no está publicada: la decide Émile Hermès SAS, el socio colectivo, que nombra al gerente sin voto de la junta [1]. En junio de 2026 hubo nombramientos en el Comité Ejecutivo que no afectan a la gerencia ni a la presidencia del Consejo de Vigilancia [33]. En los ingresos del 3T26 el director financiero llamó a China «muy difícil» y sostuvo que el deseo por el Birkin sigue «intacto» [A].</w:t>
      </w:r>
    </w:p>
    <w:p>
      <w:pPr>
        <w:pStyle w:val="Heading1"/>
      </w:pPr>
      <w:r>
        <w:t xml:space="preserve">14. Gobierno corporativo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5,6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 de 13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7" name="Gráfico 17"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Éric de Seynes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Lucia Sinapi-Thomas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Vicepresidenta (desde la junta del 17-abr-2026, en sustitución de Monique Cohen)</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y Riesgos (presidenta)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Estelle Brachlianoff</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Vicepresidenta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2019</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Auditoría y Riesgos; CAG-RSC</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Jean-Laurent Bonnafé</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CAG-RSC</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Cécile Béliot-Zind</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Auditoría y Riesgos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Bernard Émié</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Dorothée Altmayer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Charles-Éric Bauer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2008</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Auditoría y Riesgos (hasta abr-2025)</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Matthieu Dumas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CAG-RSC</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Blaise Guerrand</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Julie Guerrand</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Olympia Guerrand</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Renaud Momméja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Auditoría y Riesgos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Prescience Assoh</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en representación de los empleados</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Laurence Dunand-Chatellet</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 en representación de los empleados</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33 % (con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Vinculada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capital libre)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41,5 %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27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40,74 / ventas 0,00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H51 (holding de la familia Hermès)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54,30 %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Familia (control)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57.375.794 acciones a dic-2025 (+13.000 en el año); 64,2 % de los votos ejercitables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H2 (holding familiar)</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Familia (control)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cambios (7.012.602 acciones); 7,9 % de los votos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Otros miembros de la familia Hermès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Familia (control)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6.049.368 acciones; 6,5 % de los votos. Compras de 40,7 M EUR de sociedades familiares y consejeros entre dic-2025 y sep-2026</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Capital flotante</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32,60 %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Flotante</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21,4 % de los votos ejercitables; unos 296.000 accionistas (214.000 en 2024) [1]</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Autocartera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Autocartera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733.097 acciones a dic-2025; 833.864 derechos de voto sin ejercicio (autocartera) a 30-sep-2026; 94.846 acciones recompradas en los nueve primeros meses por 160 M EUR, todas en el 1S26 [11, 12]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8" name="Gráfico 18"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381"/>
        <w:gridCol w:w="1521"/>
        <w:gridCol w:w="1690"/>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15 dic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Sociedad vinculada a Frédéric Dumas (gerencia de Émile Hermès SAS)</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12 mar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Sociedad vinculada a Henri-Louis y Charles-Éric Bauer (presidente de Émile Hermès SAS; consejero)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2.631</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 mar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Capucine Harth y sociedad vinculada (gerencia de Émile Hermès SAS), mar y sep-2026</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24 mar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Sociedad vinculada a Laurent Momméja (gerencia de Émile Hermès SAS)</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 may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Sociedad vinculada a Dorothée Dumas (Consejo de Vigilancia), mayo y julio de 2026</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18,91</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jun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Sociedad vinculada a Edouard Dumas (gerencia de Émile Hermès SAS), junio de 2026</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6,47</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jun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Sociedad vinculada a Alice Dumas (gerencia de Émile Hermès SAS)</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4,98</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 sep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Matthieu Dumas (Consejo de Vigilancia), mar y sep-2026</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0,27</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11 sep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Bernard Émié (Consejo de Vigilancia)</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0,03</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7,83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2,79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5,04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91,1 %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Los gerentes cobran un fijo que sube con las ventas (con un tope del 5 % anual) y un variable que sube con el beneficio antes de impuestos; el 10 % del variable depende de criterios de RSC [1, 29]. No hay variable a largo plazo, ni acciones, ni opciones: premia crecer, sin medir la rentabilidad del capital ni la del accionista. Axel Dumas devengó 7,83 M EUR en 2025 (30 veces el coste medio por empleado) y cobrará 5,31 M de variable por 2025 (+5,4 %) [1, 29]. La junta de 2025 aprobó su política con el 91,12 %; como la familia vota con el 78,6 % de los derechos, eso equivale (estimación propia, cota inferior) a que al menos el 41,5 % de los votos del flotante votaron en contra [1, 12].</w:t>
      </w:r>
    </w:p>
    <w:p>
      <w:pPr>
        <w:pStyle w:val="Heading2"/>
      </w:pPr>
      <w:r>
        <w:t xml:space="preserve">Operaciones vinculadas, estructura de control y defensas</w:t>
      </w:r>
    </w:p>
    <w:p>
      <w:pPr>
        <w:spacing w:after="100"/>
      </w:pPr>
      <w:r>
        <w:t xml:space="preserve">Hermès es una sociedad comanditaria por acciones: Émile Hermès SAS, de los descendientes de Émile Hermès, es el socio colectivo con responsabilidad ilimitada, nombra y cesa a los gerentes y decide por estatutos, a propuesta del Consejo de Vigilancia, las opciones estratégicas, los presupuestos de explotación e inversión y las propuestas a la junta sobre reservas [1]. La familia tiene además el 66,7 % del capital y el 78,6 % de los votos ejercitables (H51 el 54,3 % del capital) gracias a los derechos de voto dobles [1]. Es imposible una opa hostil. Operaciones vinculadas: el socio colectivo recibe el 0,67 % del beneficio distribuible por estatutos, y hay contratos con sociedades de miembros de la gerencia de Émile Hermès SAS (estudio de arquitectura RDAI, 20 M EUR en 2025; Studio des Fleurs, 4 M) y alquileres de la sede con SIFAH [1].</w:t>
      </w:r>
    </w:p>
    <w:p>
      <w:pPr>
        <w:pStyle w:val="Heading2"/>
      </w:pPr>
      <w:r>
        <w:t xml:space="preserve">Señales de alerta</w:t>
      </w:r>
    </w:p>
    <w:p>
      <w:pPr>
        <w:pStyle w:val="ListParagraph"/>
        <w:numPr>
          <w:ilvl w:val="0"/>
          <w:numId w:val="2"/>
        </w:numPr>
        <w:spacing w:after="60"/>
      </w:pPr>
      <w:r>
        <w:t xml:space="preserve">La remuneración de los gerentes no tiene componente a largo plazo ni métricas de retorno, y al menos el 41,5 % de los votos del flotante la rechazó en 2025 (estimación propia) [1].</w:t>
      </w:r>
    </w:p>
    <w:p>
      <w:pPr>
        <w:pStyle w:val="ListParagraph"/>
        <w:numPr>
          <w:ilvl w:val="0"/>
          <w:numId w:val="2"/>
        </w:numPr>
        <w:spacing w:after="60"/>
      </w:pPr>
      <w:r>
        <w:t xml:space="preserve">Contratos con sociedades de miembros de la gerencia del socio colectivo (RDAI, 20 M EUR; Studio des Fleurs, 4 M) [1].</w:t>
      </w:r>
    </w:p>
    <w:p>
      <w:pPr>
        <w:pStyle w:val="ListParagraph"/>
        <w:numPr>
          <w:ilvl w:val="0"/>
          <w:numId w:val="2"/>
        </w:numPr>
        <w:spacing w:after="60"/>
      </w:pPr>
      <w:r>
        <w:t xml:space="preserve">Grant Thornton lleva 27 años como coauditor [1].</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Hermès sigue sin dar cifras. El 22-oct-2026, con los ingresos de los nueve meses, repitió que a medio plazo «confirma un objetivo ambicioso de crecimiento de las ventas a tipos constantes», «pese a las incertidumbres económicas, geopolíticas y monetarias», la misma frase de julio, abril y febrero [2, 11]. El tono cambió: el título del comunicado habla de un crecimiento «robusto en un contexto macroeconómico difícil» [11]. La capacidad sigue fijada: un vigésimo quinto taller de marroquinería abrió en abril en Loupes, y hay tres más previstos en 2027 (Charleville-Mézières), 2028 (Colombelles) y 2030 (Les Andelys) [11]. Según la prensa, el director financiero dijo que el volumen de producción crecerá en torno a un 6 % al año en los próximos años [60]. Sobre márgenes no hay guía; el último dato es el 41,0 % del 1S26 [2].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16.681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7.538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6.680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43,73</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19,53</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23 analistas, leído el 22-oct-2026 a primera hora (aún sin revisar por los ingresos del 3T) [34]</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17.932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8.079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7.170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47,96</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20,75</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23 analistas, leído el 22-oct-2026 a primera hora (aún sin revisar por los ingresos del 3T) [34]</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19.246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8.699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7.717</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52,48</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22,61</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23 analistas, leído el 22-oct-2026 a primera hora (aún sin revisar por los ingresos del 3T) [34]</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16.482</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16.681</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7.466</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7.405</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17.636</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17.932</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8.024</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7.936</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18.958</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19.246</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8.683</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8.545</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 / 11 / 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1.625,35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1.168,00 – 1.920,00</w:t>
            </w:r>
          </w:p>
        </w:tc>
      </w:tr>
    </w:tbl>
    <w:p>
      <w:pPr>
        <w:spacing w:after="160" w:before="0"/>
      </w:pPr>
    </w:p>
    <w:p>
      <w:pPr>
        <w:pStyle w:val="Heading2"/>
      </w:pPr>
      <w:r>
        <w:t xml:space="preserve">Revisiones de estimaciones</w:t>
      </w:r>
    </w:p>
    <w:p>
      <w:pPr>
        <w:spacing w:after="100"/>
      </w:pPr>
      <w:r>
        <w:t xml:space="preserve">Las estimaciones bajan desde el verano y aún no recogen el 3T26. Entre el 9 y el 22-oct, antes de los ingresos, MarketScreener recortó el BPA de 2026e de 43,86 a 43,73 EUR (−0,3 %) y el de 2027e de 48,37 a 47,96 EUR (−0,8 %); el objetivo medio bajó de 1.657,61 a 1.625,35 EUR y el máximo de 2.075 a 1.920 EUR [34, 35]. Detrás: HSBC rebajó a Mantener en junio (objetivo de 2.100 a 1.870 EUR), Bernstein recortó en septiembre por una demanda china «más moderada», Citi, HSBC y RBC bajaron objetivos, y UBS empezó con Vender (1.168 EUR) el 5-oct; en sentido contrario, AlphaValue subió a Comprar (9-oct) y Berenberg y Bernstein reiteraron Comprar (15 y 19-oct) [35, 40, 62]. El 3T26 creció un 4,3 % a tipo constante frente al 5,2 % esperado [11, 60]: el 2026e de 16.681 M exige un 4T de 4.421 M, un 8,2 % más que el del 4T25 a tipo corriente, cuando el 3T creció un 5,5 %. Cabe esperar recortes. Las cifras de 3 y 12 meses no se publican gratis.</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total (con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-39,9 %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+14,8 %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19" name="Gráfico 19"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32,3 %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-54,6 %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spacing w:after="100"/>
      </w:pPr>
      <w:r>
        <w:t xml:space="preserve">Hermès pierde un 36,3 % en 2026 con dividendos (hasta el 20-oct), frente al −1,3 % del CAC 40 y el −7,6 % del ETF de lujo mundial: la peor caída de su historia (−54,6 % desde el máximo del 14-feb-2025) [26]. Las caídas llegan con sus publicaciones y con notas de analistas: −8,2 % con las ventas del 1T26 (15-abr), −5,9 % el 22-jun por una nota de Kepler Cheuvreux que anticipaba un margen 100 puntos básicos menor, −11,0 % con el 1S26 (29-jul) y −15 % en septiembre entre recortes de objetivo y la entrada de UBS en Vender [26, 40, 61]. La caída es de múltiplo, no de beneficio: el BPA de los últimos doce meses es casi el de 2024 [2, 34]. El 22-oct los ingresos del 3T, por debajo de lo esperado, la llevaban a nuevos mínimos de 52 semanas [11, 35, 59]. Beta mensual a 5 años de 1,43 frente al CAC 40 [26]. Sin posición corta neta publicada por la AMF (no comprobado; ver huecos).</w:t>
      </w:r>
    </w:p>
    <w:p>
      <w:pPr>
        <w:pStyle w:val="Heading2"/>
      </w:pPr>
      <w:r>
        <w:t xml:space="preserve">Precio y noticias antes de decidir (regla 13)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Variación 1 / 3 / 6 / 12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+0,9 % / -19,2 % / -17,6 % / -39,7 %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y al mínimo de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-41,0 % / +8,1 %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de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-52,2 %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(medias de 50 y 200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bajista</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(60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26,9 %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2027-02-12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Veredicto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no cambia</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20"/>
        <w:gridCol w:w="1098"/>
        <w:gridCol w:w="4147"/>
        <w:gridCol w:w="1220"/>
        <w:gridCol w:w="1953"/>
      </w:tblGrid>
      <w:tr>
        <w:trPr>
          <w:cantSplit/>
          <w:tblHeader/>
        </w:trPr>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4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Causa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c>
          <w:tcPr>
            <w:tcW w:type="dxa" w:w="1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Condición</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2026-06-22</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Nota de Kepler Cheuvreux que anticipaba una caída de 100 puntos básicos del margen operativo del 1S26 por menor absorción de costes fijos y divisas; arrastró a todo el lujo europeo (LVMH −3 %) [61]. Al día siguiente HSBC rebajó a Mantener (objetivo de 2.100 a 1.870 EUR) [62]. El margen del 1S26 quedó en el 41,0 %, 0,4 puntos menos [2].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c>
          <w:tcPr>
            <w:tcW w:type="dxa" w:w="1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2026-07-29</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1S26: ventas +6,1 % a tipo constante con Asia sin Japón +2,5 % en el 2T frente al +4 % esperado, BPA algo inferior al consenso y comentarios del director financiero sobre subidas de precio menores en 2027 [2, 41].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c>
          <w:tcPr>
            <w:tcW w:type="dxa" w:w="1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sep-2026 (2-sep a 1-oct)</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Recortes de objetivo de Bernstein (21-sep, demanda china «más moderada»), RBC (22-sep), Citi y HSBC (30-sep), y el impuesto chino sobre los fideicomisos en el extranjero (anuncio n.º 21 de 24-jul, cuyo plazo de gracia vencía el 22-oct) como lastre de la demanda de los clientes chinos ricos [40, 60]. Mayor caída de un mes de los últimos seis.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c>
          <w:tcPr>
            <w:tcW w:type="dxa" w:w="1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2026-05-18 a 2026-06-16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Mayor subida de un mes de los últimos seis; sin noticia propia identificada (no se buscó más: es una subida, no cambia el veredicto) [58].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c>
          <w:tcPr>
            <w:tcW w:type="dxa" w:w="1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2026-10-22 (en curso)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Ingresos del 3T26 por debajo de lo esperado: +4,3 % a tipo constante frente al 5,2 %, Asia sin Japón plana y confección y accesorios −2 % [11, 60]. A las 9:13 de París cotizaba a 1.251,5 EUR (−7,7 %) con el CAC 40 a −1,2 %, LVMH a −1,8 % y Kering a −2,5 % [59]; a las 9:25, a 1.246 EUR (−8,1 %) [35]: por debajo del mínimo de 52 semanas.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retrasa</w:t>
            </w:r>
          </w:p>
        </w:tc>
        <w:tc>
          <w:tcPr>
            <w:tcW w:type="dxa" w:w="1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Hasta el cierre del 22-oct: el precio del informe (1.356,5 EUR) es anterior a los ingresos y la cotización de hoy va un 8 % por debajo; recalcular la rentabilidad a 12 meses con ese cierre antes de cualquier orden.</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9"/>
        <w:gridCol w:w="1585"/>
        <w:gridCol w:w="3904"/>
        <w:gridCol w:w="1220"/>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9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Hecho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2026-10-22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 los nueve meses: 12.260 M EUR (+5,5 % a tipo constante, +2,9 % publicado); 3T26 4.096 M (+4,3 % a tipo constante, +5,5 % publicado), por debajo del 5,2 % esperado. Asia sin Japón 0,0 % en el trimestre; Japón +9,6 %; América +8,8 %; Europa sin Francia +9,5 %; marroquinería +10,8 %; confección y accesorios −2,0 %; relojes −6,0 %. Sin cifras de guía: repite el «objetivo ambicioso» a medio plazo [11, 60].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2026-10-19</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recomendación</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Bernstein mantiene Comprar; Berenberg reitera Comprar (15-oct); AlphaValue sube a Comprar (9-oct) [35].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2026-10-12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LVMH publicó un crecimiento orgánico del 1 % en el 3T y un −5 % en moda y marroquinería, por China: el sector sigue débil [60].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2026-10-05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recomendación</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UBS inicia con Vender y objetivo de 1.168 EUR (el mínimo del consenso); Goldman Sachs mantiene Vender; RBC reitera Neutral [35, 40].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2026-09-30</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recomendación</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Citi y HSBC bajan su objetivo; antes, RBC (22-sep) y Bernstein (21-sep, por la demanda china) [35, 40].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2026-09-24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directivos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Compras de la familia y del consejo, ninguna venta: Thod 15, sociedad ligada a Dorothée Dumas (consejo de vigilancia), 3.000 acciones a 1.543,97 EUR (31-jul, ≈ 4,6 M EUR); Matthieu Dumas, 125 a 1.459,13 EUR (4-sep); otro miembro del consejo de vigilancia, 20 a 1.415 EUR (11-sep); Capucine Harth, del consejo de gerencia de Émile Hermès SAS, 150 a 1.349,35 EUR (24-sep) [63].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2026-07-24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demanda o regulador</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China grava las aportaciones a fideicomisos en el extranjero y sus rentas (anuncio n.º 21 de 2026, tipo del 20 % sobre la plusvalía latente); el plazo de gracia vence el 22-oct. Lastra la demanda de los clientes chinos con más patrimonio [60].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2026-06-23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recomendación</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HSBC rebaja de Comprar a Mantener y el objetivo de 2.100 a 1.870 EUR: ve tímida la recuperación del 2T y sin catalizadores [62]. El 22-jun, nota de Kepler Cheuvreux sobre el margen (−5,9 % en la sesión) [61].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r>
    </w:tbl>
    <w:p>
      <w:pPr>
        <w:spacing w:after="160" w:before="0"/>
      </w:pPr>
    </w:p>
    <w:p>
      <w:pPr>
        <w:spacing w:after="100"/>
      </w:pPr>
      <w:r>
        <w:t xml:space="preserve">La acción acumula un −39,7 % en doce meses y cotiza un 19 % por debajo de su media de 200 sesiones: tendencia bajista, con caídas en cada publicación y en las notas de analistas sobre China [26, 58]. No hay colocaciones, ampliaciones ni ventas de la familia; al contrario, sus miembros compraron entre julio y septiembre [63]. El hecho pendiente era el 3T26 y ya está: crecimiento del 4,3 % frente al 5,2 % esperado y Asia sin Japón plana, con la acción a −8 % a media mañana y en mínimos de 52 semanas [11, 35, 59]. El veredicto es «retrasa» solo hasta el cierre del día: el precio del informe es anterior a la noticia. Los próximos resultados son el 12-feb-2027.</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0" name="Gráfico 20"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p>
      <w:pPr>
        <w:spacing w:after="100"/>
      </w:pPr>
      <w:r>
        <w:t xml:space="preserve">Al precio del 21-oct (1.356,50 EUR), Hermès cotiza a 17,6 veces el EBITDA de los últimos doce meses y 31,5 veces el beneficio, frente a una media de 30,2 y 49,3 veces al cierre de 2021-2025 (2020 fuera por la pandemia): un descuento del 42 % y del 36 %, por debajo del mínimo de cada serie (26,8 y 45,0 veces) [D]. Con la caída del 22-oct el descuento se amplía unos 8 puntos. El múltiplo ha bajado porque ha bajado el crecimiento (del 13-15 % a tipos constantes al 4-6 %), no por un problema de margen: no esperamos que vuelva a la media mientras Asia no crezca.</w:t>
      </w:r>
    </w:p>
    <w:p>
      <w:pPr>
        <w:pStyle w:val="Heading1"/>
      </w:pPr>
      <w:r>
        <w:t xml:space="preserve">18. Comparables cotizados</w:t>
      </w:r>
    </w:p>
    <w:p>
      <w:pPr>
        <w:pStyle w:val="Confianza"/>
        <w:spacing w:after="100"/>
      </w:pPr>
      <w:r>
        <w:t xml:space="preserve">Confianza: Media</w:t>
      </w:r>
    </w:p>
    <w:p>
      <w:pPr>
        <w:spacing w:after="100"/>
      </w:pPr>
      <w:r>
        <w:t xml:space="preserve">Seis grupos europeos de lujo en NIIF con venta directa mayoritaria (LVMH, Richemont, Kering, Moncler, Prada y Brunello Cucinelli) y L'Oréal, que compite con Hermès en perfume y belleza y tiene un perfil de marca de calidad similar. Ferrari, el otro lujo de escasez, queda fuera por presupuesto (ver huecos); Pernod y Estée Lauder, por negocio. Estimaciones de MarketScreener leídas el 20 y 21-oct-2026 para los análisis de LVMH y Moncler de este repositorio, al cierre del 21-oct convertido a euros con el BCE (Prada, cierre del 20-oct en Hong Kong) [42, 43, 44, 45, 46, 47, 48, 65].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Hermès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142.365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LVMH</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191.618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Kering</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26.516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Richemont</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111.617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Prada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IT</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11.454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Brunello Cucinelli</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IT</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5.792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Moncler</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IT</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11.662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L'Oréal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215.989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6"/>
        <w:gridCol w:w="1056"/>
        <w:gridCol w:w="1188"/>
        <w:gridCol w:w="1188"/>
        <w:gridCol w:w="1056"/>
        <w:gridCol w:w="1056"/>
        <w:gridCol w:w="118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34,7 %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7.834</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7,9x / 8,7x / 13,4x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697,98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757,69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1.108,51</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-44,1 %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7.425</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8,3x / 9,4x / 16,6x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691,97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773,33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1.282,72</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-43,0 %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47,1</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16,8x / 23,4x / 27,4x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789,75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1.103,29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1.289,53</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16.131</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2,7x / 3,3x / 4,7x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518,68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609,37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831,47</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-55,1 %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1" name="Gráfico 21"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22" name="Gráfico 22"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spacing w:after="100"/>
      </w:pPr>
      <w:r>
        <w:rPr>
          <w:b/>
        </w:rPr>
        <w:t xml:space="preserve">Regresión EV/EBITDA NTM sobre crecimiento</w:t>
      </w:r>
      <w:r>
        <w:t xml:space="preserve"> (7 comparables): múltiplo = 7,8 + 0,47 × crecimiento; R² = 0,17. El crecimiento explica poco los múltiplos de estos comparables (R² &lt; 0,3): la regresión no se usa en la valoración.</w:t>
      </w:r>
    </w:p>
    <w:p>
      <w:pPr>
        <w:spacing w:after="100"/>
      </w:pPr>
      <w:r>
        <w:t xml:space="preserve">Hermès cotiza a 16,7 veces el EBITDA de los próximos 12 meses y 28,8 veces el beneficio, frente a una mediana de 8,7 y 23,4 veces de siete grupos de lujo y belleza: una prima del 92 % en EV/EBITDA y del 23 % en PER [D]. La prima se explica por el margen (46,0 % frente a una mediana del 29,6 %), el ROIC y la caja, pero el crecimiento esperado ya no la sostiene (7,3 % frente a una mediana del 6,6 %). La muestra es frágil (Richemont y L'Oréal mueven la mediana), por eso los comparables pesan un 10 %.</w:t>
      </w:r>
    </w:p>
    <w:p>
      <w:pPr>
        <w:pStyle w:val="Heading1"/>
      </w:pPr>
      <w:r>
        <w:t xml:space="preserve">19. Transacciones precedentes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38"/>
        <w:gridCol w:w="1780"/>
        <w:gridCol w:w="1676"/>
        <w:gridCol w:w="838"/>
        <w:gridCol w:w="838"/>
        <w:gridCol w:w="838"/>
        <w:gridCol w:w="733"/>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2021-01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Tiffany &amp; Co.</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LVMH</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16.561</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3,83x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del 100 % a 131,50 USD por acción; precio de las acciones 13.574 M EUR más deuda neta y arrendamientos asumidos. EV/ventas sobre las ventas de 2021, primer año en el grupo (4.321 M EUR); EV/EBIT ≈ 21,3 veces, estimación propia [49].</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2018-12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Belmond</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LVMH</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2.836</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5,59x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 empresa de 3.200 M USD (2.836 M EUR a 1,1285); EBITDA ajustado de 140 M USD en los 12 meses a sep-2018. Hoteles y trenes de lujo [50, 51].</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2020-12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Stone Island</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Moncler</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4,79x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1.150 M EUR por el 100 %, mitad en caja y mitad en acciones; 13,5 veces el EBITDA de 2021e según Moncler y 17,1 veces el de 2020 (estimación propia) [52].</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2023-08</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Capri Holdings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Tapestry</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7.714</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OPA a 57 USD; 9 veces el EBITDA ajustado. Excluida: no llegó a cerrarse y era moda accesible [53, 54].</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2025-04</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Versace</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Prada</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 empresa de 1.250 M EUR; Versace perdía dinero: compra de recuperación [54, 55].</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2025-10</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Kering Beauté (Creed) y licencias de belleza de Gucci, Bottega Veneta y Balenciaga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L'Oréal</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4.000 M EUR en caja; sin ventas ni EBITDA publicados del perímetro [56].</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2022-11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Marca TOM FORD</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Estée Lauder</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2.691</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2.800 M USD por la marca (2.691 M EUR); sin múltiplo publicado [57].</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por acción implícito (mediana de EV/ventas)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770,75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613,98 – 875,27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3" name="Gráfico 23"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t xml:space="preserve">Siete operaciones de lujo de 2018-2025, con EV/ventas de 1,7 a 5,6 veces [D]. Darían 770,75 EUR por acción, muy por debajo del precio, porque Hermès cotiza a 8,1 veces las ventas: ninguna transacción pagó un margen como el suyo. Es solo referencia; no pesa en la síntesis, y Hermès no es comprable (la familia controla el 78,6 % de los votos) [C].</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2026e +3,0 % publicado: los nueve meses crecieron un 2,9 % publicado y un 5,5 % a tipos constantes (3T26 +4,3 %, Asia sin Japón 0,0 %), y un 4T al ritmo del 3T con divisas en contra deja el año en torno a 16.480 M, por debajo de los 16.681 M del consenso aún sin revisar [A, D]. 2027e +7,0 % y 2028e-2030e +7,5 %, el consenso de 2027e-2028e (+7,5 % y +7,3 %) y el ritmo a tipos constantes de 2025-2026 (6-9 %) [1, 34]. Luego baja medio punto al año hasta el 5,0 % de 2035e. La media del caso base (6,7 % en 2027e-2035e) está muy por debajo del 15,1 % anual de 2019-2025 y del 20,2 % de 2020-2025, pero casi dobla el 3,5 % que esperamos para el mercado [16].</w:t>
      </w:r>
    </w:p>
    <w:p>
      <w:pPr>
        <w:keepNext/>
        <w:spacing w:after="100"/>
      </w:pPr>
      <w:r>
        <w:rPr>
          <w:b/>
          <w:bCs/>
        </w:rPr>
        <w:t xml:space="preserve">Márgenes.</w:t>
      </w:r>
    </w:p>
    <w:p>
      <w:pPr>
        <w:spacing w:after="100"/>
      </w:pPr>
      <w:r>
        <w:t xml:space="preserve">Margen EBITDA del 45,3 % en 2026e (el 1S26 fue del 46,2 % con un segundo semestre siempre algo más flojo y las divisas en contra) y del 45,5-46,0 % después, la banda de 2021-2025 (45,6-47,3 %) [1, 2]. El consenso, sin los deterioros que suma MarketScreener, da un 44,5 % en 2026e y un 44,3 % en 2027e: nuestro margen es algo más alto [34]. No suponemos expansión: la capacidad nueva y los salarios de los artesanos absorben el apalancamiento operativo.</w:t>
      </w:r>
    </w:p>
    <w:p>
      <w:pPr>
        <w:keepNext/>
        <w:spacing w:after="100"/>
      </w:pPr>
      <w:r>
        <w:rPr>
          <w:b/>
          <w:bCs/>
        </w:rPr>
        <w:t xml:space="preserve">Inversión y circulante.</w:t>
      </w:r>
    </w:p>
    <w:p>
      <w:pPr>
        <w:spacing w:after="100"/>
      </w:pPr>
      <w:r>
        <w:t xml:space="preserve">Capex del 8,5 % de las ventas en 2026e-2027e (inversiones operativas del 7,3 % en 2025 más las altas de derechos de uso, que aproximamos con los pagos de arrendamientos, 2,1 %) que baja al 5,6 % en 2035e, cuando se acaban los talleres anunciados; la amortización (inmovilizado más derechos de uso) sube del 5,1 % al 5,5 % [1]. Circulante comercial del 14,0 % de las ventas (13,8 % en 2025) [1]. Tipo impositivo del 34,0 % en 2026e con la contribución excepcional y del 28,5 % desde 2027e, el de 2024 (28,7 %) [1].</w:t>
      </w:r>
    </w:p>
    <w:p>
      <w:pPr>
        <w:keepNext/>
        <w:spacing w:after="100"/>
      </w:pPr>
      <w:r>
        <w:rPr>
          <w:b/>
          <w:bCs/>
        </w:rPr>
        <w:t xml:space="preserve">Coste del capital.</w:t>
      </w:r>
    </w:p>
    <w:p>
      <w:pPr>
        <w:spacing w:after="100"/>
      </w:pPr>
      <w:r>
        <w:t xml:space="preserve">Tasa libre del 3,47 %, el Bund a 10 años del 21-oct-2026 [D]. Beta de 1,20, la ajustada semanal a cinco años frente al CAC 40; las demás medidas dan 1,25-1,44, también frente al Stoxx 600 y al MSCI Europe [26]. Prima de mercado del 5,5 % y sin prima adicional. Sin deuda financiera: el peso de la deuda (1,7 %) son los arrendamientos, a un coste del 2,4 % [1]. WACC del 9,99 %; con la prima implícita del mercado (4,20 %), el 8,45 % [38].</w:t>
      </w:r>
    </w:p>
    <w:p>
      <w:pPr>
        <w:keepNext/>
        <w:spacing w:after="100"/>
      </w:pPr>
      <w:r>
        <w:rPr>
          <w:b/>
          <w:bCs/>
        </w:rPr>
        <w:t xml:space="preserve">Valor terminal.</w:t>
      </w:r>
    </w:p>
    <w:p>
      <w:pPr>
        <w:spacing w:after="100"/>
      </w:pPr>
      <w:r>
        <w:t xml:space="preserve">Crecimiento a perpetuidad del 3,0 %: inflación en euros de unos 2 % y un punto real, justo por debajo de la tasa libre menos medio punto (3,03 %). El múltiplo implícito es de 9,0 veces el EBITDA, la mitad del actual (16,6 veces) y del mínimo de 2021-2025 (26,8 veces) [26]. Es el supuesto que más separa nuestro valor del precio: el mercado supone que Hermès seguirá creciendo por encima de la economía mucho después de 2035.</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10,07 %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9,93 %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8,39 %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16.482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7.466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45,3 %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0,19</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17.636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8.024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4.333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18.958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8.683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45,8 %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4.750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4.046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20.380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9.375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5.216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4.040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21.909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10.078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5.702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4.017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23.443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10.784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6.209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3.980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24.966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11.484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6.735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3.929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26.464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12.174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7.261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27.920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12.843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7.769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29.316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13.485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1.612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3.384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1.642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8.264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3.628</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4" name="Gráfico 24" descr="Flujo de caja libre para la empresa proyectad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122.868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242.735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6,31 %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35.999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51.477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87.477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10.642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98.843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941,81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De dónde sale el valor empresa del DCF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4,0 %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8,9 %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994,16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1.038,04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1.089,33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1.150,07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1.223,13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9,4 %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930,89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967,47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1.009,74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1.059,14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1.117,64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9,9 %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875,78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906,57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941,81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982,53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1.030,11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10,4 %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827,35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853,50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883,16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917,12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956,35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10,9 %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784,48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806,85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832,05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860,64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893,36</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804,59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850,12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898,69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950,48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1.005,70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823,42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870,27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920,25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973,55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1.030,39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842,25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890,41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941,81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996,62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1.055,07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861,08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910,56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963,36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1.019,69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1.079,75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879,91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930,71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984,92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1.042,76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1.104,43</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5.674 M (9 %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 la reinversión bruta (capex + circulante): crecimiento que financia al ROIC actual</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14,9 % (reinvierte el 27 %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Rendimiento que la proyección supone para la reinversión bruta</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23,1 % (histórico: 79,4 %)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histórico de ingresos (TCAC)</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20,2 % frente al 6,3 % proyectado</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Veredicto de las pruebas del motor</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Sí</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de mercado implícita en 2035e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5,8 % (hoy: 4,5 %)</w:t>
            </w:r>
          </w:p>
        </w:tc>
      </w:tr>
    </w:tbl>
    <w:p>
      <w:pPr>
        <w:spacing w:after="160" w:before="0"/>
      </w:pPr>
    </w:p>
    <w:p>
      <w:pPr>
        <w:spacing w:after="100"/>
      </w:pPr>
      <w:r>
        <w:t xml:space="preserve">La proyección apenas necesita inversión neta de la amortización (reinversión acumulada de 5.674 M, el 9 % del NOPAT, con un capex bruto medio del 7,2 % de las ventas). En un negocio de activos ligeros, el crecimiento medio del 6,3 % tiene que salir de subir precios y de ganar volumen sin capital nuevo, y la prueba es el poder de precios y la cuota (5,8 % del mercado en 2035e, frente al 4,5 % de hoy);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Estimación propia: crecimiento del 6,1 % a tipos constantes en el 1S26 que reparten un precio de en torno al 4-5 % y volumen; las divisas restan unos 2 puntos (−360 M en el 1S26) [2].</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taller de Charleville-Mézières y madurez de Loupes. Precio más moderado, como espera Bernstein [2, 40].</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Taller de Colombelles (2028) y joyería y casa [2].</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Precio en línea con su historia; volumen limitado por artesanos formados [1].</w:t>
            </w:r>
          </w:p>
        </w:tc>
      </w:tr>
    </w:tbl>
    <w:p>
      <w:pPr>
        <w:spacing w:after="160" w:before="0"/>
      </w:pPr>
    </w:p>
    <w:p>
      <w:pPr>
        <w:spacing w:after="100"/>
      </w:pPr>
      <w:r>
        <w:t xml:space="preserve">Sí, para nuestro caso base. El 6,7 % anual de 2027e-2035e lo financia de sobra un ROIC del 55,1 % con una reinversión mínima, y se apoya en un poder de precios demostrado (margen del 31,0 % al 41,1 % en cinco años con costes y divisas en contra) y en una capacidad que crece con un taller al año [1, 2]. La cuota implícita pasa del 4,5 % al 5,9 % del mercado en 2035e, 1,3 veces la actual, cuando Hermès ha ganado cuota todos los años desde 2019 [16]. Lo que la calidad no sostiene es el 12,0 % anual que pide el precio: eso exigiría volver a crecer como en 2019-2025 (15,1 % anual) con un mercado que crece un 3,5 %.</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(2027e-2035e)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13,0 % (base: 6,6 %)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65,2 % (base: 46,0 %)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7,7 % (WACC: 9,9 %)</w:t>
            </w:r>
          </w:p>
        </w:tc>
      </w:tr>
    </w:tbl>
    <w:p>
      <w:pPr>
        <w:spacing w:after="160" w:before="0"/>
      </w:pPr>
    </w:p>
    <w:p>
      <w:pPr>
        <w:spacing w:after="100"/>
      </w:pPr>
      <w:r>
        <w:t xml:space="preserve">El DCF da 941,81 EUR por acción, un 30,6 % por debajo del precio del 21-oct (1.356,50 EUR) y un 24 % por debajo del de la mañana del 22-oct (≈1.245 EUR), con un 59 % del valor en el terminal. El DCF inverso es la clave: para justificar 1.356,50 EUR con nuestro WACC del 9,93 %, Hermès tendría que crecer un 13,0 % anual en 2027e-2035e con nuestros márgenes, frente al 6,6 % de nuestro caso base y al +4,3 % a tipos constantes del 3T26; dicho de otro modo, a ese precio el accionista obtiene un 7,7 % anual. Con la prima que hoy pide el mercado (4,2 %, Damodaran) el DCF sube a 1.190,77 EUR, todavía un 12 % por debajo [D].</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700,08</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-48,4 %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frenazo de 2025-2026 se vuelve permanente: China no se recupera, los clientes rechazan nuevas subidas de precio en marroquinería y Hermès crece un 3-4 % con el margen tres puntos menor por las divisas y la capacidad infrautilizada, como les pasó a Gucci y a la moda de LVMH en 2024-2025.</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941,81</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Hermès crece un 7,5 % hasta 2030 con su capacidad nueva y subidas de precio moderadas, y converge al 5 % en 2035 con el margen en la banda del 46 %.</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1.143,77</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-15,7 %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China vuelve y el cliente de muy alto patrimonio sigue gastando: Hermès recupera un ritmo del 10-11 % a tipos constantes con un punto más de margen.</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6" name="Gráfico 26" descr="Valor por acción por escenario (EUR) · precio actual 1.356,5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p>
      <w:pPr>
        <w:spacing w:after="100"/>
      </w:pPr>
      <w:r>
        <w:rPr>
          <w:b/>
          <w:bCs/>
        </w:rPr>
        <w:t xml:space="preserve">Valor ponderado por probabilidad:</w:t>
      </w:r>
      <w:r>
        <w:t xml:space="preserve"> 931,87 EUR (-31,3 %).</w:t>
      </w:r>
    </w:p>
    <w:p>
      <w:pPr>
        <w:spacing w:after="100"/>
      </w:pPr>
      <w:r>
        <w:t xml:space="preserve">La asimetría sigue siendo mala con nuestro WACC: incluso el alcista (1.143,77 EUR) queda un 15,7 % por debajo del precio del 21-oct, mientras el bajista (700,08 EUR) pierde un 48,4 %. El 3T26 (+4,3 % a tipos constantes, Asia plana) acerca la realidad al bajista en 2026, pero la Marroquinería (+10,8 %) sigue en el base.</w:t>
      </w:r>
    </w:p>
    <w:p>
      <w:pPr>
        <w:pStyle w:val="Heading1"/>
      </w:pPr>
      <w:r>
        <w:t xml:space="preserve">22. Suma de partes</w:t>
      </w:r>
    </w:p>
    <w:p>
      <w:pPr>
        <w:pStyle w:val="Confianza"/>
        <w:spacing w:after="100"/>
      </w:pPr>
      <w:r>
        <w:t xml:space="preserve">Confianza: Alta</w:t>
      </w:r>
    </w:p>
    <w:p>
      <w:pPr>
        <w:spacing w:after="100"/>
      </w:pPr>
      <w:r>
        <w:t xml:space="preserve">No aplica: Hermès es una sola marca con 16 oficios que comparten tiendas, talleres y clientes, y solo publica resultado por zonas geográficas, no por oficios [1].</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7" name="Gráfico 27" descr="Valor por acción según cada método (EUR) · precio actual 1.356,5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1.255,00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1.356,50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2.300,00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1.168,00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1.625,35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1.920,00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EV/EBITDA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697,98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757,69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1.108,51</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789,75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1.103,29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1.289,53</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(EV/ventas)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613,98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770,75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875,27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853,50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941,81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1.059,14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700,08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931,87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1.143,77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1.095,15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1.190,77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1.306,19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1.349,72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1.356,50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1.363,28</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941,81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930,49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770,75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931,87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spacing w:after="100"/>
      </w:pPr>
      <w:r>
        <w:rPr>
          <w:b/>
          <w:bCs/>
        </w:rPr>
        <w:t xml:space="preserve">Valor intrínseco ponderado (largo plazo):</w:t>
      </w:r>
      <w:r>
        <w:t xml:space="preserve"> 937,70 EUR (-30,9 % sobre 1.356,50).</w:t>
      </w:r>
    </w:p>
    <w:p>
      <w:pPr>
        <w:spacing w:after="100"/>
      </w:pPr>
      <w:r>
        <w:t xml:space="preserve">Pesos: DCF 60 %, escenarios 30 % y comparables 10 %. El DCF es el método más fiable para un negocio sin deuda, con márgenes estables y una caja que se puede proyectar; los escenarios recogen la incertidumbre sobre el crecimiento (China, precios) y los comparables pesan poco porque ningún grupo de lujo tiene el margen de Hermès. El valor intrínseco es de 937,70 EUR (−30,9 %). La recomendación la decide el objetivo a 12 meses por PER (regla v3), que da Mantener: +24,4 % ponderado y +19,8 % en el caso base, pero el valor intrínseco queda muy por debajo del precio, así que no es compra.</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46,97</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 0.8</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1.117,89</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53,96</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(27.1x) × 1.1 (tope: la mediana de 5 años, 45.6x, queda más lejos)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1.608,01</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58,30</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40,2x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techo de base × 1.35</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2.343,66</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+74,1 %</w:t>
            </w:r>
          </w:p>
        </w:tc>
      </w:tr>
    </w:tbl>
    <w:p>
      <w:pPr>
        <w:spacing w:after="160" w:before="0"/>
      </w:pPr>
    </w:p>
    <w:p>
      <w:pPr>
        <w:spacing w:after="100"/>
      </w:pPr>
      <w:r>
        <w:rPr>
          <w:b/>
          <w:bCs/>
        </w:rPr>
        <w:t xml:space="preserve">Objetivo a 12 meses (ponderado):</w:t>
      </w:r>
      <w:r>
        <w:t xml:space="preserve"> 1.669,39 EUR · rentabilidad +24,4 % (base +19,9 %) · señal Mantener.</w:t>
      </w:r>
    </w:p>
    <w:p>
      <w:pPr>
        <w:spacing w:after="100"/>
      </w:pPr>
      <w:r>
        <w:t xml:space="preserve">Para comparar, con la regla v2 (historia al cierre, mismo precio): 23,0x / 27,1x / 35,2x, 13,0 % Mantener; con el tope anterior del base (×1,3, 14-oct mediodía): 44,7 % Mantener. Decide la v3 con tope ×1,1, elegida por el selector de método (sin marcas: decide la v3; METODO-VIGENTE.md).</w:t>
      </w:r>
    </w:p>
    <w:p>
      <w:pPr>
        <w:keepNext/>
        <w:spacing w:after="100"/>
      </w:pPr>
      <w:r>
        <w:rPr>
          <w:b/>
          <w:bCs/>
        </w:rPr>
        <w:t xml:space="preserve">Frente al consenso (solo contraste).</w:t>
      </w:r>
    </w:p>
    <w:p>
      <w:pPr>
        <w:spacing w:after="100"/>
      </w:pPr>
      <w:r>
        <w:t xml:space="preserve">Nuestro BPA base de 2028e (53,96 EUR) queda un 2,8 % por encima del consenso (52,48) y el de 2027e (50,06) un 4,4 % por encima (47,96). La diferencia sale de los impuestos: quitamos la contribución excepcional francesa en 2027e (del 34 % al 28,5 %), que el consenso no recoge del todo; en ventas estamos por debajo (2027e 17.636 M frente a 17.932 M). El consenso es de antes del 3T26 y bajará. Nuestro precio base a 12 meses (1.608,01 EUR) queda un 1,1 % por debajo del objetivo medio de los analistas (1.625,35).</w:t>
      </w:r>
    </w:p>
    <w:p>
      <w:pPr>
        <w:keepNext/>
        <w:spacing w:after="100"/>
      </w:pPr>
      <w:r>
        <w:rPr>
          <w:b/>
          <w:bCs/>
        </w:rPr>
        <w:t xml:space="preserve">Del valor intrínseco al objetivo a 12 meses.</w:t>
      </w:r>
    </w:p>
    <w:p>
      <w:pPr>
        <w:spacing w:after="100"/>
      </w:pPr>
      <w:r>
        <w:t xml:space="preserve">Valor intrínseco 937,70 EUR (−30,9 %) frente a un objetivo a 12 meses ponderado de 1.669,39 EUR (+24,4 % con dividendo; base +19,8 %). La distancia pasa del 25 %: la rentabilidad a 12 meses supone que el mercado sigue pagando unas 30 veces el beneficio, mientras el valor intrínseco dice que, con un crecimiento del 6-7 %, la acción vale menos de 1.000 EUR. Con la historia al cierre (v2, control) la rentabilidad es del +12,9 %.</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Nov-2026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Revisión del consenso tras el 3T26 (+4,3 % a tipos constantes, por debajo del +5,2-5,5 % esperado)</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Recortes de BPA de 2026e-2027e y de objetivos; el consenso de 2026e (16.681 M) queda alto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Dic-2026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Presupuesto francés de 2027: fin o prórroga de la contribución excepcional sobre los beneficios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Unos 325 M EUR anuales de beneficio neto (2 puntos de margen neto)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Subidas de precio anuales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Bernstein espera que se moderen en marroquinería; una subida baja frenaría el crecimiento a corto plazo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11-feb-2027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2026 y dividendo (¿extraordinario?)</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del 2S y uso de 12.926 M de caja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22-abr-2027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del 1T27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lectura del efecto de los precios de 2027 y de China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Apertura del taller de Charleville-Mézières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Capacidad de marroquinería para 2027-2028</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El mercado sigue pagando la historia de crecimiento y la acción rebota (riesgo de quedarse fuera o de reducir)</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Valoración</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+20 % hasta el objetivo medio de los analistas (1.625,35 EUR)</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objetivo medio cae desde agosto y aún no recoge el 3T26</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a tipos constantes por encima del 9 % dos trimestres seguidos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China no se recupera (42 % de las ventas en Asia-Pacífico sin Japón)</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−26 % (escenario bajista frente al base)</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Japón, Américas y Europa crecen un 8-15 %</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Asia-Pacífico sin Japón por debajo del 0 % en un trimestre</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Fatiga de precio en marroquinería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Negocio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 −10 % (estimación con el escenario bajista)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Demanda superior a la oferta en los modelos icónicos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Marroquinería por debajo del 8 % a tipos constantes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Divisas (producción en euros, ventas en dólares, yenes y yuanes)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 −2,5 % por punto de margen EBITDA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Cobertura de casi el 100 % del año siguiente</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semestral por debajo del 40 %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Prórroga de la contribución excepcional francesa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Fiscal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 −3 EUR por acción (−0,3 %) por año adicional</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Temporal por ley</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Proyecto de presupuesto de 2027</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 remuneración sin componente a largo plazo y caja ociosa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 a −2 % (12.926 M rinden un 2-3 %)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Dividendos extraordinarios en 2024-2025</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Ausencia de dividendo extraordinario con caja creciente</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Restricciones a la piel exótica o escándalo en la cadena de suministro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ESG</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Integración vertical y certificaciones LWG</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Cambios en CITES o investigaciones a proveedores</w:t>
            </w:r>
          </w:p>
        </w:tc>
      </w:tr>
    </w:tbl>
    <w:p>
      <w:pPr>
        <w:spacing w:after="160" w:before="0"/>
      </w:pPr>
    </w:p>
    <w:p>
      <w:pPr>
        <w:pStyle w:val="Heading2"/>
      </w:pPr>
      <w:r>
        <w:t xml:space="preserve">Pre-mortem</w:t>
      </w:r>
    </w:p>
    <w:p>
      <w:pPr>
        <w:spacing w:after="100"/>
      </w:pPr>
      <w:r>
        <w:t xml:space="preserve">Octubre de 2029: dijimos que Hermès valía menos de 1.000 EUR y la acción ha subido un 40 %. La historia más probable: China vuelve a crecer en 2027 con el estímulo fiscal, el cliente de muy alto patrimonio estadounidense sigue gastando con las bolsas en máximos y Hermès, con los talleres de 2027 y 2028 en marcha, recupera un 10-12 % de crecimiento a tipos constantes sin bajar el margen del 41 %. El mercado vuelve a pagar más de 45 veces el beneficio, como al cierre de 2021-2025. La señal que lo habría anticipado: Asia-Pacífico sin Japón por encima del 6 % y la Marroquinería por encima del 12 % durante dos trimestres. La otra cara: si el valor intrínseco acierta, la acción pierde un 25-30 % hasta los 900-950 EUR cuando el crecimiento se estabiliza en el 6-7 % y el mercado deja de pagar un múltiplo de escasez.</w:t>
      </w:r>
    </w:p>
    <w:p>
      <w:pPr>
        <w:pStyle w:val="Heading1"/>
      </w:pPr>
      <w:r>
        <w:t xml:space="preserve">26. ESG y controversias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3855"/>
        <w:gridCol w:w="1928"/>
      </w:tblGrid>
      <w:tr>
        <w:trPr>
          <w:cantSplit/>
          <w:tblHeader/>
        </w:trPr>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Proveedor</w:t>
            </w:r>
          </w:p>
        </w:tc>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Calificación</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MSCI</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AA (confirmada en ago-2026; A en 2025, AA en 2022-2024)</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2026-08</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CDP (clima, agua, bosques)</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 / A- / 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Sustainalytics</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11,2 (riesgo bajo)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S&amp;P Global ESG</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64/100</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ISS ESG</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 (Prime)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w:t>
            </w:r>
          </w:p>
        </w:tc>
      </w:tr>
    </w:tbl>
    <w:p>
      <w:pPr>
        <w:spacing w:after="160" w:before="0"/>
      </w:pPr>
    </w:p>
    <w:p>
      <w:pPr>
        <w:pStyle w:val="Heading2"/>
      </w:pPr>
      <w:r>
        <w:t xml:space="preserve">Asuntos materiales</w:t>
      </w:r>
    </w:p>
    <w:p>
      <w:pPr>
        <w:spacing w:after="100"/>
      </w:pPr>
      <w:r>
        <w:t xml:space="preserve">Tres asuntos mueven las cifras. </w:t>
      </w:r>
      <w:r>
        <w:rPr>
          <w:b/>
        </w:rPr>
        <w:t xml:space="preserve">Las pieles y el bienestar animal</w:t>
      </w:r>
      <w:r>
        <w:t xml:space="preserve">: el 90 % de los proveedores directos de piel tiene certificado LWG y la piel exótica depende de pocos criaderos; una restricción a la piel de cocodrilo afectaría a los bolsos más caros [1]. </w:t>
      </w:r>
      <w:r>
        <w:rPr>
          <w:b/>
        </w:rPr>
        <w:t xml:space="preserve">El empleo artesanal en Francia</w:t>
      </w:r>
      <w:r>
        <w:t xml:space="preserve">: 16.656 empleados en Francia, prima de 3.000 EUR a todos los empleados y escuelas propias; es la base de la capacidad y de la licencia social [1, 2]. </w:t>
      </w:r>
      <w:r>
        <w:rPr>
          <w:b/>
        </w:rPr>
        <w:t xml:space="preserve">El clima</w:t>
      </w:r>
      <w:r>
        <w:t xml:space="preserve">: emisiones de alcance 1 y 2 un 69 % por debajo de 2018 y 77 % de energía renovable [1]. MSCI la bajó de AA a A en 2025 y la devolvió a AA en agosto de 2026; CDP la mantiene en A en clima y bosques [B].</w:t>
      </w:r>
    </w:p>
    <w:p>
      <w:pPr>
        <w:pStyle w:val="Heading2"/>
      </w:pPr>
      <w:r>
        <w:t xml:space="preserve">Controversias</w:t>
      </w:r>
    </w:p>
    <w:p>
      <w:pPr>
        <w:spacing w:after="100"/>
      </w:pPr>
      <w:r>
        <w:t xml:space="preserve">La demanda colectiva de 2024 en California, que acusaba a Hermès de condicionar la venta del Birkin a otras compras, se desestimó definitivamente en septiembre de 2025 [18]. Nicolas Puech, heredero que decía tener unos 6 millones de acciones, denunció su desaparición; un tribunal suizo desestimó su demanda contra su antiguo gestor [27]. No hay sanciones de reguladores en los últimos tres años [1].</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medio plazo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significa hoy «crecimiento ambicioso»? ¿Es compatible con un 6-7 % a tipos constantes o la dirección sigue pensando en dos cifras?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diferencia entre nuestro valor (941,81 EUR) y lo que descuenta el precio (12 % anual).</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subirán los precios de la marroquinería en 2027 y qué parte del crecimiento de 2025-2026 fue precio?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empresa no separa precio y volumen; el puente de ingresos es estimación propia.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China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¿Cómo evolucionan las ventas a clientes chinos dentro y fuera de China y la tasa de recompra?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Asia-Pacífico sin Japón es el 42 % de las ventas y crece un 1,6 % en nueve meses y un 0,0 % en el 3T26.</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Capacidad</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¿Cuántos artesanos de marroquinería se forman al año y cuál es la capacidad de cada taller nuevo?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Fija el volumen máximo y la reinversión del DCF.</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Caja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qué mantener 12.926 M de caja neta sin una recompra mayor, con la acción un 44 % por debajo de su máximo?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caja (10 % de la capitalización) rinde un 2-3 %.</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y divisas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tipo de cambio cubre ya 2027 y qué margen implica?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 punto de margen EBITDA vale en torno a un 2,5 % del valor (estimación propia).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Sucesión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¿Hay un plan de sucesión de Axel Dumas dentro de la familia y cómo lo decidirá Émile Hermès SAS?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gerencia no la vota la junta.</w:t>
            </w:r>
          </w:p>
        </w:tc>
      </w:tr>
    </w:tbl>
    <w:p>
      <w:pPr>
        <w:spacing w:after="160" w:before="0"/>
      </w:pPr>
    </w:p>
    <w:p>
      <w:pPr>
        <w:pStyle w:val="Heading1"/>
      </w:pPr>
      <w:r>
        <w:t xml:space="preserve">28. Sentimiento en foros y comentarios</w:t>
      </w:r>
    </w:p>
    <w:p>
      <w:pPr>
        <w:pStyle w:val="Confianza"/>
        <w:spacing w:after="100"/>
      </w:pPr>
      <w:r>
        <w:t xml:space="preserve">Confianza: Media</w:t>
      </w:r>
    </w:p>
    <w:p>
      <w:pPr>
        <w:spacing w:after="100"/>
      </w:pPr>
      <w:r>
        <w:rPr>
          <w:b/>
          <w:bCs/>
        </w:rPr>
        <w:t xml:space="preserve">Tono:</w:t>
      </w:r>
      <w:r>
        <w:t xml:space="preserve"> Negativo · </w:t>
      </w:r>
      <w:r>
        <w:rPr>
          <w:b/>
          <w:bCs/>
        </w:rPr>
        <w:t xml:space="preserve">Tendencia:</w:t>
      </w:r>
      <w:r>
        <w:t xml:space="preserve"> Empeora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Boursorama, foro de Hermès: hilos abiertos el 21 y el 22 de octubre de 2026 (reacción a los ingresos del 3T26)</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Ironía y resignación en la primera hora de la sesión: se repite el titular del «ritmo más débil en seis años», quien habló de «doble techo» presume de haber acertado y se apunta a 900-1.000 EUR; una minoría recuerda que la empresa sigue creciendo «pese a todos los vientos en contra» y que la holding familiar podrá comprar barato [68, 69]. Un hilo aparte debate si la caída del precio del Birkin en reventa afecta a la casa o solo a los revendedores [70].</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Boursorama, foro de Hermès: portada e hilos largos de septiembre-octubre de 2026</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Domina el análisis técnico (Ichimoku, soportes, «doble techo») con objetivos a la baja de 1.270, 1.000 e incluso 900 EUR, mucha conversación sobre la rebaja de UBS a Vender y temor explícito a unas ventas «por debajo del consenso» el 22 de octubre; aparece el pesimismo sobre Francia («este país va cada vez peor») y una minoría compra en la caída [66, 71].</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Boursorama, foro de Hermès (página 2: hilos de julio-septiembre de 2026)</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Desencanto tras los resultados del 1S26 («−30 % desde el 1 de enero», «los entusiastas de hace año y medio están más callados»); hilos que siguen viendo la valoración «delirante» y otros que comentan compras de la familia [67].</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Seeking Alpha: artículos de opinión sobre Hermès (agosto-septiembre de 2026)</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Dos artículos de agosto defienden comprar («el mercado se equivoca», «tres razones para comprar pese a un mercado del lujo difícil») y el más reciente, de septiembre, sostiene que una caída del 35 % no basta para que sea una ganga; la noticia de la rebaja de RBC completa el cuadro [72].</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getquin (comunidad de inversores), resumen de resultados del 1S26</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2026-07</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Explica la caída del día por el BPA por debajo de lo esperado y Asia débil, pero el único comentario, con mucho apoyo, anima a comprar [41].</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MarketScreener y Zonebourse: titulares y notas de analistas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Bancos divididos: Bernstein, Jefferies, Berenberg y AlphaValue a Comprar; UBS y Goldman Sachs a Vender; RBC y Barclays neutrales. Titulares de «mayor corrección bursátil de su historia» y de la presión fiscal china sobre el lujo [40]. En octubre siguen los recortes de precio objetivo (Citi, HSBC, Jefferies) y AlphaValue baja a Acumular [76].</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Desaceleración: «el ritmo más débil en seis años»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cierto: el 3T26 creció un 4,3 % a tipo constante (4.096 millones), frente al 5,2 % que esperaban los analistas de Visible Alpha, y es el trimestre más flojo desde principios de 2020 [11, 73]. Pero los nueve meses suman un 5,5 % (12.260 millones), con Américas +13,1 %, Japón +10,5 % y Europa sin Francia +9,0 %, y la empresa confirma su objetivo «ambicioso» de crecimiento a medio plazo a tipo constante [11]. El foro exagera al hablar de «catástrofe»: es una desaceleración, no una caída.</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China y Asia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datos le dan la razón al foro: Asia-Pacífico sin Japón creció un 0,0 % a tipo constante en el 3T26 y un 1,6 % en nueve meses, con la Gran China plana [11], y pesa en torno al 42 % de las ventas de los nueve meses (5.182 de 12.260 millones; cálculo propio). El director financiero calificó China de «muy difícil» y atribuyó a ese país todo el retroceso de Prêt-à-porter y Accesorios (−2,0 % en el trimestre) [73].</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El Birkin pierde su aura de rareza (precios de reventa a la baja)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Tema nuevo, avivado por un reportaje de Reuters del 21-oct: seis de nueve revendedores ven precios de reventa a la baja y UBS calcula que hay seis o siete veces más anuncios de Birkin y Kelly que antes de la pandemia [74]. En las cuentas no se ve todavía: Marroquinería y Guarnicionería aceleró al 10,8 % a tipo constante en el 3T26 (10,2 % en nueve meses) [11], y la empresa mantiene un aumento de capacidad y volumen de en torno al 6 % anual [73]. Es un indicador adelantado que hay que vigilar, no un dato de demanda.</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Valoración y rebajas de los analistas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foro da por hecho que el múltiplo seguirá bajando hacia el del resto del sector, y Reuters recoge que cada vez más inversores lo piensan [73]; los recortes de precio objetivo continúan en octubre [76]. Hay que contrastarlo con el PER histórico y el DCF inverso del informe: la pregunta es cuánto crecimiento descuenta el precio tras la caída, no si Hermès crece menos que en 2021-2024.</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 en la caída / la familia compra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Hay compras de miembros de la familia declaradas a la AMF en septiembre de 2026, pero son pequeñas: 125, 20 y 150 acciones a 1.459, 1.415 y 1.349 EUR [75]. Señal simbólica de confianza, no un apoyo de precio.</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Análisis técnico y soportes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tiene contenido fundamental: refleja la inercia del precio, que encadena mínimos de cuatro años [76].</w:t>
            </w:r>
          </w:p>
        </w:tc>
      </w:tr>
    </w:tbl>
    <w:p>
      <w:pPr>
        <w:spacing w:after="160" w:before="0"/>
      </w:pPr>
    </w:p>
    <w:p>
      <w:pPr>
        <w:spacing w:after="100"/>
      </w:pPr>
      <w:r>
        <w:t xml:space="preserve">El foro francés, que es casi el único con debate sobre Hermès (en Stocktwits apenas hay mensajes), está en una fase de resignación irónica más que de pánico: los objetivos que circulan (900-1.000 EUR) son de capitulación. Los particulares van algo por delante de los analistas, que siguen divididos aunque recortan objetivos. Las cifras del 3T26 confirman la parte de la queja que tiene base (China plana, prêt-à-porter en negativo, trimestre por debajo del consenso), pero no la de fondo: la marroquinería acelera y las Américas, Japón y Europa crecen a dos dígitos o casi. El riesgo nuevo que aporta la conversación es la pérdida de rareza del Birkin en la reventa; no está en las cuentas, pero hay que vigilarlo. Un sentimiento tan negativo con el negocio creciendo al 5,5 % es, como mucho, una señal contraria débil.</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19 de 21 controles correctos y 2 explicados. Fuentes: 76 (34 primarias); citas distintas en el texto: 76.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Veredicto de sostenibilidad del analista coherente con las pruebas del motor</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analista dice «Sí» y las pruebas del motor dan «Sí»: razónalo en la justificación.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implícita al final de la proyección ≤ 1,5 × la actual (o +10 puntos)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Cuota de 5,8 % en 2035e frente al 4,5 % de hoy.</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14,0 % frente a 13,8 % real: genera una variación de circulante de 106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59 %.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Regresión múltiplo-crecimiento explicativa (R² ≥ 0,3)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R² = 0,17: el crecimiento no explica los múltiplos de estos comparables; no uses el valor de la regresión. Explicación: Con siete grupos de lujo de márgenes muy distintos (24-41 %) el crecimiento no explica el múltiplo; no se usa la regresión.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Comparables estables al quitar una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mediana del EV/EBITDA NTM va de 8,6x a 11,1x según qué comparable se quite (750,23 a 933,10 por acción): la muestra es frágil; explícalo y no le des mucho peso. Explicación: Richemont y L'Oréal mueven la mediana: por eso los comparables pesan solo un 10 % y Hermès cotiza con una prima estructural que ningún comparable replica.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del BPA base ≤ 25 % anual desde el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76 fuentes (34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34.</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financieros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amortizaciones 2022 y 2023 (desglose sin deterioros)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Comunicados anuales 2023 y 2024: solo la línea de flujos con deterioros incluidos; 2) URD 2023 y 2024: la web de inversores no lista los PDF anteriores (carga dinámica) y las búsquedas no dan la URL; 3) estimación a partir de la línea de flujos menos un deterioro del orden del de 2021 y 2024</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financieros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cuenta 2016-2019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URD 2019 y anteriores en finance.hermes.com: no accesibles sin carga dinámica; 2) comunicados en MFN: solo desde 2024; 3) comunicado anual 2021 en la AMF: solo las cifras clave de 2019 (ventas 6.883 M, resultado operativo 2.339 M, beneficio neto 1.528 M)</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 por segmento geográfico 2021-2023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URD 2025, nota 4: solo 2025 y 2024; 2) comunicados anuales 2021 y 2023: solo ventas por zona; 3) URD 2023: no accesible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tamaño del segmento de clientes de muy alto patrimonio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Bain dic-2025: solo da clientes totales (330 millones); 2) Bain jun-2026: sin cifra de gasto por segmento; 3) informes de LVMH y Hermès: sin dato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del 3T26 de Kering, Prada y Moncler</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búsqueda de la nota de Kering del 3T26: solo aparecen el 2T26 y el 3T25; 2) búsqueda conjunta de Prada, Moncler y Richemont para oct-2026: sin resultados de 2026; 3) Richemont publica su tercer trimestre fiscal en enero: no aplica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votos de la junta del 17-abr-2026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finance.hermes.com/en/general-meetings: la página carga los documentos con JavaScript y no da el PDF de resultados; 2) búsquedas en francés e inglés del comunicado de resultados de votación (AMF, prensa, MFN): sin resultado; 3) agregador Rendement Bourse: solo el orden del día de 20 resoluciones, sin porcentajes [31]</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asistencia del flotante a la junta (para el voto sobre el capital libre)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URD 2025: no da el quórum; 2) web de inversores: actas no accesibles; 3) cálculo con todo el flotante presente como cota inferior</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multiplos_historicos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y EV/EBITDA NTM históricos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MarketScreener: solo 2026e-2028e; 2) Stock Analysis: histórico de pago; 3) Zonebourse: gráficos sin valores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Ferrari como comparable de lujo de escasez</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MarketScreener (página de finanzas de Ferrari): la URL devolvió la portada; 2) Stock Analysis: sin estimaciones gratuitas a 3 años; 3) sin presupuesto para el 20-F</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posicion_corta_pct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AMF, registro de posiciones cortas netas: no consultado por presupuesto; 2) data.gouv.fr: no descargado; 3) prensa: sin menciones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Consenso revisado tras los ingresos del 3T26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MarketScreener finanzas, 22-oct 9:25: aún con las cifras previas; 2) Stock Analysis: última actualización 15-oct; 3) prensa del 22-oct (France Épargne, Boursorama/Reuters): solo el consenso del trimestre (5,2 %, ≈ 4.120 M), sin BPA anual nuevo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sentimiento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revisadas (foros anglosajones con debate)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Stocktwits (API de HESAY): abre, pero solo cinco mensajes en seis meses, sin debate; 2) MarketScreener y Zonebourse (noticias y comentarios del 22-oct): 403; 3) comentarios de lectores de Boursorama bajo la noticia de Reuters del 3T26: ninguno a las 09:20. Reddit no se intentó (bloqueado según lecciones)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Documento de Registro Universal 2025 (incluye el informe financiero anual)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Hermès International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https://assets-finance.hermes.com/s3fs-public/node/pdf_file/2026-04/1777391712/260320_hermes_urd2025_en.pdf?VersionId=jE9NgndClrtsqa.kJW0uyG8NRg4SFCVU</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Hermès International: 2026 Half-year Results (nota de prensa con estados financieros)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Hermès International (vía MFN/GlobeNewswire)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29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https://mfn.se/all/a/hermes/hermes-international-2026-half-year-results-be9f20c4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Hermès International: 2025 Full-Year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Hermès International (vía MFN/GlobeNewswire)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https://mfn.se/one/a/hermes/hermes-international-2025-full-year-results-a01f2a5e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Hermès International: 2024 Full-Year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Hermès International (vía MFN/GlobeNewswire)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https://mfn.se/one/a/hermes/hermes-international-2024-full-year-results-13ea7f3a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Hermès International: 2023 Full-Year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Hermès International (vía Nasdaq)</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https://www.nasdaq.com/press-release/hermes-international:-2023-full-year-results-2024-02-09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2021 Annual Results (comunicado depositado en la AMF)</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Hermès International / AMF (DILA)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feb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https://echanges.dila.gouv.fr/OPENDATA/AMF/MKW/2022/02/FCMKW115592_20220218.pdf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Hermès International: Third Quarter 2025 Revenue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Hermès International (vía MFN/GlobeNewswire)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https://mfn.se/one/a/hermes/hermes-international-third-quarter-2025-revenue-b22889db</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Hermès International: 2025 Half-year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Hermès International (vía MFN/GlobeNewswire)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https://mfn.se/one/a/hermes/hermes-international-2025-half-year-results-b0918fd8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Hermès International: First Quarter 2026 Revenue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Hermès International (vía MFN/GlobeNewswire)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https://mfn.se/one/a/hermes/hermes-international-first-quarter-2026-revenue-51ea2512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Rapport financier semestriel / Half-year financial report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Hermès International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https://assets-finance.hermes.com/s3fs-public/node/pdf_file/2026-09/1789652378/hermes_20260729_rfs_en_eaccessible.pdf?VersionId=98ozcRL7c.SmH2v9g3kzjeyG_QlE3yY1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Hermès International: Third Quarter 2026 Revenue (información trimestral a finales de septiembre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Hermès International (GlobeNewswire / MFN)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https://mfn.se/one/a/hermes/hermes-international-third-quarter-2026-revenue-767f0a7b</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Hermès International: Shares and voting rights as of 30th September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Hermès International (GlobeNewswire / MFN)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https://mfn.se/one/a/hermes/hermes-international-shares-and-voting-rights-as-of-30th-september-2026-516b91d7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Hermès ralentit au troisième trimestre, pénalisé par la Chine (Zonebourse, con consenso FactSet)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Zonebourse / Boursorama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https://www.boursorama.com/bourse/actualites/hermes-ralentit-au-troisieme-trimestre-penalise-par-la-chine-f427ea4eaff70de9014d798f19237225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Hermes third-quarter growth slows as ready-to-wear turns negative (Reuters, con consenso Visible Alpha)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Reuters / Global Banking &amp; Finance Review</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https://www.globalbankingandfinance.com/hermes-third-quarter-growth-slows-ready-to-wear-turns/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Luxury in 2025: Finding a New Longevity for Luxury (Bain-Altagamma Luxury Study, 24.ª edición)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Bain &amp; Company y Fondazione Altagamma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https://www.bain.com/insights/finding-a-new-longevity-for-luxury/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Altagamma-Bain Luxury Goods Worldwide Market Study, Spring 2026: Rhapsody in luxury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Bain &amp; Company y Fondazione Altagamma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https://brand-news.it/wp-content/uploads/2026/06/ALTAGAMMA-BAIN-LUXURY-GOODS-WORLDWIDE-MARKET-MONITOR-UPDATE_.pdf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Rebound for Chanel in 2025: a new era begins, revenues of 19 billion (+2 %)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Il Sole 24 Ore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https://en.ilsole24ore.com/art/rebound-chanel-2025-new-era-begins-revenues-19-billion-2percent-AIupgDAD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Hermes defeats class action again over hard-to-get Birkin bags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Reuters (vía Korea JoongAng Daily)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sep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https://www.koreajoongangdaily.com/business/hermes-defeats-class-action-again-over-hardtoget-birkin-bags/12310777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Documento de registro universal 2025 (Universal Registration Document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LVMH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https://lvmh-com.cdn.prismic.io/lvmh-com/aczo-pGXnQHGZKQ5_UniversalRegistrationDocument2025.pdf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Richemont delivers strong sales growth and solid results for the year ended 31 March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Compagnie Financière Richemont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https://www.richemont.com/news-media/press-releases-news/richemont-delivers-strong-sales-growth-and-solid-results-for-the-year-ended-31-march-2026/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Rebound for Chanel in 2025 (cifras de ingresos y resultado operativo, convertidas a 1,175 USD/EUR del BCE a 31-12-2025)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Il Sole 24 Ore / BCE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https://data-api.ecb.europa.eu/service/data/EXR/D.USD.EUR.SP00.A?startPeriod=2025-12-29&amp;endPeriod=2025-12-31&amp;format=csvdata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Kering – 2025 results: Sequential improvement, unlocking the next phase of sustainable &amp; profitable growth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Kering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https://mfn.se/all/a/kering/kering-2025-results-sequential-improvement-unlocking-the-next-phase-of-sustainable-and-profitable-growth-df4cbf96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Prada Group FY25 results (nota de prensa)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Prada S.p.A.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https://www.pradagroup.com/content/dam/pradagroup/documents/investors/FY-2025/Prada-Group-FY25-PR.pdf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Moncler Group FY 2025 Factsheet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Moncler S.p.A.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https://www.monclergroup.com/v3/assets/blt61bda6b71f29a239/blt76518eab05423ac2/699777e8a36b21223513e373/Moncler-Group-FY-2025-Factsheet.pdf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Hermès vs. LVMH: The Timeline Behind a Takeover Attempt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Fashion Law</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2014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https://www.thefashionlaw.com/hermes-vs-lvmh-a-timeline-of-the-drama/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RMS.PA, ^FCHI y GLUX.PA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https://finance.yahoo.com/quote/RMS.PA/history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Disappearing Act: Hermès Heir's $13 Billion Vanishes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Impression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https://theimpression.com/?p=11395177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Continued growth in the third quarter of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LVMH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https://www.lvmh.com/en/publications/continued-growth-in-the-third-quarter-of-2026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Release on compensation of Executive Chairmen as of 16 February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Hermès International (vía MFN)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https://mfn.se/one/a/hermes/hermes-international-release-on-compensation-of-executive-chairmen-as-of-16-february-2026-9d991acf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Declaraciones de dirigentes sobre Hermès International (2025DD1074981 a 2026DD1140617; consulta del 22-oct-2026)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AMF, base BDIF</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https://bdif.amf-france.org/back/api/v1/informations?RechercheTexte=HERMES%20INTERNATIONAL&amp;TypesInformation=DD&amp;From=0&amp;Size=40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Orden del día de la junta general mixta del 17-abr-2026 (20 resoluciones; sin resultados de votación)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Rendement Bourse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https://rendementbourse.com/rms-hermes-international/assemblee-generale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Historique des positions courtes nettes sur actions rendues publiques depuis le 1er novembre 2012 (exportación del 21-oct-2026)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AMF, vía data.gouv.fr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https://object-api.infra.data.gouv.fr/amf/VAD/export_od_vad_20261021111500_20261021123000.csv</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Appointments to the Hermès International Executive Committee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Zonebourse / 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https://www.marketscreener.com/news/appointments-to-the-hermes-international-executive-committee-ce7f5cd8dd8af325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Hermès International: estimaciones financieras 2025-2028</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https://www.marketscreener.com/quote/stock/HERMES-INTERNATIONAL-4657/finances/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Hermès International: consenso de analistas, precios objetivo y últimas notas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https://www.marketscreener.com/quote/stock/HERMES-INTERNATIONAL-4657/consensus/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Hermes (EPA:RMS) Stock Forecast &amp; Price Target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 (datos de S&amp;P Global)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https://stockanalysis.com/quote/epa/RMS/forecast/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Rendimiento de los valores federales a 10 años (BBSIS D.I.ZST.ZI.EUR.S1311.B.A604.R10XX.R.A.A._Z._Z.A)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Deutsche Bundesbank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https://api.statistiken.bundesbank.de/rest/download/BBSIS/D.I.ZST.ZI.EUR.S1311.B.A604.R10XX.R.A.A._Z._Z.A?format=csv&amp;lang=en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fila de 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Information relating to the total number of voting rights and shares (31 de agosto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Hermès International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https://assets-finance.hermes.com/s3fs-public/node/pdf_file/2026-09/1789401714/hermes_20260914_releasetotalnumberofvotingrightsandshares_2026-08-31-en.pdf?VersionId=0uopQsR7_v1QgDXgLXVs9f5oTOCfXE5J</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Hermès International: noticias y cambios de recomendación (jun-oct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https://www.marketscreener.com/quote/stock/HERMES-INTERNATIONAL-4657/news/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Hermès: el BPA del primer semestre decepciona pese al resultado operativo (resumen con el consenso)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getquin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https://app.getquin.com/en/post/DSAvHHyNvq</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LVMH: estimaciones financieras (leídas para el informe de Moncler de este repositorio)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https://www.marketscreener.com/quote/stock/LVMH-4669/finances/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Compagnie Financière Richemont: estimaciones financieras (leídas para el informe de LVMH de este repositorio)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https://www.marketscreener.com/quote/stock/COMPAGNIE-FINANCIERE-RICH-14354614/finances/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Kering: estimaciones financieras (leídas para el informe de LVMH de este repositorio)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https://www.marketscreener.com/quote/stock/KERING-4683/finances/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Moncler: estimaciones financieras (leídas para el informe de Moncler de este repositorio)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https://www.marketscreener.com/quote/stock/MONCLER-S-P-A-15098901/finances/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Prada: estimaciones financieras (leídas para el informe de LVMH de este repositorio)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https://www.marketscreener.com/quote/stock/PRADA-S-P-A-8235601/finances/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Brunello Cucinelli: estimaciones financieras (leídas para el informe de LVMH de este repositorio)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https://www.marketscreener.com/quote/stock/BRUNELLO-CUCINELLI-S-P-A-10446678/finances/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L'Oréal: estimaciones financieras (leídas para el informe de LVMH de este repositorio)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https://www.marketscreener.com/quote/stock/L-OREAL-4666/finances/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Documento de registro universal 2023 (cuentas 2023, 2022 y 2021; nota 2.3 sobre Tiffany)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LVMH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https://lvmh-com.cdn.prismic.io/lvmh-com/ZnKrfZm069VX138m_urd-2023-va_vdef.pdf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LVMH to acquire Belmond (anexo 99.1 al 8-K de Belmond Ltd.)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Belmond Ltd.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dic 2018</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https://www.sec.gov/Archives/edgar/data/1115836/000114036118045193/ex99_1.htm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 de cambio de referencia USD/EUR, serie diaria EXR.D.USD.EUR.SP00.A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https://data-api.ecb.europa.eu/service/data/EXR/D.USD.EUR.SP00.A?format=csvdata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Moncler acquisisce Stone Island. Mercato e analisti contenti</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Trend Online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dic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https://www.trend-online.com/prp/moncler-ftse-mib-stone-island/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Tapestry, Inc. Announces Definitive Agreement to Acquire Capri Holdings Limited (anexo 99.1 al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Tapestry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ago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https://www.sec.gov/Archives/edgar/data/1116132/000114036123038946/brhc20057354_ex99-1.htm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Capri Holdings: resultados del 4T y del ejercicio 2025 (anexo 99.1 al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Capri Holdings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https://www.sec.gov/Archives/edgar/data/1530721/000153072125000046/cpri8-k03292025exhibit991.htm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Prada Group Press Release - Acquisition of Versace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Prada S.p.A.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https://www.pradagroup.com/content/dam/pradagroup/documents/2025/Aprile/inglese/Prada%20Group%20Press%20Release%20-%20Acquisition%20of%20Versace.pdf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Kering and L'Oréal forge alliance in beauty and wellness (nota de prensa, 19-oct-25)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L'Oréal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https://www.loreal-finance.com/eng/press-release/kering-and-loreal-forge-alliance-beauty-and-wellness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Estée Lauder Companies to acquire the TOM FORD brand (anexo 99.1 al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Estée Lauder Companies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nov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https://www.sec.gov/Archives/edgar/data/1001250/000100125022000199/tfbexhibit991.htm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Historical Data, Hermès International (FR0000052292-XPAR), cierres diarios oct-2025 a 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Euronext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https://live.euronext.com/en/ajax/AwlHistoricalPrice/getFullDownloadAjax/FR0000052292-XPAR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Cotización intradía de RMS.PA, ^FCHI, MC.PA y KER.PA del 22-oct-2026 (9:13 de París, diferida 15 minutos)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https://finance.yahoo.com/quote/RMS.PA/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Hermès : la croissance ralentit au troisième trimestre et stagne en Asie hors Japon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France Épargne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https://www.france-epargne.fr/news/hermes-la-croissance-ralentit-au-troisieme-trimestre-et-stagne-en-asie-hors-japon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Baromètre du jour : pourquoi le luxe européen décroche en Bourse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FashionUnited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https://fashionunited.fr/actualite/business/barometre-du-jour-pourquoi-le-luxe-europeen-decroche-en-bourse/2026062342151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Hermès recule, HSBC exclut un redressement spectaculaire (Zonebourse)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BFM Bourse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https://www.tradingsat.com/hermes-intl-FR0000052292/actualites/hermes-intl-hermes-recule-hsbc-exclut-un-redressement-spectaculaire-1165509.html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Déclarations des dirigeants sur Hermès International: 2026DD1133854 (31-jul), 2026DD1136757 (4-sep), 2026DD1138345 (11-sep) y 2026DD1140617 (24-sep)</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AMF, base BDIF</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https://bdif.amf-france.org/back/api/v1/informations?RechercheTexte=HERMES%20INTERNATIONAL&amp;TypesInformation=DD&amp;From=0&amp;Size=15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Historical Data, L'Oréal (FR0000120321-XPAR), cierres del 19 al 21-oct-2026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Euronext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https://live.euronext.com/en/ajax/AwlHistoricalPrice/getFullDownloadAjax/FR0000120321-XPAR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de referencia del euro (21-oct-2026: CHF 0,9256; HKD 8,8155)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https://www.ecb.europa.eu/stats/eurofxref/eurofxref-daily.xml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Forum HERMES INTL (RMS), página 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Boursorama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https://www.boursorama.com/bourse/forum/1rPRMS/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Forum HERMES INTL (RMS), página 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Boursorama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https://www.boursorama.com/bourse/forum/1rPRMS/page-2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Hilo «Double Top réalisé, tout bon pour la suite» y respuestas del 22-oct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Boursorama (foro)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https://www.boursorama.com/bourse/forum/1rPRMS/detail/468586391/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Hilos «Croissance», «Hermès : croissance inférieure aux attentes au troisième trimestre» y «Capi de 30 fois les bénéfs»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Boursorama (foro)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https://www.boursorama.com/bourse/forum/1rPRMS/detail/468588547/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Hilo «LE BIRKIN»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Boursorama (foro)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https://www.boursorama.com/bourse/forum/1rPRMS/detail/468588286/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Hilo «HERMES INTL - Hermes .....», página 4 (mensajes del 11 al 19 de octubre)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Boursorama (foro)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https://www.boursorama.com/bourse/forum/1rPRMS/detail/468463644/page-4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Hermès (HESAY): artículos de análisis y noticias (feed)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https://seekingalpha.com/api/sa/combined/HESAY.xml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Hermès-La croissance ralentit au T3, le prêt-à-porter passe dans le rouge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Reuters (vía Boursorama)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https://www.boursorama.com/bourse/actualites/hermes-la-croissance-ralentit-au-t3-le-pret-a-porter-passe-dans-le-rouge-0844f5bf3488737c305c70bda9ce1396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fin d'une époque ? Comment le sac Birkin d'Hermès perd son attrait lié à sa rareté</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Reuters (vía Boursorama)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https://www.boursorama.com/epargne/placements-plaisir/actualites/la-fin-d-une-epoque-comment-le-sac-birkin-d-hermes-perd-son-attrait-lie-a-sa-rarete-68689a90238021cbd0b22d37e6da781e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Declaraciones de operaciones de directivos de Hermès International (BDIF), septiembre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AMF</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https://bdif.amf-france.org/back/api/v1/informations?RechercheTexte=HERMES%20INTERNATIONAL&amp;TypesInformation=DD&amp;From=0&amp;Size=20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Actualités HERMES INTL (titulares de Zonebourse, Reuters y AOF, julio-octubre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Boursorama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https://www.boursorama.com/cours/actualites/1rPRMS/</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90,3 %</w:t>
      </w:r>
      <w:r>
        <w:t xml:space="preserve"> · Secciones con menos del 60 % de campos cubiertos: </w:t>
      </w:r>
      <w:r>
        <w:rPr>
          <w:b/>
          <w:bCs/>
        </w:rPr>
        <w:t xml:space="preserve">riesgos</w:t>
      </w:r>
      <w:r>
        <w:t xml:space="preserve"> · Generado el 22 oct 2026.</w:t>
      </w:r>
    </w:p>
    <w:p>
      <w:pPr>
        <w:pStyle w:val="Nota"/>
        <w:spacing w:after="100"/>
      </w:pPr>
      <w:r>
        <w:t xml:space="preserve">Se valora la acción ordinaria de Hermès International en Euronext París (RMS), en euros; precio de cierre del miércoles 21-oct-2026 (1.356,50 EUR, Euronext), la víspera de los ingresos del 3T26 publicados el 22-oct antes de la apertura; la reacción del 22-oct (en torno a −8 % por la mañana) se mide aparte en la prueba de robustez [D]. Acciones: 104,95 M diluidas (emitidas menos la autocartera de agosto de 2026 más el efecto de los planes de acciones gratuitas) [10, 39]. Cuentas NIIF-UE por función; los arrendamientos van en la deuda (NIIF 16) y el capex del DCF incluye las altas de derechos de uso. La cuenta va de 2020 a 2025 con los comunicados anuales y el URD 2025: las amortizaciones de 2022 y 2023 son estimación propia (los URD anteriores no se pudieron descargar) [5, 6]. Los segmentos son las zonas geográficas; el resultado por zona solo se publica para 2024-2025 [1]. Hermès publica ventas trimestrales y resultados semestrales: los trimestres solo llevan ventas. El EBITDA del consenso (MarketScreener) suma los deterioros (0,8 % de las ventas), que el motor resta [34]. Los comparables y el consenso son de MarketScreener a 21-22-oct-2026, sin revisar aún por el 3T26 [D]. El puente es el balance de 30-jun-2026: los ingresos del 3T no traen balance [D]. Los impuestos de 2025 y 2026 incluyen la contribución excepcional francesa sobre los beneficios de las grandes empresas; el DCF la quita desde 2027e [1, 2].</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22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Hermès International SCA (RMS)</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 Id="rIdGrafico27" Type="http://schemas.openxmlformats.org/officeDocument/2006/relationships/chart" Target="charts/chart27.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_rels/chart27.xml.rels><?xml version="1.0" encoding="UTF-8" standalone="yes"?><Relationships xmlns="http://schemas.openxmlformats.org/package/2006/relationships"><Relationship Id="rId1" Type="http://schemas.openxmlformats.org/officeDocument/2006/relationships/package" Target="../embeddings/Hoja_grafico27.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1.356,50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Hoja1!$A$2:$A$10</c:f>
              <c:strCache>
                <c:ptCount val="9"/>
                <c:pt idx="0">
                  <c:v>Cotización 52 semanas (1.255,00 – 2.300,00)</c:v>
                </c:pt>
                <c:pt idx="1">
                  <c:v>Precio objetivo de los analistas (1.168,00 – 1.920,00)</c:v>
                </c:pt>
                <c:pt idx="2">
                  <c:v>Comparables: EV/EBITDA NTM (697,98 – 1.108,51)</c:v>
                </c:pt>
                <c:pt idx="3">
                  <c:v>Comparables: PER NTM (789,75 – 1.289,53)</c:v>
                </c:pt>
                <c:pt idx="4">
                  <c:v>Transacciones precedentes (EV/ventas) (613,98 – 875,27)</c:v>
                </c:pt>
                <c:pt idx="5">
                  <c:v>DCF (WACC y g ± 0,5) (853,50 – 1.059,14)</c:v>
                </c:pt>
                <c:pt idx="6">
                  <c:v>Escenarios (bajista – alcista) (700,08 – 1.143,77)</c:v>
                </c:pt>
                <c:pt idx="7">
                  <c:v>DCF con la prima implícita del mercado (4,2 %)</c:v>
                </c:pt>
                <c:pt idx="8">
                  <c:v>Precio actual (1.356,50)</c:v>
                </c:pt>
              </c:strCache>
            </c:strRef>
          </c:cat>
          <c:val>
            <c:numRef>
              <c:f>Hoja1!$B$2:$B$10</c:f>
              <c:numCache>
                <c:formatCode>#,##0</c:formatCode>
                <c:ptCount val="9"/>
                <c:pt idx="0">
                  <c:v>1255</c:v>
                </c:pt>
                <c:pt idx="1">
                  <c:v>1168</c:v>
                </c:pt>
                <c:pt idx="2">
                  <c:v>697.98</c:v>
                </c:pt>
                <c:pt idx="3">
                  <c:v>789.75</c:v>
                </c:pt>
                <c:pt idx="4">
                  <c:v>613.98</c:v>
                </c:pt>
                <c:pt idx="5">
                  <c:v>853.5</c:v>
                </c:pt>
                <c:pt idx="6">
                  <c:v>700.08</c:v>
                </c:pt>
                <c:pt idx="7">
                  <c:v>1095.15</c:v>
                </c:pt>
                <c:pt idx="8">
                  <c:v>1349.72</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8"/>
            <c:invertIfNegative val="0"/>
            <c:bubble3D val="0"/>
            <c:spPr>
              <a:solidFill>
                <a:srgbClr val="C9C8C2"/>
              </a:solidFill>
            </c:spPr>
          </c:dPt>
          <c:cat>
            <c:strRef>
              <c:f>Hoja1!$A$2:$A$10</c:f>
              <c:strCache>
                <c:ptCount val="9"/>
                <c:pt idx="0">
                  <c:v>Cotización 52 semanas (1.255,00 – 2.300,00)</c:v>
                </c:pt>
                <c:pt idx="1">
                  <c:v>Precio objetivo de los analistas (1.168,00 – 1.920,00)</c:v>
                </c:pt>
                <c:pt idx="2">
                  <c:v>Comparables: EV/EBITDA NTM (697,98 – 1.108,51)</c:v>
                </c:pt>
                <c:pt idx="3">
                  <c:v>Comparables: PER NTM (789,75 – 1.289,53)</c:v>
                </c:pt>
                <c:pt idx="4">
                  <c:v>Transacciones precedentes (EV/ventas) (613,98 – 875,27)</c:v>
                </c:pt>
                <c:pt idx="5">
                  <c:v>DCF (WACC y g ± 0,5) (853,50 – 1.059,14)</c:v>
                </c:pt>
                <c:pt idx="6">
                  <c:v>Escenarios (bajista – alcista) (700,08 – 1.143,77)</c:v>
                </c:pt>
                <c:pt idx="7">
                  <c:v>DCF con la prima implícita del mercado (4,2 %)</c:v>
                </c:pt>
                <c:pt idx="8">
                  <c:v>Precio actual (1.356,50)</c:v>
                </c:pt>
              </c:strCache>
            </c:strRef>
          </c:cat>
          <c:val>
            <c:numRef>
              <c:f>Hoja1!$C$2:$C$10</c:f>
              <c:numCache>
                <c:formatCode>#,##0</c:formatCode>
                <c:ptCount val="9"/>
                <c:pt idx="0">
                  <c:v>1045</c:v>
                </c:pt>
                <c:pt idx="1">
                  <c:v>752</c:v>
                </c:pt>
                <c:pt idx="2">
                  <c:v>410.53</c:v>
                </c:pt>
                <c:pt idx="3">
                  <c:v>499.78</c:v>
                </c:pt>
                <c:pt idx="4">
                  <c:v>261.28999999999996</c:v>
                </c:pt>
                <c:pt idx="5">
                  <c:v>205.6400000000001</c:v>
                </c:pt>
                <c:pt idx="6">
                  <c:v>443.68999999999994</c:v>
                </c:pt>
                <c:pt idx="7">
                  <c:v>211.03999999999996</c:v>
                </c:pt>
                <c:pt idx="8">
                  <c:v>13.559999999999945</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40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(EUR, millones)</a:t>
            </a:r>
          </a:p>
        </c:rich>
      </c:tx>
      <c:overlay val="0"/>
    </c:title>
    <c:autoTitleDeleted val="0"/>
    <c:plotArea>
      <c:layout/>
      <c:barChart>
        <c:barDir val="col"/>
        <c:grouping val="stacked"/>
        <c:varyColors val="0"/>
        <c:ser>
          <c:idx val="0"/>
          <c:order val="0"/>
          <c:tx>
            <c:strRef>
              <c:f>Hoja1!$B$1</c:f>
              <c:strCache>
                <c:ptCount val="1"/>
                <c:pt idx="0">
                  <c:v>Francia</c:v>
                </c:pt>
              </c:strCache>
            </c:strRef>
          </c:tx>
          <c:spPr>
            <a:solidFill>
              <a:srgbClr val="2A78D6"/>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838</c:v>
                </c:pt>
                <c:pt idx="1">
                  <c:v>1064</c:v>
                </c:pt>
                <c:pt idx="2">
                  <c:v>1274</c:v>
                </c:pt>
                <c:pt idx="3">
                  <c:v>1447</c:v>
                </c:pt>
                <c:pt idx="4">
                  <c:v>1575</c:v>
                </c:pt>
              </c:numCache>
            </c:numRef>
          </c:val>
        </c:ser>
        <c:ser>
          <c:idx val="1"/>
          <c:order val="1"/>
          <c:tx>
            <c:strRef>
              <c:f>Hoja1!$C$1</c:f>
              <c:strCache>
                <c:ptCount val="1"/>
                <c:pt idx="0">
                  <c:v>Europa (sin Francia)</c:v>
                </c:pt>
              </c:strCache>
            </c:strRef>
          </c:tx>
          <c:spPr>
            <a:solidFill>
              <a:srgbClr val="EB683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1303</c:v>
                </c:pt>
                <c:pt idx="1">
                  <c:v>1536</c:v>
                </c:pt>
                <c:pt idx="2">
                  <c:v>1818</c:v>
                </c:pt>
                <c:pt idx="3">
                  <c:v>2147</c:v>
                </c:pt>
                <c:pt idx="4">
                  <c:v>2362</c:v>
                </c:pt>
              </c:numCache>
            </c:numRef>
          </c:val>
        </c:ser>
        <c:ser>
          <c:idx val="2"/>
          <c:order val="2"/>
          <c:tx>
            <c:strRef>
              <c:f>Hoja1!$D$1</c:f>
              <c:strCache>
                <c:ptCount val="1"/>
                <c:pt idx="0">
                  <c:v>Japón</c:v>
                </c:pt>
              </c:strCache>
            </c:strRef>
          </c:tx>
          <c:spPr>
            <a:solidFill>
              <a:srgbClr val="1BAF7A"/>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Hoja1!$D$2:$D$6</c:f>
              <c:numCache>
                <c:formatCode>#,##0</c:formatCode>
                <c:ptCount val="5"/>
                <c:pt idx="0">
                  <c:v>977</c:v>
                </c:pt>
                <c:pt idx="1">
                  <c:v>1101</c:v>
                </c:pt>
                <c:pt idx="2">
                  <c:v>1260</c:v>
                </c:pt>
                <c:pt idx="3">
                  <c:v>1437</c:v>
                </c:pt>
                <c:pt idx="4">
                  <c:v>1591</c:v>
                </c:pt>
              </c:numCache>
            </c:numRef>
          </c:val>
        </c:ser>
        <c:ser>
          <c:idx val="3"/>
          <c:order val="3"/>
          <c:tx>
            <c:strRef>
              <c:f>Hoja1!$E$1</c:f>
              <c:strCache>
                <c:ptCount val="1"/>
                <c:pt idx="0">
                  <c:v>Asia-Pacífico (sin Japón)</c:v>
                </c:pt>
              </c:strCache>
            </c:strRef>
          </c:tx>
          <c:spPr>
            <a:solidFill>
              <a:srgbClr val="EDA100"/>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Hoja1!$E$2:$E$6</c:f>
              <c:numCache>
                <c:formatCode>#,##0</c:formatCode>
                <c:ptCount val="5"/>
                <c:pt idx="0">
                  <c:v>4251</c:v>
                </c:pt>
                <c:pt idx="1">
                  <c:v>5556</c:v>
                </c:pt>
                <c:pt idx="2">
                  <c:v>6273</c:v>
                </c:pt>
                <c:pt idx="3">
                  <c:v>6648</c:v>
                </c:pt>
                <c:pt idx="4">
                  <c:v>6702</c:v>
                </c:pt>
              </c:numCache>
            </c:numRef>
          </c:val>
        </c:ser>
        <c:ser>
          <c:idx val="4"/>
          <c:order val="4"/>
          <c:tx>
            <c:strRef>
              <c:f>Hoja1!$F$1</c:f>
              <c:strCache>
                <c:ptCount val="1"/>
                <c:pt idx="0">
                  <c:v>Américas</c:v>
                </c:pt>
              </c:strCache>
            </c:strRef>
          </c:tx>
          <c:spPr>
            <a:solidFill>
              <a:srgbClr val="E87BA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Hoja1!$F$2:$F$6</c:f>
              <c:numCache>
                <c:formatCode>#,##0</c:formatCode>
                <c:ptCount val="5"/>
                <c:pt idx="0">
                  <c:v>1458</c:v>
                </c:pt>
                <c:pt idx="1">
                  <c:v>2138</c:v>
                </c:pt>
                <c:pt idx="2">
                  <c:v>2502</c:v>
                </c:pt>
                <c:pt idx="3">
                  <c:v>2865</c:v>
                </c:pt>
                <c:pt idx="4">
                  <c:v>3075</c:v>
                </c:pt>
              </c:numCache>
            </c:numRef>
          </c:val>
        </c:ser>
        <c:ser>
          <c:idx val="5"/>
          <c:order val="5"/>
          <c:tx>
            <c:strRef>
              <c:f>Hoja1!$G$1</c:f>
              <c:strCache>
                <c:ptCount val="1"/>
                <c:pt idx="0">
                  <c:v>Otros (Oriente Medio)</c:v>
                </c:pt>
              </c:strCache>
            </c:strRef>
          </c:tx>
          <c:spPr>
            <a:solidFill>
              <a:srgbClr val="008300"/>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Hoja1!$G$2:$G$6</c:f>
              <c:numCache>
                <c:formatCode>#,##0</c:formatCode>
                <c:ptCount val="5"/>
                <c:pt idx="0">
                  <c:v>155</c:v>
                </c:pt>
                <c:pt idx="1">
                  <c:v>207</c:v>
                </c:pt>
                <c:pt idx="2">
                  <c:v>299</c:v>
                </c:pt>
                <c:pt idx="3">
                  <c:v>627</c:v>
                </c:pt>
                <c:pt idx="4">
                  <c:v>697</c:v>
                </c:pt>
              </c:numCache>
            </c:numRef>
          </c:val>
        </c:ser>
        <c:ser>
          <c:idx val="6"/>
          <c:order val="6"/>
          <c:tx>
            <c:strRef>
              <c:f>Hoja1!$H$1</c:f>
              <c:strCache>
                <c:ptCount val="1"/>
                <c:pt idx="0">
                  <c:v>No asignado</c:v>
                </c:pt>
              </c:strCache>
            </c:strRef>
          </c:tx>
          <c:spPr>
            <a:solidFill>
              <a:srgbClr val="4A3AA7"/>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Hoja1!$H$2:$H$6</c:f>
              <c:numCache>
                <c:formatCode>#,##0</c:formatCode>
                <c:ptCount val="5"/>
                <c:pt idx="3">
                  <c:v>0</c:v>
                </c:pt>
                <c:pt idx="4">
                  <c:v>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Pt>
            <c:idx val="3"/>
            <c:bubble3D val="0"/>
            <c:spPr>
              <a:solidFill>
                <a:srgbClr val="EDA100"/>
              </a:solidFill>
              <a:ln w="19050">
                <a:solidFill>
                  <a:srgbClr val="FFFFFF"/>
                </a:solidFill>
              </a:ln>
            </c:spPr>
          </c:dPt>
          <c:dPt>
            <c:idx val="4"/>
            <c:bubble3D val="0"/>
            <c:spPr>
              <a:solidFill>
                <a:srgbClr val="E87BA4"/>
              </a:solidFill>
              <a:ln w="19050">
                <a:solidFill>
                  <a:srgbClr val="FFFFFF"/>
                </a:solidFill>
              </a:ln>
            </c:spPr>
          </c:dPt>
          <c:dPt>
            <c:idx val="5"/>
            <c:bubble3D val="0"/>
            <c:spPr>
              <a:solidFill>
                <a:srgbClr val="008300"/>
              </a:solidFill>
              <a:ln w="19050">
                <a:solidFill>
                  <a:srgbClr val="FFFFFF"/>
                </a:solidFill>
              </a:ln>
            </c:spPr>
          </c:dPt>
          <c:dPt>
            <c:idx val="6"/>
            <c:bubble3D val="0"/>
            <c:spPr>
              <a:solidFill>
                <a:srgbClr val="4A3AA7"/>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Hoja1!$A$2:$A$8</c:f>
              <c:strCache>
                <c:ptCount val="7"/>
                <c:pt idx="0">
                  <c:v>Francia</c:v>
                </c:pt>
                <c:pt idx="1">
                  <c:v>Europa (sin Francia)</c:v>
                </c:pt>
                <c:pt idx="2">
                  <c:v>Japón</c:v>
                </c:pt>
                <c:pt idx="3">
                  <c:v>Asia-Pacífico (sin Japón)</c:v>
                </c:pt>
                <c:pt idx="4">
                  <c:v>Américas</c:v>
                </c:pt>
                <c:pt idx="5">
                  <c:v>Otros (Oriente Medio)</c:v>
                </c:pt>
                <c:pt idx="6">
                  <c:v>No asignado</c:v>
                </c:pt>
              </c:strCache>
            </c:strRef>
          </c:cat>
          <c:val>
            <c:numRef>
              <c:f>Hoja1!$B$2:$B$8</c:f>
              <c:numCache>
                <c:formatCode>General</c:formatCode>
                <c:ptCount val="7"/>
                <c:pt idx="0">
                  <c:v>9.8</c:v>
                </c:pt>
                <c:pt idx="1">
                  <c:v>14.8</c:v>
                </c:pt>
                <c:pt idx="2">
                  <c:v>9.9</c:v>
                </c:pt>
                <c:pt idx="3">
                  <c:v>41.9</c:v>
                </c:pt>
                <c:pt idx="4">
                  <c:v>19.2</c:v>
                </c:pt>
                <c:pt idx="5">
                  <c:v>4.4</c:v>
                </c:pt>
                <c:pt idx="6">
                  <c:v>0</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destino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Asia-Pacífico (sin Japón)</c:v>
                </c:pt>
                <c:pt idx="1">
                  <c:v>Américas</c:v>
                </c:pt>
                <c:pt idx="2">
                  <c:v>Europa (sin Francia)</c:v>
                </c:pt>
                <c:pt idx="3">
                  <c:v>Japón</c:v>
                </c:pt>
                <c:pt idx="4">
                  <c:v>Francia</c:v>
                </c:pt>
                <c:pt idx="5">
                  <c:v>Otros (Oriente Medio)</c:v>
                </c:pt>
              </c:strCache>
            </c:strRef>
          </c:cat>
          <c:val>
            <c:numRef>
              <c:f>Hoja1!$B$2:$B$7</c:f>
              <c:numCache>
                <c:formatCode>0"%"</c:formatCode>
                <c:ptCount val="6"/>
                <c:pt idx="0">
                  <c:v>41.9</c:v>
                </c:pt>
                <c:pt idx="1">
                  <c:v>19.2</c:v>
                </c:pt>
                <c:pt idx="2">
                  <c:v>14.8</c:v>
                </c:pt>
                <c:pt idx="3">
                  <c:v>9.9</c:v>
                </c:pt>
                <c:pt idx="4">
                  <c:v>9.8</c:v>
                </c:pt>
                <c:pt idx="5">
                  <c:v>4.4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EUR)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2019</c:v>
                </c:pt>
                <c:pt idx="1">
                  <c:v>2020</c:v>
                </c:pt>
                <c:pt idx="2">
                  <c:v>2021</c:v>
                </c:pt>
                <c:pt idx="3">
                  <c:v>2022</c:v>
                </c:pt>
                <c:pt idx="4">
                  <c:v>2023</c:v>
                </c:pt>
                <c:pt idx="5">
                  <c:v>2024</c:v>
                </c:pt>
                <c:pt idx="6">
                  <c:v>2025</c:v>
                </c:pt>
                <c:pt idx="7">
                  <c:v>2026e</c:v>
                </c:pt>
              </c:strCache>
            </c:strRef>
          </c:cat>
          <c:val>
            <c:numRef>
              <c:f>Hoja1!$B$2:$B$9</c:f>
              <c:numCache>
                <c:formatCode>#,##0</c:formatCode>
                <c:ptCount val="8"/>
                <c:pt idx="0">
                  <c:v>284000</c:v>
                </c:pt>
                <c:pt idx="1">
                  <c:v>223000</c:v>
                </c:pt>
                <c:pt idx="2">
                  <c:v>293000</c:v>
                </c:pt>
                <c:pt idx="3">
                  <c:v>354000</c:v>
                </c:pt>
                <c:pt idx="4">
                  <c:v>369000</c:v>
                </c:pt>
                <c:pt idx="5">
                  <c:v>364000</c:v>
                </c:pt>
                <c:pt idx="6">
                  <c:v>358000</c:v>
                </c:pt>
                <c:pt idx="7">
                  <c:v>369000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3</c:v>
                </c:pt>
                <c:pt idx="1">
                  <c:v>1</c:v>
                </c:pt>
                <c:pt idx="2">
                  <c:v>2</c:v>
                </c:pt>
                <c:pt idx="3">
                  <c:v>1</c:v>
                </c:pt>
                <c:pt idx="4">
                  <c:v>2</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Hermès</c:v>
                </c:pt>
                <c:pt idx="1">
                  <c:v>LVMH (Moda y Marroquinería)</c:v>
                </c:pt>
                <c:pt idx="2">
                  <c:v>Compagnie Financière Richemont</c:v>
                </c:pt>
                <c:pt idx="3">
                  <c:v>Chanel</c:v>
                </c:pt>
                <c:pt idx="4">
                  <c:v>Kering</c:v>
                </c:pt>
                <c:pt idx="5">
                  <c:v>Prada</c:v>
                </c:pt>
                <c:pt idx="6">
                  <c:v>Moncler</c:v>
                </c:pt>
              </c:strCache>
            </c:strRef>
          </c:cat>
          <c:val>
            <c:numRef>
              <c:f>Hoja1!$B$2:$B$8</c:f>
              <c:numCache>
                <c:formatCode>0.0"%"</c:formatCode>
                <c:ptCount val="7"/>
                <c:pt idx="0">
                  <c:v>41.1</c:v>
                </c:pt>
                <c:pt idx="1">
                  <c:v>35</c:v>
                </c:pt>
                <c:pt idx="2">
                  <c:v>20</c:v>
                </c:pt>
                <c:pt idx="3">
                  <c:v>24.4</c:v>
                </c:pt>
                <c:pt idx="4">
                  <c:v>11.1</c:v>
                </c:pt>
                <c:pt idx="5">
                  <c:v>22.7</c:v>
                </c:pt>
                <c:pt idx="6">
                  <c:v>29.2</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1</c:v>
                </c:pt>
                <c:pt idx="1">
                  <c:v>2</c:v>
                </c:pt>
                <c:pt idx="2">
                  <c:v>5</c:v>
                </c:pt>
                <c:pt idx="3">
                  <c:v>3</c:v>
                </c:pt>
                <c:pt idx="4">
                  <c:v>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(EUR,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Hoja1!$A$2:$A$17</c:f>
              <c:strCache>
                <c:ptCount val="16"/>
                <c:pt idx="0">
                  <c:v>2020</c:v>
                </c:pt>
                <c:pt idx="1">
                  <c:v>2021</c:v>
                </c:pt>
                <c:pt idx="2">
                  <c:v>2022</c:v>
                </c:pt>
                <c:pt idx="3">
                  <c:v>2023</c:v>
                </c:pt>
                <c:pt idx="4">
                  <c:v>2024</c:v>
                </c:pt>
                <c:pt idx="5">
                  <c:v>2025</c:v>
                </c:pt>
                <c:pt idx="6">
                  <c:v>2026e</c:v>
                </c:pt>
                <c:pt idx="7">
                  <c:v>2027e</c:v>
                </c:pt>
                <c:pt idx="8">
                  <c:v>2028e</c:v>
                </c:pt>
                <c:pt idx="9">
                  <c:v>2029e</c:v>
                </c:pt>
                <c:pt idx="10">
                  <c:v>2030e</c:v>
                </c:pt>
                <c:pt idx="11">
                  <c:v>2031e</c:v>
                </c:pt>
                <c:pt idx="12">
                  <c:v>2032e</c:v>
                </c:pt>
                <c:pt idx="13">
                  <c:v>2033e</c:v>
                </c:pt>
                <c:pt idx="14">
                  <c:v>2034e</c:v>
                </c:pt>
                <c:pt idx="15">
                  <c:v>2035e</c:v>
                </c:pt>
              </c:strCache>
            </c:strRef>
          </c:cat>
          <c:val>
            <c:numRef>
              <c:f>Hoja1!$B$2:$B$17</c:f>
              <c:numCache>
                <c:formatCode>#,##0</c:formatCode>
                <c:ptCount val="16"/>
                <c:pt idx="0">
                  <c:v>6389</c:v>
                </c:pt>
                <c:pt idx="1">
                  <c:v>8982</c:v>
                </c:pt>
                <c:pt idx="2">
                  <c:v>11602</c:v>
                </c:pt>
                <c:pt idx="3">
                  <c:v>13427</c:v>
                </c:pt>
                <c:pt idx="4">
                  <c:v>15170</c:v>
                </c:pt>
                <c:pt idx="5">
                  <c:v>16002</c:v>
                </c:pt>
                <c:pt idx="6">
                  <c:v>16482</c:v>
                </c:pt>
                <c:pt idx="7">
                  <c:v>17636</c:v>
                </c:pt>
                <c:pt idx="8">
                  <c:v>18958</c:v>
                </c:pt>
                <c:pt idx="9">
                  <c:v>20380</c:v>
                </c:pt>
                <c:pt idx="10">
                  <c:v>21909</c:v>
                </c:pt>
                <c:pt idx="11">
                  <c:v>23443</c:v>
                </c:pt>
                <c:pt idx="12">
                  <c:v>24966</c:v>
                </c:pt>
                <c:pt idx="13">
                  <c:v>26464</c:v>
                </c:pt>
                <c:pt idx="14">
                  <c:v>27920</c:v>
                </c:pt>
                <c:pt idx="15">
                  <c:v>29316</c:v>
                </c:pt>
              </c:numCache>
            </c:numRef>
          </c:val>
        </c:ser>
        <c:ser>
          <c:idx val="1"/>
          <c:order val="1"/>
          <c:tx>
            <c:strRef>
              <c:f>Hoja1!$C$1</c:f>
              <c:strCache>
                <c:ptCount val="1"/>
                <c:pt idx="0">
                  <c:v>EBITDA</c:v>
                </c:pt>
              </c:strCache>
            </c:strRef>
          </c:tx>
          <c:spPr>
            <a:solidFill>
              <a:srgbClr val="EB6834"/>
            </a:solidFill>
            <a:ln w="9525">
              <a:noFill/>
            </a:ln>
          </c:spPr>
          <c:invertIfNegative val="0"/>
          <c:cat>
            <c:strRef>
              <c:f>Hoja1!$A$2:$A$17</c:f>
              <c:strCache>
                <c:ptCount val="16"/>
                <c:pt idx="0">
                  <c:v>2020</c:v>
                </c:pt>
                <c:pt idx="1">
                  <c:v>2021</c:v>
                </c:pt>
                <c:pt idx="2">
                  <c:v>2022</c:v>
                </c:pt>
                <c:pt idx="3">
                  <c:v>2023</c:v>
                </c:pt>
                <c:pt idx="4">
                  <c:v>2024</c:v>
                </c:pt>
                <c:pt idx="5">
                  <c:v>2025</c:v>
                </c:pt>
                <c:pt idx="6">
                  <c:v>2026e</c:v>
                </c:pt>
                <c:pt idx="7">
                  <c:v>2027e</c:v>
                </c:pt>
                <c:pt idx="8">
                  <c:v>2028e</c:v>
                </c:pt>
                <c:pt idx="9">
                  <c:v>2029e</c:v>
                </c:pt>
                <c:pt idx="10">
                  <c:v>2030e</c:v>
                </c:pt>
                <c:pt idx="11">
                  <c:v>2031e</c:v>
                </c:pt>
                <c:pt idx="12">
                  <c:v>2032e</c:v>
                </c:pt>
                <c:pt idx="13">
                  <c:v>2033e</c:v>
                </c:pt>
                <c:pt idx="14">
                  <c:v>2034e</c:v>
                </c:pt>
                <c:pt idx="15">
                  <c:v>2035e</c:v>
                </c:pt>
              </c:strCache>
            </c:strRef>
          </c:cat>
          <c:val>
            <c:numRef>
              <c:f>Hoja1!$C$2:$C$17</c:f>
              <c:numCache>
                <c:formatCode>#,##0</c:formatCode>
                <c:ptCount val="16"/>
                <c:pt idx="0">
                  <c:v>2496</c:v>
                </c:pt>
                <c:pt idx="1">
                  <c:v>4093</c:v>
                </c:pt>
                <c:pt idx="2">
                  <c:v>5357</c:v>
                </c:pt>
                <c:pt idx="3">
                  <c:v>6350</c:v>
                </c:pt>
                <c:pt idx="4">
                  <c:v>6910</c:v>
                </c:pt>
                <c:pt idx="5">
                  <c:v>7368</c:v>
                </c:pt>
                <c:pt idx="6">
                  <c:v>7466</c:v>
                </c:pt>
                <c:pt idx="7">
                  <c:v>8024</c:v>
                </c:pt>
                <c:pt idx="8">
                  <c:v>8683</c:v>
                </c:pt>
                <c:pt idx="9">
                  <c:v>9375</c:v>
                </c:pt>
                <c:pt idx="10">
                  <c:v>10078</c:v>
                </c:pt>
                <c:pt idx="11">
                  <c:v>10784</c:v>
                </c:pt>
                <c:pt idx="12">
                  <c:v>11484</c:v>
                </c:pt>
                <c:pt idx="13">
                  <c:v>12174</c:v>
                </c:pt>
                <c:pt idx="14">
                  <c:v>12843</c:v>
                </c:pt>
                <c:pt idx="15">
                  <c:v>13485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68.5</c:v>
                </c:pt>
                <c:pt idx="1">
                  <c:v>71.3</c:v>
                </c:pt>
                <c:pt idx="2">
                  <c:v>70.8</c:v>
                </c:pt>
                <c:pt idx="3">
                  <c:v>72.3</c:v>
                </c:pt>
                <c:pt idx="4">
                  <c:v>70.3</c:v>
                </c:pt>
                <c:pt idx="5">
                  <c:v>71.1</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39.1</c:v>
                </c:pt>
                <c:pt idx="1">
                  <c:v>45.6</c:v>
                </c:pt>
                <c:pt idx="2">
                  <c:v>46.2</c:v>
                </c:pt>
                <c:pt idx="3">
                  <c:v>47.3</c:v>
                </c:pt>
                <c:pt idx="4">
                  <c:v>45.6</c:v>
                </c:pt>
                <c:pt idx="5">
                  <c:v>46</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Hoja1!$D$2:$D$7</c:f>
              <c:numCache>
                <c:formatCode>0"%"</c:formatCode>
                <c:ptCount val="6"/>
                <c:pt idx="0">
                  <c:v>31</c:v>
                </c:pt>
                <c:pt idx="1">
                  <c:v>39.3</c:v>
                </c:pt>
                <c:pt idx="2">
                  <c:v>40.5</c:v>
                </c:pt>
                <c:pt idx="3">
                  <c:v>42.1</c:v>
                </c:pt>
                <c:pt idx="4">
                  <c:v>40.5</c:v>
                </c:pt>
                <c:pt idx="5">
                  <c:v>41.1</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Hoja1!$E$2:$E$7</c:f>
              <c:numCache>
                <c:formatCode>0"%"</c:formatCode>
                <c:ptCount val="6"/>
                <c:pt idx="0">
                  <c:v>21.7</c:v>
                </c:pt>
                <c:pt idx="1">
                  <c:v>27.2</c:v>
                </c:pt>
                <c:pt idx="2">
                  <c:v>29</c:v>
                </c:pt>
                <c:pt idx="3">
                  <c:v>32.1</c:v>
                </c:pt>
                <c:pt idx="4">
                  <c:v>30.3</c:v>
                </c:pt>
                <c:pt idx="5">
                  <c:v>28.3</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4T24</c:v>
                </c:pt>
                <c:pt idx="1">
                  <c:v>1T25</c:v>
                </c:pt>
                <c:pt idx="2">
                  <c:v>2T25</c:v>
                </c:pt>
                <c:pt idx="3">
                  <c:v>3T25</c:v>
                </c:pt>
                <c:pt idx="4">
                  <c:v>4T25</c:v>
                </c:pt>
                <c:pt idx="5">
                  <c:v>1T26</c:v>
                </c:pt>
                <c:pt idx="6">
                  <c:v>2T26</c:v>
                </c:pt>
                <c:pt idx="7">
                  <c:v>3T26</c:v>
                </c:pt>
              </c:strCache>
            </c:strRef>
          </c:cat>
          <c:val>
            <c:numRef>
              <c:f>Hoja1!$B$2:$B$9</c:f>
              <c:numCache>
                <c:formatCode>0.0"%"</c:formatCode>
                <c:ptCount val="8"/>
                <c:pt idx="0">
                  <c:v>17.7</c:v>
                </c:pt>
                <c:pt idx="1">
                  <c:v>8.5</c:v>
                </c:pt>
                <c:pt idx="2">
                  <c:v>5.6</c:v>
                </c:pt>
                <c:pt idx="3">
                  <c:v>4.8</c:v>
                </c:pt>
                <c:pt idx="4">
                  <c:v>3.1</c:v>
                </c:pt>
                <c:pt idx="5">
                  <c:v>-1.4</c:v>
                </c:pt>
                <c:pt idx="6">
                  <c:v>4.8</c:v>
                </c:pt>
                <c:pt idx="7">
                  <c:v>5.5</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Hoja1!$A$2:$A$9</c:f>
              <c:strCache>
                <c:ptCount val="8"/>
                <c:pt idx="0">
                  <c:v>4T24</c:v>
                </c:pt>
                <c:pt idx="1">
                  <c:v>1T25</c:v>
                </c:pt>
                <c:pt idx="2">
                  <c:v>2T25</c:v>
                </c:pt>
                <c:pt idx="3">
                  <c:v>3T25</c:v>
                </c:pt>
                <c:pt idx="4">
                  <c:v>4T25</c:v>
                </c:pt>
                <c:pt idx="5">
                  <c:v>1T26</c:v>
                </c:pt>
                <c:pt idx="6">
                  <c:v>2T26</c:v>
                </c:pt>
                <c:pt idx="7">
                  <c:v>3T26</c:v>
                </c:pt>
              </c:strCache>
            </c:strRef>
          </c:cat>
          <c:val>
            <c:numRef>
              <c:f>Hoja1!$C$2:$C$9</c:f>
              <c:numCache>
                <c:formatCode>0.0"%"</c:formatCode>
                <c:ptCount val="8"/>
                <c:pt idx="0">
                  <c:v>17.6</c:v>
                </c:pt>
                <c:pt idx="1">
                  <c:v>7.2</c:v>
                </c:pt>
                <c:pt idx="2">
                  <c:v>9</c:v>
                </c:pt>
                <c:pt idx="3">
                  <c:v>9.6</c:v>
                </c:pt>
                <c:pt idx="4">
                  <c:v>9.8</c:v>
                </c:pt>
                <c:pt idx="5">
                  <c:v>5.6</c:v>
                </c:pt>
                <c:pt idx="6">
                  <c:v>6.7</c:v>
                </c:pt>
                <c:pt idx="7">
                  <c:v>4.3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14</c:v>
                </c:pt>
                <c:pt idx="1">
                  <c:v>14</c:v>
                </c:pt>
                <c:pt idx="2">
                  <c:v>12</c:v>
                </c:pt>
                <c:pt idx="3">
                  <c:v>12</c:v>
                </c:pt>
                <c:pt idx="4">
                  <c:v>12</c:v>
                </c:pt>
                <c:pt idx="5">
                  <c:v>10</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234</c:v>
                </c:pt>
                <c:pt idx="1">
                  <c:v>205</c:v>
                </c:pt>
                <c:pt idx="2">
                  <c:v>192</c:v>
                </c:pt>
                <c:pt idx="3">
                  <c:v>237</c:v>
                </c:pt>
                <c:pt idx="4">
                  <c:v>226</c:v>
                </c:pt>
                <c:pt idx="5">
                  <c:v>203</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Hoja1!$D$2:$D$7</c:f>
              <c:numCache>
                <c:formatCode>0</c:formatCode>
                <c:ptCount val="6"/>
                <c:pt idx="0">
                  <c:v>81</c:v>
                </c:pt>
                <c:pt idx="1">
                  <c:v>76</c:v>
                </c:pt>
                <c:pt idx="2">
                  <c:v>84</c:v>
                </c:pt>
                <c:pt idx="3">
                  <c:v>86</c:v>
                </c:pt>
                <c:pt idx="4">
                  <c:v>67</c:v>
                </c:pt>
                <c:pt idx="5">
                  <c:v>63</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(EUR,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995</c:v>
                </c:pt>
                <c:pt idx="1">
                  <c:v>2661</c:v>
                </c:pt>
                <c:pt idx="2">
                  <c:v>3405</c:v>
                </c:pt>
                <c:pt idx="3">
                  <c:v>3192</c:v>
                </c:pt>
                <c:pt idx="4">
                  <c:v>3767</c:v>
                </c:pt>
                <c:pt idx="5">
                  <c:v>3881</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1385</c:v>
                </c:pt>
                <c:pt idx="1">
                  <c:v>2445</c:v>
                </c:pt>
                <c:pt idx="2">
                  <c:v>3367</c:v>
                </c:pt>
                <c:pt idx="3">
                  <c:v>4311</c:v>
                </c:pt>
                <c:pt idx="4">
                  <c:v>4603</c:v>
                </c:pt>
                <c:pt idx="5">
                  <c:v>4524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33</c:v>
                </c:pt>
                <c:pt idx="1">
                  <c:v>59.9</c:v>
                </c:pt>
                <c:pt idx="2">
                  <c:v>76.8</c:v>
                </c:pt>
                <c:pt idx="3">
                  <c:v>75.9</c:v>
                </c:pt>
                <c:pt idx="4">
                  <c:v>64.7</c:v>
                </c:pt>
                <c:pt idx="5">
                  <c:v>55.1</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9.9</c:v>
                </c:pt>
                <c:pt idx="1">
                  <c:v>9.9</c:v>
                </c:pt>
                <c:pt idx="2">
                  <c:v>9.9</c:v>
                </c:pt>
                <c:pt idx="3">
                  <c:v>9.9</c:v>
                </c:pt>
                <c:pt idx="4">
                  <c:v>9.9</c:v>
                </c:pt>
                <c:pt idx="5">
                  <c:v>9.9</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Hoja1!$D$2:$D$7</c:f>
              <c:numCache>
                <c:formatCode>0"%"</c:formatCode>
                <c:ptCount val="6"/>
                <c:pt idx="0">
                  <c:v>18.8</c:v>
                </c:pt>
                <c:pt idx="1">
                  <c:v>29.1</c:v>
                </c:pt>
                <c:pt idx="2">
                  <c:v>30.8</c:v>
                </c:pt>
                <c:pt idx="3">
                  <c:v>31.2</c:v>
                </c:pt>
                <c:pt idx="4">
                  <c:v>28.3</c:v>
                </c:pt>
                <c:pt idx="5">
                  <c:v>25</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2020</c:v>
                </c:pt>
                <c:pt idx="1">
                  <c:v>2021</c:v>
                </c:pt>
                <c:pt idx="2">
                  <c:v>2022</c:v>
                </c:pt>
                <c:pt idx="3">
                  <c:v>2023</c:v>
                </c:pt>
                <c:pt idx="4">
                  <c:v>2024</c:v>
                </c:pt>
                <c:pt idx="5">
                  <c:v>2025</c:v>
                </c:pt>
              </c:strCache>
            </c:strRef>
          </c:cat>
          <c:val>
            <c:numRef>
              <c:f>Hoja1!$B$2:$B$7</c:f>
              <c:numCache>
                <c:formatCode>0.0"x"</c:formatCode>
                <c:ptCount val="6"/>
                <c:pt idx="0">
                  <c:v>-1.3</c:v>
                </c:pt>
                <c:pt idx="1">
                  <c:v>-1.29</c:v>
                </c:pt>
                <c:pt idx="2">
                  <c:v>-1.46</c:v>
                </c:pt>
                <c:pt idx="3">
                  <c:v>-1.43</c:v>
                </c:pt>
                <c:pt idx="4">
                  <c:v>-1.43</c:v>
                </c:pt>
                <c:pt idx="5">
                  <c:v>-1.42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(EUR,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72</c:v>
                </c:pt>
                <c:pt idx="1">
                  <c:v>0</c:v>
                </c:pt>
                <c:pt idx="2">
                  <c:v>1</c:v>
                </c:pt>
                <c:pt idx="3">
                  <c:v>288</c:v>
                </c:pt>
                <c:pt idx="4">
                  <c:v>229</c:v>
                </c:pt>
                <c:pt idx="5">
                  <c:v>60</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490</c:v>
                </c:pt>
                <c:pt idx="1">
                  <c:v>490</c:v>
                </c:pt>
                <c:pt idx="2">
                  <c:v>852</c:v>
                </c:pt>
                <c:pt idx="3">
                  <c:v>1386</c:v>
                </c:pt>
                <c:pt idx="4">
                  <c:v>2705</c:v>
                </c:pt>
                <c:pt idx="5">
                  <c:v>2796</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Hoja1!$D$2:$D$7</c:f>
              <c:numCache>
                <c:formatCode>#,##0</c:formatCode>
                <c:ptCount val="6"/>
                <c:pt idx="0">
                  <c:v>122</c:v>
                </c:pt>
                <c:pt idx="1">
                  <c:v>158</c:v>
                </c:pt>
                <c:pt idx="2">
                  <c:v>123</c:v>
                </c:pt>
                <c:pt idx="3">
                  <c:v>130</c:v>
                </c:pt>
                <c:pt idx="4">
                  <c:v>37</c:v>
                </c:pt>
                <c:pt idx="5">
                  <c:v>8</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Dominical</c:v>
                </c:pt>
                <c:pt idx="1">
                  <c:v>Independiente</c:v>
                </c:pt>
                <c:pt idx="2">
                  <c:v>Otro externo</c:v>
                </c:pt>
              </c:strCache>
            </c:strRef>
          </c:cat>
          <c:val>
            <c:numRef>
              <c:f>Hoja1!$B$2:$B$4</c:f>
              <c:numCache>
                <c:formatCode>0</c:formatCode>
                <c:ptCount val="3"/>
                <c:pt idx="0">
                  <c:v>8</c:v>
                </c:pt>
                <c:pt idx="1">
                  <c:v>5</c:v>
                </c:pt>
                <c:pt idx="2">
                  <c:v>2</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H51 (holding de la familia Hermès)</c:v>
                </c:pt>
                <c:pt idx="1">
                  <c:v>H2 (holding familiar)</c:v>
                </c:pt>
                <c:pt idx="2">
                  <c:v>Otros miembros de la familia Hermès</c:v>
                </c:pt>
                <c:pt idx="3">
                  <c:v>Capital flotante</c:v>
                </c:pt>
                <c:pt idx="4">
                  <c:v>Autocartera</c:v>
                </c:pt>
              </c:strCache>
            </c:strRef>
          </c:cat>
          <c:val>
            <c:numRef>
              <c:f>Hoja1!$B$2:$B$6</c:f>
              <c:numCache>
                <c:formatCode>0.0"%"</c:formatCode>
                <c:ptCount val="5"/>
                <c:pt idx="0">
                  <c:v>54.3</c:v>
                </c:pt>
                <c:pt idx="1">
                  <c:v>6.6</c:v>
                </c:pt>
                <c:pt idx="2">
                  <c:v>5.7</c:v>
                </c:pt>
                <c:pt idx="3">
                  <c:v>32.6</c:v>
                </c:pt>
                <c:pt idx="4">
                  <c:v>0.7</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25.3</c:v>
                </c:pt>
                <c:pt idx="1">
                  <c:v>15.4</c:v>
                </c:pt>
                <c:pt idx="2">
                  <c:v>10.4</c:v>
                </c:pt>
                <c:pt idx="3">
                  <c:v>38.5</c:v>
                </c:pt>
                <c:pt idx="4">
                  <c:v>32.9</c:v>
                </c:pt>
                <c:pt idx="5">
                  <c:v>75.4</c:v>
                </c:pt>
                <c:pt idx="6">
                  <c:v>-5.3</c:v>
                </c:pt>
                <c:pt idx="7">
                  <c:v>33.7</c:v>
                </c:pt>
                <c:pt idx="8">
                  <c:v>22.4</c:v>
                </c:pt>
                <c:pt idx="9">
                  <c:v>-7.7</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7.4</c:v>
                </c:pt>
                <c:pt idx="1">
                  <c:v>12.7</c:v>
                </c:pt>
                <c:pt idx="2">
                  <c:v>-8.1</c:v>
                </c:pt>
                <c:pt idx="3">
                  <c:v>29.9</c:v>
                </c:pt>
                <c:pt idx="4">
                  <c:v>-4.9</c:v>
                </c:pt>
                <c:pt idx="5">
                  <c:v>31.5</c:v>
                </c:pt>
                <c:pt idx="6">
                  <c:v>-6.6</c:v>
                </c:pt>
                <c:pt idx="7">
                  <c:v>19.7</c:v>
                </c:pt>
                <c:pt idx="8">
                  <c:v>0.8</c:v>
                </c:pt>
                <c:pt idx="9">
                  <c:v>13.8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Hoja1!$B$2:$B$7</c:f>
              <c:numCache>
                <c:formatCode>0.0"x"</c:formatCode>
                <c:ptCount val="6"/>
                <c:pt idx="0">
                  <c:v>35.7</c:v>
                </c:pt>
                <c:pt idx="1">
                  <c:v>38.1</c:v>
                </c:pt>
                <c:pt idx="2">
                  <c:v>26.8</c:v>
                </c:pt>
                <c:pt idx="3">
                  <c:v>30.2</c:v>
                </c:pt>
                <c:pt idx="4">
                  <c:v>33.8</c:v>
                </c:pt>
                <c:pt idx="5">
                  <c:v>28.8</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Hoja1!$C$2:$C$7</c:f>
              <c:numCache>
                <c:formatCode>0.0"x"</c:formatCode>
                <c:ptCount val="6"/>
                <c:pt idx="0">
                  <c:v>30.2</c:v>
                </c:pt>
                <c:pt idx="1">
                  <c:v>30.2</c:v>
                </c:pt>
                <c:pt idx="2">
                  <c:v>30.2</c:v>
                </c:pt>
                <c:pt idx="3">
                  <c:v>30.2</c:v>
                </c:pt>
                <c:pt idx="4">
                  <c:v>30.2</c:v>
                </c:pt>
                <c:pt idx="5">
                  <c:v>30.2</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Hermès</c:v>
                </c:pt>
                <c:pt idx="1">
                  <c:v>LVMH</c:v>
                </c:pt>
                <c:pt idx="2">
                  <c:v>Kering</c:v>
                </c:pt>
                <c:pt idx="3">
                  <c:v>Richemont</c:v>
                </c:pt>
                <c:pt idx="4">
                  <c:v>Prada</c:v>
                </c:pt>
                <c:pt idx="5">
                  <c:v>Brunello Cucinelli</c:v>
                </c:pt>
                <c:pt idx="6">
                  <c:v>Moncler</c:v>
                </c:pt>
                <c:pt idx="7">
                  <c:v>L'Oréal</c:v>
                </c:pt>
              </c:strCache>
            </c:strRef>
          </c:cat>
          <c:val>
            <c:numRef>
              <c:f>Hoja1!$B$2:$B$9</c:f>
              <c:numCache>
                <c:formatCode>0.0"x"</c:formatCode>
                <c:ptCount val="8"/>
                <c:pt idx="0">
                  <c:v>16.7</c:v>
                </c:pt>
                <c:pt idx="1">
                  <c:v>8.7</c:v>
                </c:pt>
                <c:pt idx="2">
                  <c:v>8.5</c:v>
                </c:pt>
                <c:pt idx="3">
                  <c:v>13.4</c:v>
                </c:pt>
                <c:pt idx="4">
                  <c:v>6.6</c:v>
                </c:pt>
                <c:pt idx="5">
                  <c:v>13.4</c:v>
                </c:pt>
                <c:pt idx="6">
                  <c:v>7.3</c:v>
                </c:pt>
                <c:pt idx="7">
                  <c:v>18</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Hermès</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7.3</c:v>
                </c:pt>
              </c:numCache>
            </c:numRef>
          </c:xVal>
          <c:yVal>
            <c:numRef>
              <c:f>Hoja1!$C$2</c:f>
              <c:numCache>
                <c:formatCode>0.0"x"</c:formatCode>
                <c:ptCount val="1"/>
                <c:pt idx="0">
                  <c:v>16.7</c:v>
                </c:pt>
              </c:numCache>
            </c:numRef>
          </c:yVal>
          <c:smooth val="0"/>
        </c:ser>
        <c:ser>
          <c:idx val="1"/>
          <c:order val="1"/>
          <c:tx>
            <c:strRef>
              <c:f>Hoja1!$A$3</c:f>
              <c:strCache>
                <c:ptCount val="1"/>
                <c:pt idx="0">
                  <c:v>LVMH</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1.9</c:v>
                </c:pt>
              </c:numCache>
            </c:numRef>
          </c:xVal>
          <c:yVal>
            <c:numRef>
              <c:f>Hoja1!$C$3</c:f>
              <c:numCache>
                <c:formatCode>0.0"x"</c:formatCode>
                <c:ptCount val="1"/>
                <c:pt idx="0">
                  <c:v>8.7</c:v>
                </c:pt>
              </c:numCache>
            </c:numRef>
          </c:yVal>
          <c:smooth val="0"/>
        </c:ser>
        <c:ser>
          <c:idx val="2"/>
          <c:order val="2"/>
          <c:tx>
            <c:strRef>
              <c:f>Hoja1!$A$4</c:f>
              <c:strCache>
                <c:ptCount val="1"/>
                <c:pt idx="0">
                  <c:v>Kering</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2.3</c:v>
                </c:pt>
              </c:numCache>
            </c:numRef>
          </c:xVal>
          <c:yVal>
            <c:numRef>
              <c:f>Hoja1!$C$4</c:f>
              <c:numCache>
                <c:formatCode>0.0"x"</c:formatCode>
                <c:ptCount val="1"/>
                <c:pt idx="0">
                  <c:v>8.5</c:v>
                </c:pt>
              </c:numCache>
            </c:numRef>
          </c:yVal>
          <c:smooth val="0"/>
        </c:ser>
        <c:ser>
          <c:idx val="3"/>
          <c:order val="3"/>
          <c:tx>
            <c:strRef>
              <c:f>Hoja1!$A$5</c:f>
              <c:strCache>
                <c:ptCount val="1"/>
                <c:pt idx="0">
                  <c:v>Richemont</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10.8</c:v>
                </c:pt>
              </c:numCache>
            </c:numRef>
          </c:xVal>
          <c:yVal>
            <c:numRef>
              <c:f>Hoja1!$C$5</c:f>
              <c:numCache>
                <c:formatCode>0.0"x"</c:formatCode>
                <c:ptCount val="1"/>
                <c:pt idx="0">
                  <c:v>13.4</c:v>
                </c:pt>
              </c:numCache>
            </c:numRef>
          </c:yVal>
          <c:smooth val="0"/>
        </c:ser>
        <c:ser>
          <c:idx val="4"/>
          <c:order val="4"/>
          <c:tx>
            <c:strRef>
              <c:f>Hoja1!$A$6</c:f>
              <c:strCache>
                <c:ptCount val="1"/>
                <c:pt idx="0">
                  <c:v>Prada</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8.7</c:v>
                </c:pt>
              </c:numCache>
            </c:numRef>
          </c:xVal>
          <c:yVal>
            <c:numRef>
              <c:f>Hoja1!$C$6</c:f>
              <c:numCache>
                <c:formatCode>0.0"x"</c:formatCode>
                <c:ptCount val="1"/>
                <c:pt idx="0">
                  <c:v>6.6</c:v>
                </c:pt>
              </c:numCache>
            </c:numRef>
          </c:yVal>
          <c:smooth val="0"/>
        </c:ser>
        <c:ser>
          <c:idx val="5"/>
          <c:order val="5"/>
          <c:tx>
            <c:strRef>
              <c:f>Hoja1!$A$7</c:f>
              <c:strCache>
                <c:ptCount val="1"/>
                <c:pt idx="0">
                  <c:v>Brunello Cucinelli</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10.5</c:v>
                </c:pt>
              </c:numCache>
            </c:numRef>
          </c:xVal>
          <c:yVal>
            <c:numRef>
              <c:f>Hoja1!$C$7</c:f>
              <c:numCache>
                <c:formatCode>0.0"x"</c:formatCode>
                <c:ptCount val="1"/>
                <c:pt idx="0">
                  <c:v>13.4</c:v>
                </c:pt>
              </c:numCache>
            </c:numRef>
          </c:yVal>
          <c:smooth val="0"/>
        </c:ser>
        <c:ser>
          <c:idx val="6"/>
          <c:order val="6"/>
          <c:tx>
            <c:strRef>
              <c:f>Hoja1!$A$8</c:f>
              <c:strCache>
                <c:ptCount val="1"/>
                <c:pt idx="0">
                  <c:v>Moncler</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Hoja1!$B$8</c:f>
              <c:numCache>
                <c:formatCode>0"%"</c:formatCode>
                <c:ptCount val="1"/>
                <c:pt idx="0">
                  <c:v>5</c:v>
                </c:pt>
              </c:numCache>
            </c:numRef>
          </c:xVal>
          <c:yVal>
            <c:numRef>
              <c:f>Hoja1!$C$8</c:f>
              <c:numCache>
                <c:formatCode>0.0"x"</c:formatCode>
                <c:ptCount val="1"/>
                <c:pt idx="0">
                  <c:v>7.3</c:v>
                </c:pt>
              </c:numCache>
            </c:numRef>
          </c:yVal>
          <c:smooth val="0"/>
        </c:ser>
        <c:ser>
          <c:idx val="7"/>
          <c:order val="7"/>
          <c:tx>
            <c:strRef>
              <c:f>Hoja1!$A$9</c:f>
              <c:strCache>
                <c:ptCount val="1"/>
                <c:pt idx="0">
                  <c:v>L'Oréal</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Hoja1!$B$9</c:f>
              <c:numCache>
                <c:formatCode>0"%"</c:formatCode>
                <c:ptCount val="1"/>
                <c:pt idx="0">
                  <c:v>6.6</c:v>
                </c:pt>
              </c:numCache>
            </c:numRef>
          </c:xVal>
          <c:yVal>
            <c:numRef>
              <c:f>Hoja1!$C$9</c:f>
              <c:numCache>
                <c:formatCode>0.0"x"</c:formatCode>
                <c:ptCount val="1"/>
                <c:pt idx="0">
                  <c:v>18</c:v>
                </c:pt>
              </c:numCache>
            </c:numRef>
          </c:yVal>
          <c:smooth val="0"/>
        </c:ser>
        <c:axId val="10"/>
        <c:axId val="20"/>
      </c:scatterChart>
      <c:valAx>
        <c:axId val="10"/>
        <c:scaling>
          <c:orientation val="minMax"/>
          <c:max val="14"/>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min val="4"/>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Tiffany &amp; Co.</c:v>
                </c:pt>
                <c:pt idx="1">
                  <c:v>Belmond</c:v>
                </c:pt>
                <c:pt idx="2">
                  <c:v>Stone Island</c:v>
                </c:pt>
                <c:pt idx="3">
                  <c:v>Capri Holdings</c:v>
                </c:pt>
                <c:pt idx="4">
                  <c:v>Versace</c:v>
                </c:pt>
                <c:pt idx="5">
                  <c:v>Kering Beauté (Creed) y licencias de belleza de Gucci, Bottega Veneta y Balenciaga</c:v>
                </c:pt>
                <c:pt idx="6">
                  <c:v>Marca TOM FORD</c:v>
                </c:pt>
              </c:strCache>
            </c:strRef>
          </c:cat>
          <c:val>
            <c:numRef>
              <c:f>Hoja1!$B$2:$B$8</c:f>
              <c:numCache>
                <c:formatCode>0.0"x"</c:formatCode>
                <c:ptCount val="7"/>
                <c:pt idx="1">
                  <c:v>22.9</c:v>
                </c:pt>
                <c:pt idx="2">
                  <c:v>17.1</c:v>
                </c:pt>
                <c:pt idx="3">
                  <c:v>9</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(EUR,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2026e</c:v>
                </c:pt>
                <c:pt idx="1">
                  <c:v>2027e</c:v>
                </c:pt>
                <c:pt idx="2">
                  <c:v>2028e</c:v>
                </c:pt>
                <c:pt idx="3">
                  <c:v>2029e</c:v>
                </c:pt>
                <c:pt idx="4">
                  <c:v>2030e</c:v>
                </c:pt>
                <c:pt idx="5">
                  <c:v>2031e</c:v>
                </c:pt>
                <c:pt idx="6">
                  <c:v>2032e</c:v>
                </c:pt>
                <c:pt idx="7">
                  <c:v>2033e</c:v>
                </c:pt>
                <c:pt idx="8">
                  <c:v>2034e</c:v>
                </c:pt>
                <c:pt idx="9">
                  <c:v>2035e</c:v>
                </c:pt>
              </c:strCache>
            </c:strRef>
          </c:cat>
          <c:val>
            <c:numRef>
              <c:f>Hoja1!$B$2:$B$11</c:f>
              <c:numCache>
                <c:formatCode>#,##0</c:formatCode>
                <c:ptCount val="10"/>
                <c:pt idx="0">
                  <c:v>3706</c:v>
                </c:pt>
                <c:pt idx="1">
                  <c:v>4333</c:v>
                </c:pt>
                <c:pt idx="2">
                  <c:v>4750</c:v>
                </c:pt>
                <c:pt idx="3">
                  <c:v>5216</c:v>
                </c:pt>
                <c:pt idx="4">
                  <c:v>5702</c:v>
                </c:pt>
                <c:pt idx="5">
                  <c:v>6209</c:v>
                </c:pt>
                <c:pt idx="6">
                  <c:v>6735</c:v>
                </c:pt>
                <c:pt idx="7">
                  <c:v>7261</c:v>
                </c:pt>
                <c:pt idx="8">
                  <c:v>7769</c:v>
                </c:pt>
                <c:pt idx="9">
                  <c:v>8264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(EUR,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35999</c:v>
                </c:pt>
                <c:pt idx="1">
                  <c:v>51477</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(EUR) · precio actual 1.356,50</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700.08</c:v>
                </c:pt>
                <c:pt idx="1">
                  <c:v>941.81</c:v>
                </c:pt>
                <c:pt idx="2">
                  <c:v>1143.77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1.356,50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Hoja1!$A$2:$A$10</c:f>
              <c:strCache>
                <c:ptCount val="9"/>
                <c:pt idx="0">
                  <c:v>Cotización 52 semanas (1.255,00 – 2.300,00)</c:v>
                </c:pt>
                <c:pt idx="1">
                  <c:v>Precio objetivo de los analistas (1.168,00 – 1.920,00)</c:v>
                </c:pt>
                <c:pt idx="2">
                  <c:v>Comparables: EV/EBITDA NTM (697,98 – 1.108,51)</c:v>
                </c:pt>
                <c:pt idx="3">
                  <c:v>Comparables: PER NTM (789,75 – 1.289,53)</c:v>
                </c:pt>
                <c:pt idx="4">
                  <c:v>Transacciones precedentes (EV/ventas) (613,98 – 875,27)</c:v>
                </c:pt>
                <c:pt idx="5">
                  <c:v>DCF (WACC y g ± 0,5) (853,50 – 1.059,14)</c:v>
                </c:pt>
                <c:pt idx="6">
                  <c:v>Escenarios (bajista – alcista) (700,08 – 1.143,77)</c:v>
                </c:pt>
                <c:pt idx="7">
                  <c:v>DCF con la prima implícita del mercado (4,2 %)</c:v>
                </c:pt>
                <c:pt idx="8">
                  <c:v>Precio actual (1.356,50)</c:v>
                </c:pt>
              </c:strCache>
            </c:strRef>
          </c:cat>
          <c:val>
            <c:numRef>
              <c:f>Hoja1!$B$2:$B$10</c:f>
              <c:numCache>
                <c:formatCode>#,##0</c:formatCode>
                <c:ptCount val="9"/>
                <c:pt idx="0">
                  <c:v>1255</c:v>
                </c:pt>
                <c:pt idx="1">
                  <c:v>1168</c:v>
                </c:pt>
                <c:pt idx="2">
                  <c:v>697.98</c:v>
                </c:pt>
                <c:pt idx="3">
                  <c:v>789.75</c:v>
                </c:pt>
                <c:pt idx="4">
                  <c:v>613.98</c:v>
                </c:pt>
                <c:pt idx="5">
                  <c:v>853.5</c:v>
                </c:pt>
                <c:pt idx="6">
                  <c:v>700.08</c:v>
                </c:pt>
                <c:pt idx="7">
                  <c:v>1095.15</c:v>
                </c:pt>
                <c:pt idx="8">
                  <c:v>1349.72</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8"/>
            <c:invertIfNegative val="0"/>
            <c:bubble3D val="0"/>
            <c:spPr>
              <a:solidFill>
                <a:srgbClr val="C9C8C2"/>
              </a:solidFill>
            </c:spPr>
          </c:dPt>
          <c:cat>
            <c:strRef>
              <c:f>Hoja1!$A$2:$A$10</c:f>
              <c:strCache>
                <c:ptCount val="9"/>
                <c:pt idx="0">
                  <c:v>Cotización 52 semanas (1.255,00 – 2.300,00)</c:v>
                </c:pt>
                <c:pt idx="1">
                  <c:v>Precio objetivo de los analistas (1.168,00 – 1.920,00)</c:v>
                </c:pt>
                <c:pt idx="2">
                  <c:v>Comparables: EV/EBITDA NTM (697,98 – 1.108,51)</c:v>
                </c:pt>
                <c:pt idx="3">
                  <c:v>Comparables: PER NTM (789,75 – 1.289,53)</c:v>
                </c:pt>
                <c:pt idx="4">
                  <c:v>Transacciones precedentes (EV/ventas) (613,98 – 875,27)</c:v>
                </c:pt>
                <c:pt idx="5">
                  <c:v>DCF (WACC y g ± 0,5) (853,50 – 1.059,14)</c:v>
                </c:pt>
                <c:pt idx="6">
                  <c:v>Escenarios (bajista – alcista) (700,08 – 1.143,77)</c:v>
                </c:pt>
                <c:pt idx="7">
                  <c:v>DCF con la prima implícita del mercado (4,2 %)</c:v>
                </c:pt>
                <c:pt idx="8">
                  <c:v>Precio actual (1.356,50)</c:v>
                </c:pt>
              </c:strCache>
            </c:strRef>
          </c:cat>
          <c:val>
            <c:numRef>
              <c:f>Hoja1!$C$2:$C$10</c:f>
              <c:numCache>
                <c:formatCode>#,##0</c:formatCode>
                <c:ptCount val="9"/>
                <c:pt idx="0">
                  <c:v>1045</c:v>
                </c:pt>
                <c:pt idx="1">
                  <c:v>752</c:v>
                </c:pt>
                <c:pt idx="2">
                  <c:v>410.53</c:v>
                </c:pt>
                <c:pt idx="3">
                  <c:v>499.78</c:v>
                </c:pt>
                <c:pt idx="4">
                  <c:v>261.28999999999996</c:v>
                </c:pt>
                <c:pt idx="5">
                  <c:v>205.6400000000001</c:v>
                </c:pt>
                <c:pt idx="6">
                  <c:v>443.68999999999994</c:v>
                </c:pt>
                <c:pt idx="7">
                  <c:v>211.03999999999996</c:v>
                </c:pt>
                <c:pt idx="8">
                  <c:v>13.559999999999945</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40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2026-10-15T11:43:41.470Z</dcterms:created>
  <dcterms:modified xsi:type="dcterms:W3CDTF">2026-10-15T11:43:41.470Z</dcterms:modified>
</cp:coreProperties>
</file>

<file path=docProps/custom.xml><?xml version="1.0" encoding="utf-8"?>
<Properties xmlns="http://schemas.openxmlformats.org/officeDocument/2006/custom-properties" xmlns:vt="http://schemas.openxmlformats.org/officeDocument/2006/docPropsVTypes"/>
</file>