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53f1e195507ed889f067a993ad3f068af1f200c"/>
    <w:p>
      <w:pPr>
        <w:pStyle w:val="Heading1"/>
      </w:pPr>
      <w:r>
        <w:t xml:space="preserve">Ascendis Pharma (ASND): análisis growth, 14-oct-2026</w:t>
      </w:r>
    </w:p>
    <w:p>
      <w:pPr>
        <w:pStyle w:val="FirstParagraph"/>
      </w:pPr>
      <w:r>
        <w:rPr>
          <w:bCs/>
          <w:b/>
        </w:rPr>
        <w:t xml:space="preserve">Señal (método v11, vigente): Vender / no comprar</w:t>
      </w:r>
      <w:r>
        <w:t xml:space="preserve"> </w:t>
      </w:r>
      <w:r>
        <w:t xml:space="preserve">· Puntuación 68,8/100 · Señales de cambio de tendencia 3/8 · EV/beneficio bruto NTM 8,6x</w:t>
      </w:r>
      <w:r>
        <w:t xml:space="preserve"> </w:t>
      </w:r>
      <w:r>
        <w:t xml:space="preserve">Precio 223,21 USD (cierre del 13-oct) · Objetivo 12 m 187,5 USD · Ponderada −16,0 % · Base −11,0 % · Bajista −57,6 % · Alcista +64,5 % · Compra hasta 178,5 USD</w:t>
      </w:r>
      <w:r>
        <w:t xml:space="preserve"> </w:t>
      </w:r>
      <w:r>
        <w:rPr>
          <w:bCs/>
          <w:b/>
        </w:rPr>
        <w:t xml:space="preserve">Al precio actual</w:t>
      </w:r>
      <w:r>
        <w:t xml:space="preserve"> </w:t>
      </w:r>
      <w:r>
        <w:t xml:space="preserve">(225,72 USD, 14-oct, 18:27 UTC; objetivo fijo): ponderada −16,9 %, base −12,1 %, bajista −58,0 %.</w:t>
      </w:r>
      <w:r>
        <w:t xml:space="preserve"> </w:t>
      </w:r>
      <w:r>
        <w:rPr>
          <w:bCs/>
          <w:b/>
        </w:rPr>
        <w:t xml:space="preserve">Referencia v9</w:t>
      </w:r>
      <w:r>
        <w:t xml:space="preserve">: Mantener; ponderada −7,2 %, base +1,0 %, bajista −57,6 %, compra hasta 197,3 USD. La diferencia sale de una sola cosa: v9 proyecta 2.821 M USD de ventas en el escenario base y v11 usa las del informe, 2.476 M, iguales al consenso.</w:t>
      </w:r>
      <w:r>
        <w:t xml:space="preserve"> </w:t>
      </w:r>
      <w:r>
        <w:rPr>
          <w:bCs/>
          <w:b/>
        </w:rPr>
        <w:t xml:space="preserve">Robustez</w:t>
      </w:r>
      <w:r>
        <w:t xml:space="preserve">: frágil. La señal robusta es Vender, pero con pesos 25/50/25 o con v7 sería Mantener. En ningún caso sale Comprar (sección 11).</w:t>
      </w:r>
      <w:r>
        <w:t xml:space="preserve"> </w:t>
      </w:r>
      <w:r>
        <w:t xml:space="preserve">Alertas de robustez (</w:t>
      </w:r>
      <w:r>
        <w:rPr>
          <w:rStyle w:val="VerbatimChar"/>
        </w:rPr>
        <w:t xml:space="preserve">calc.alertas</w:t>
      </w:r>
      <w:r>
        <w:t xml:space="preserve">): una, la empresa no da guía anual de ingresos.</w:t>
      </w:r>
      <w:r>
        <w:t xml:space="preserve"> </w:t>
      </w:r>
      <w:r>
        <w:t xml:space="preserve">Peso orientativo:</w:t>
      </w:r>
      <w:r>
        <w:t xml:space="preserve"> </w:t>
      </w:r>
      <w:r>
        <w:rPr>
          <w:bCs/>
          <w:b/>
        </w:rPr>
        <w:t xml:space="preserve">no entra</w:t>
      </w:r>
      <w:r>
        <w:t xml:space="preserve">. No sustituye a nadie y no entra en la lista de suplentes (sección 13).</w:t>
      </w:r>
    </w:p>
    <w:p>
      <w:pPr>
        <w:pStyle w:val="BlockText"/>
      </w:pPr>
      <w:r>
        <w:rPr>
          <w:bCs/>
          <w:b/>
        </w:rPr>
        <w:t xml:space="preserve">Valorada por EV/ventas NTM, no por EV/EBITDA.</w:t>
      </w:r>
      <w:r>
        <w:t xml:space="preserve"> </w:t>
      </w:r>
      <w:r>
        <w:t xml:space="preserve">Ascendis gana dinero desde hace solo cuatro trimestres y su margen aún sube muy deprisa: el margen operativo ajustado pasó del −15 % al 27 % en un año. Con un margen a mitad de camino, el EV/EBITDA (unas 54 veces el de los últimos 12 meses, según Yahoo) castigaría a la empresa por estar en pleno despegue. Así además se mide igual que argenx y Alnylam, sus comparables.</w:t>
      </w:r>
    </w:p>
    <w:p>
      <w:pPr>
        <w:pStyle w:val="BlockText"/>
      </w:pPr>
      <w:r>
        <w:rPr>
          <w:bCs/>
          <w:b/>
        </w:rPr>
        <w:t xml:space="preserve">Divisa.</w:t>
      </w:r>
      <w:r>
        <w:t xml:space="preserve"> </w:t>
      </w:r>
      <w:r>
        <w:t xml:space="preserve">Las cuentas están en euros y la acción cotiza en dólares. Todas las cifras del cálculo (ventas, caja, deuda, precio y objetivo) se han pasado a dólares al tipo de hoy, 1,1152 USD por euro. En las tablas de resultados se dan en euros, como las publica la empresa, y se avisa.</w:t>
      </w:r>
    </w:p>
    <w:bookmarkStart w:id="20" w:name="resumen-en-lenguaje-llano"/>
    <w:p>
      <w:pPr>
        <w:pStyle w:val="Heading2"/>
      </w:pPr>
      <w:r>
        <w:t xml:space="preserve">Resumen en lenguaje llano</w:t>
      </w:r>
    </w:p>
    <w:p>
      <w:pPr>
        <w:numPr>
          <w:ilvl w:val="0"/>
          <w:numId w:val="1001"/>
        </w:numPr>
        <w:pStyle w:val="Compact"/>
      </w:pPr>
      <w:r>
        <w:rPr>
          <w:bCs/>
          <w:b/>
        </w:rPr>
        <w:t xml:space="preserve">Qué es</w:t>
      </w:r>
      <w:r>
        <w:t xml:space="preserve">: una farmacéutica danesa que convierte hormonas que hay que inyectar a diario en inyecciones semanales con su tecnología TransCon. Vende tres fármacos: Yorvipath (falta de hormona paratiroidea), Skytrofa (déficit de hormona de crecimiento) y Yuviwel (acondroplasia, la forma más común de enanismo).</w:t>
      </w:r>
    </w:p>
    <w:p>
      <w:pPr>
        <w:numPr>
          <w:ilvl w:val="0"/>
          <w:numId w:val="1001"/>
        </w:numPr>
        <w:pStyle w:val="Compact"/>
      </w:pPr>
      <w:r>
        <w:rPr>
          <w:bCs/>
          <w:b/>
        </w:rPr>
        <w:t xml:space="preserve">Cómo va el negocio</w:t>
      </w:r>
      <w:r>
        <w:t xml:space="preserve">: ingresa 1.168 M USD en 12 meses, más del doble que un año antes, y ya gana dinero. Yorvipath es el 80 % de las ventas de producto.</w:t>
      </w:r>
    </w:p>
    <w:p>
      <w:pPr>
        <w:numPr>
          <w:ilvl w:val="0"/>
          <w:numId w:val="1001"/>
        </w:numPr>
        <w:pStyle w:val="Compact"/>
      </w:pPr>
      <w:r>
        <w:rPr>
          <w:bCs/>
          <w:b/>
        </w:rPr>
        <w:t xml:space="preserve">Qué preocupa</w:t>
      </w:r>
      <w:r>
        <w:t xml:space="preserve">: las altas nuevas de Yorvipath en EE. UU. se han estabilizado en unas 1.000 por trimestre y la empresa ha dejado de dar la cifra. Novo Nordisk abandonó en septiembre el acuerdo de obesidad y la acción cayó un 12 % ese día.</w:t>
      </w:r>
    </w:p>
    <w:p>
      <w:pPr>
        <w:numPr>
          <w:ilvl w:val="0"/>
          <w:numId w:val="1001"/>
        </w:numPr>
        <w:pStyle w:val="Compact"/>
      </w:pPr>
      <w:r>
        <w:rPr>
          <w:bCs/>
          <w:b/>
        </w:rPr>
        <w:t xml:space="preserve">Precio</w:t>
      </w:r>
      <w:r>
        <w:t xml:space="preserve">: 7,9 veces las ventas de los próximos 12 meses, lo más bajo de sus últimos tres años. Pero el crecimiento se va a frenar del 64 % al 29 %, y el método rebaja el múltiplo por eso.</w:t>
      </w:r>
    </w:p>
    <w:p>
      <w:pPr>
        <w:numPr>
          <w:ilvl w:val="0"/>
          <w:numId w:val="1001"/>
        </w:numPr>
        <w:pStyle w:val="Compact"/>
      </w:pPr>
      <w:r>
        <w:rPr>
          <w:bCs/>
          <w:b/>
        </w:rPr>
        <w:t xml:space="preserve">Por qué no compra el método</w:t>
      </w:r>
      <w:r>
        <w:t xml:space="preserve">: con ventas iguales al consenso y el múltiplo rebajado, el objetivo queda un 16 % por debajo del precio. El escenario malo es muy malo, más de la mitad del precio, porque casi todo depende de un solo fármaco.</w:t>
      </w:r>
    </w:p>
    <w:p>
      <w:pPr>
        <w:numPr>
          <w:ilvl w:val="0"/>
          <w:numId w:val="1001"/>
        </w:numPr>
        <w:pStyle w:val="Compact"/>
      </w:pPr>
      <w:r>
        <w:rPr>
          <w:bCs/>
          <w:b/>
        </w:rPr>
        <w:t xml:space="preserve">Qué la haría interesante</w:t>
      </w:r>
      <w:r>
        <w:t xml:space="preserve">: que el 3T muestre que Yorvipath sigue sumando pacientes y que el precio vuelva a superar su media de 200 sesiones. O un precio por debajo de 178,5 USD.</w:t>
      </w:r>
    </w:p>
    <w:bookmarkEnd w:id="20"/>
    <w:bookmarkStart w:id="21" w:name="la-tesis-en-cinco-líneas"/>
    <w:p>
      <w:pPr>
        <w:pStyle w:val="Heading2"/>
      </w:pPr>
      <w:r>
        <w:t xml:space="preserve">1. La tesis en cinco líneas</w:t>
      </w:r>
    </w:p>
    <w:p>
      <w:pPr>
        <w:numPr>
          <w:ilvl w:val="0"/>
          <w:numId w:val="1002"/>
        </w:numPr>
        <w:pStyle w:val="Compact"/>
      </w:pPr>
      <w:r>
        <w:t xml:space="preserve">Ascendis ha llevado tres fármacos al mercado con la misma tecnología. Yorvipath es el primer tratamiento que sustituye de verdad a la hormona paratiroidea que falta, y en su segundo año ya vende a ritmo de más de 1.000 M EUR al año.</w:t>
      </w:r>
    </w:p>
    <w:p>
      <w:pPr>
        <w:numPr>
          <w:ilvl w:val="0"/>
          <w:numId w:val="1002"/>
        </w:numPr>
        <w:pStyle w:val="Compact"/>
      </w:pPr>
      <w:r>
        <w:t xml:space="preserve">El negocio ha dado la vuelta: beneficio operativo desde el 3T 2025, caja de 812 M EUR, sin convertibles y con una recompra de 400 M USD en marcha.</w:t>
      </w:r>
    </w:p>
    <w:p>
      <w:pPr>
        <w:numPr>
          <w:ilvl w:val="0"/>
          <w:numId w:val="1002"/>
        </w:numPr>
        <w:pStyle w:val="Compact"/>
      </w:pPr>
      <w:r>
        <w:t xml:space="preserve">La duda es el ritmo. Las altas nuevas de Yorvipath en EE. UU. ya no crecen (unas 1.000 por trimestre), Skytrofa está plana y Yuviwel empieza con poco (8 M EUR en el 2T), con un rival oral, infigratinib de BridgeBio, en camino.</w:t>
      </w:r>
    </w:p>
    <w:p>
      <w:pPr>
        <w:numPr>
          <w:ilvl w:val="0"/>
          <w:numId w:val="1002"/>
        </w:numPr>
        <w:pStyle w:val="Compact"/>
      </w:pPr>
      <w:r>
        <w:t xml:space="preserve">El precio no está caro frente a su historia (7,9x ventas, cuando su mediana es 10,7x), pero el crecimiento caerá a la mitad en dos años, y el método supone que el múltiplo baja con él.</w:t>
      </w:r>
    </w:p>
    <w:p>
      <w:pPr>
        <w:numPr>
          <w:ilvl w:val="0"/>
          <w:numId w:val="1002"/>
        </w:numPr>
        <w:pStyle w:val="Compact"/>
      </w:pPr>
      <w:r>
        <w:t xml:space="preserve">Conclusión: buen negocio y buena tecnología, pero con ventas de consenso y un solo fármaco que manda, el método da Vender / no comprar. La señal es frágil: con otro reparto de probabilidades sería Mantener, nunca Comprar.</w:t>
      </w:r>
    </w:p>
    <w:bookmarkEnd w:id="21"/>
    <w:bookmarkStart w:id="22" w:name="negocio-y-tecnología"/>
    <w:p>
      <w:pPr>
        <w:pStyle w:val="Heading2"/>
      </w:pPr>
      <w:r>
        <w:t xml:space="preserve">2. Negocio y tecnología</w:t>
      </w:r>
    </w:p>
    <w:p>
      <w:pPr>
        <w:numPr>
          <w:ilvl w:val="0"/>
          <w:numId w:val="1003"/>
        </w:numPr>
        <w:pStyle w:val="Compact"/>
      </w:pPr>
      <w:r>
        <w:rPr>
          <w:bCs/>
          <w:b/>
        </w:rPr>
        <w:t xml:space="preserve">Tecnología TransCon</w:t>
      </w:r>
      <w:r>
        <w:t xml:space="preserve">: une un fármaco ya conocido a un soporte del que se va soltando poco a poco en el cuerpo. Así una hormona que dura horas actúa una semana entera, con niveles estables. El riesgo de cada producto nuevo es menor porque la molécula activa ya se conoce [1].</w:t>
      </w:r>
    </w:p>
    <w:p>
      <w:pPr>
        <w:numPr>
          <w:ilvl w:val="0"/>
          <w:numId w:val="1003"/>
        </w:numPr>
        <w:pStyle w:val="Compact"/>
      </w:pPr>
      <w:r>
        <w:rPr>
          <w:bCs/>
          <w:b/>
        </w:rPr>
        <w:t xml:space="preserve">Yorvipath</w:t>
      </w:r>
      <w:r>
        <w:t xml:space="preserve"> </w:t>
      </w:r>
      <w:r>
        <w:t xml:space="preserve">(palopegteriparatida, hipoparatiroidismo): 252 M EUR en el 2T, +145 %. Disponible en más de 35 países. Es la única hormona paratiroidea de sustitución aprobada desde que se retiró Natpara [1][6].</w:t>
      </w:r>
    </w:p>
    <w:p>
      <w:pPr>
        <w:numPr>
          <w:ilvl w:val="0"/>
          <w:numId w:val="1003"/>
        </w:numPr>
        <w:pStyle w:val="Compact"/>
      </w:pPr>
      <w:r>
        <w:rPr>
          <w:bCs/>
          <w:b/>
        </w:rPr>
        <w:t xml:space="preserve">Skytrofa</w:t>
      </w:r>
      <w:r>
        <w:t xml:space="preserve"> </w:t>
      </w:r>
      <w:r>
        <w:t xml:space="preserve">(lonapegsomatropina, hormona de crecimiento semanal en niños): 55 M EUR en el 2T, +9 %. Más de 20.000 pacientes desde el lanzamiento. Compite con Ngenla (Pfizer), Sogroya (Novo) y la hormona diaria [1].</w:t>
      </w:r>
    </w:p>
    <w:p>
      <w:pPr>
        <w:numPr>
          <w:ilvl w:val="0"/>
          <w:numId w:val="1003"/>
        </w:numPr>
        <w:pStyle w:val="Compact"/>
      </w:pPr>
      <w:r>
        <w:rPr>
          <w:bCs/>
          <w:b/>
        </w:rPr>
        <w:t xml:space="preserve">Yuviwel</w:t>
      </w:r>
      <w:r>
        <w:t xml:space="preserve"> </w:t>
      </w:r>
      <w:r>
        <w:t xml:space="preserve">(navepegritida, TransCon CNP, acondroplasia): aprobado en EE. UU. el 27-feb-2026; 8 M EUR en su primer trimestre y más de 220 pacientes inscritos hasta el 31-jul. La decisión europea llega en el 4T 2026 [1].</w:t>
      </w:r>
    </w:p>
    <w:p>
      <w:pPr>
        <w:numPr>
          <w:ilvl w:val="0"/>
          <w:numId w:val="1003"/>
        </w:numPr>
        <w:pStyle w:val="Compact"/>
      </w:pPr>
      <w:r>
        <w:rPr>
          <w:bCs/>
          <w:b/>
        </w:rPr>
        <w:t xml:space="preserve">Cartera</w:t>
      </w:r>
      <w:r>
        <w:t xml:space="preserve">: combinación de TransCon CNP y TransCon hGH en acondroplasia (fase 3 desde el 4T 2026; en fase 2 triplica la eficacia de CNP solo), hipocondroplasia (fase 3), lactantes (reACHin) y TransCon semaglutida mensual (obesidad), que vuelve a Ascendis tras la salida de Novo [1].</w:t>
      </w:r>
    </w:p>
    <w:p>
      <w:pPr>
        <w:numPr>
          <w:ilvl w:val="0"/>
          <w:numId w:val="1003"/>
        </w:numPr>
        <w:pStyle w:val="Compact"/>
      </w:pPr>
      <w:r>
        <w:rPr>
          <w:bCs/>
          <w:b/>
        </w:rPr>
        <w:t xml:space="preserve">Clientes</w:t>
      </w:r>
      <w:r>
        <w:t xml:space="preserve">: endocrinos; en EE. UU., farmacias especializadas. EE. UU. es el 78 % de los ingresos del 2T [1].</w:t>
      </w:r>
    </w:p>
    <w:p>
      <w:pPr>
        <w:numPr>
          <w:ilvl w:val="0"/>
          <w:numId w:val="1003"/>
        </w:numPr>
        <w:pStyle w:val="Compact"/>
      </w:pPr>
      <w:r>
        <w:rPr>
          <w:bCs/>
          <w:b/>
        </w:rPr>
        <w:t xml:space="preserve">Tecnología 4/5</w:t>
      </w:r>
      <w:r>
        <w:t xml:space="preserve">: plataforma propia con patentes y tres fármacos aprobados. No llega a 5 porque hay alternativas semanales en hormona de crecimiento y fármacos orales en camino en acondroplasia.</w:t>
      </w:r>
    </w:p>
    <w:p>
      <w:pPr>
        <w:numPr>
          <w:ilvl w:val="0"/>
          <w:numId w:val="1003"/>
        </w:numPr>
        <w:pStyle w:val="Compact"/>
      </w:pPr>
      <w:r>
        <w:rPr>
          <w:bCs/>
          <w:b/>
        </w:rPr>
        <w:t xml:space="preserve">Posición 4/5</w:t>
      </w:r>
      <w:r>
        <w:t xml:space="preserve">: líder sin rival aprobado en hipoparatiroidismo; segundo en acondroplasia, detrás de Voxzogo (BioMarin); pequeño en hormona de crecimiento.</w:t>
      </w:r>
    </w:p>
    <w:bookmarkEnd w:id="22"/>
    <w:bookmarkStart w:id="23" w:name="crecimiento"/>
    <w:p>
      <w:pPr>
        <w:pStyle w:val="Heading2"/>
      </w:pPr>
      <w:r>
        <w:t xml:space="preserve">3. Crecimiento</w:t>
      </w:r>
    </w:p>
    <w:p>
      <w:pPr>
        <w:pStyle w:val="FirstParagraph"/>
      </w:pPr>
      <w:r>
        <w:t xml:space="preserve">Ingresos por trimestre (M EUR, como los publica la empresa) [1][4]:</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Trimestre</w:t>
            </w:r>
          </w:p>
        </w:tc>
        <w:tc>
          <w:tcPr/>
          <w:p>
            <w:pPr>
              <w:pStyle w:val="Compact"/>
              <w:jc w:val="left"/>
            </w:pPr>
            <w:r>
              <w:t xml:space="preserve">Ingresos totales</w:t>
            </w:r>
          </w:p>
        </w:tc>
        <w:tc>
          <w:tcPr/>
          <w:p>
            <w:pPr>
              <w:pStyle w:val="Compact"/>
              <w:jc w:val="left"/>
            </w:pPr>
            <w:r>
              <w:t xml:space="preserve">Crec. interanual</w:t>
            </w:r>
          </w:p>
        </w:tc>
        <w:tc>
          <w:tcPr/>
          <w:p>
            <w:pPr>
              <w:pStyle w:val="Compact"/>
              <w:jc w:val="left"/>
            </w:pPr>
            <w:r>
              <w:t xml:space="preserve">Ventas de producto</w:t>
            </w:r>
          </w:p>
        </w:tc>
        <w:tc>
          <w:tcPr/>
          <w:p>
            <w:pPr>
              <w:pStyle w:val="Compact"/>
              <w:jc w:val="left"/>
            </w:pPr>
            <w:r>
              <w:t xml:space="preserve">Yorvipath</w:t>
            </w:r>
          </w:p>
        </w:tc>
        <w:tc>
          <w:tcPr/>
          <w:p>
            <w:pPr>
              <w:pStyle w:val="Compact"/>
              <w:jc w:val="left"/>
            </w:pPr>
            <w:r>
              <w:t xml:space="preserve">Skytrofa</w:t>
            </w:r>
          </w:p>
        </w:tc>
      </w:tr>
      <w:tr>
        <w:tc>
          <w:tcPr/>
          <w:p>
            <w:pPr>
              <w:pStyle w:val="Compact"/>
              <w:jc w:val="left"/>
            </w:pPr>
            <w:r>
              <w:t xml:space="preserve">2T 2025</w:t>
            </w:r>
          </w:p>
        </w:tc>
        <w:tc>
          <w:tcPr/>
          <w:p>
            <w:pPr>
              <w:pStyle w:val="Compact"/>
              <w:jc w:val="left"/>
            </w:pPr>
            <w:r>
              <w:t xml:space="preserve">158,0</w:t>
            </w:r>
          </w:p>
        </w:tc>
        <w:tc>
          <w:tcPr/>
          <w:p>
            <w:pPr>
              <w:pStyle w:val="Compact"/>
              <w:jc w:val="left"/>
            </w:pPr>
            <w:r>
              <w:t xml:space="preserve">+339 %</w:t>
            </w:r>
          </w:p>
        </w:tc>
        <w:tc>
          <w:tcPr/>
          <w:p>
            <w:pPr>
              <w:pStyle w:val="Compact"/>
              <w:jc w:val="left"/>
            </w:pPr>
            <w:r>
              <w:t xml:space="preserve">153,7</w:t>
            </w:r>
          </w:p>
        </w:tc>
        <w:tc>
          <w:tcPr/>
          <w:p>
            <w:pPr>
              <w:pStyle w:val="Compact"/>
              <w:jc w:val="left"/>
            </w:pPr>
            <w:r>
              <w:t xml:space="preserve">103,0</w:t>
            </w:r>
          </w:p>
        </w:tc>
        <w:tc>
          <w:tcPr/>
          <w:p>
            <w:pPr>
              <w:pStyle w:val="Compact"/>
              <w:jc w:val="left"/>
            </w:pPr>
            <w:r>
              <w:t xml:space="preserve">50,7</w:t>
            </w:r>
          </w:p>
        </w:tc>
      </w:tr>
      <w:tr>
        <w:tc>
          <w:tcPr/>
          <w:p>
            <w:pPr>
              <w:pStyle w:val="Compact"/>
              <w:jc w:val="left"/>
            </w:pPr>
            <w:r>
              <w:t xml:space="preserve">3T 2025</w:t>
            </w:r>
          </w:p>
        </w:tc>
        <w:tc>
          <w:tcPr/>
          <w:p>
            <w:pPr>
              <w:pStyle w:val="Compact"/>
              <w:jc w:val="left"/>
            </w:pPr>
            <w:r>
              <w:t xml:space="preserve">213,6</w:t>
            </w:r>
          </w:p>
        </w:tc>
        <w:tc>
          <w:tcPr/>
          <w:p>
            <w:pPr>
              <w:pStyle w:val="Compact"/>
              <w:jc w:val="left"/>
            </w:pPr>
            <w:r>
              <w:t xml:space="preserve">+270 %</w:t>
            </w:r>
          </w:p>
        </w:tc>
        <w:tc>
          <w:tcPr/>
          <w:p>
            <w:pPr>
              <w:pStyle w:val="Compact"/>
              <w:jc w:val="left"/>
            </w:pPr>
            <w:r>
              <w:t xml:space="preserve">193,8</w:t>
            </w:r>
          </w:p>
        </w:tc>
        <w:tc>
          <w:tcPr/>
          <w:p>
            <w:pPr>
              <w:pStyle w:val="Compact"/>
              <w:jc w:val="left"/>
            </w:pPr>
            <w:r>
              <w:t xml:space="preserve">n.d.</w:t>
            </w:r>
          </w:p>
        </w:tc>
        <w:tc>
          <w:tcPr/>
          <w:p>
            <w:pPr>
              <w:pStyle w:val="Compact"/>
              <w:jc w:val="left"/>
            </w:pPr>
            <w:r>
              <w:t xml:space="preserve">n.d.</w:t>
            </w:r>
          </w:p>
        </w:tc>
      </w:tr>
      <w:tr>
        <w:tc>
          <w:tcPr/>
          <w:p>
            <w:pPr>
              <w:pStyle w:val="Compact"/>
              <w:jc w:val="left"/>
            </w:pPr>
            <w:r>
              <w:t xml:space="preserve">4T 2025</w:t>
            </w:r>
          </w:p>
        </w:tc>
        <w:tc>
          <w:tcPr/>
          <w:p>
            <w:pPr>
              <w:pStyle w:val="Compact"/>
              <w:jc w:val="left"/>
            </w:pPr>
            <w:r>
              <w:t xml:space="preserve">247,5</w:t>
            </w:r>
          </w:p>
        </w:tc>
        <w:tc>
          <w:tcPr/>
          <w:p>
            <w:pPr>
              <w:pStyle w:val="Compact"/>
              <w:jc w:val="left"/>
            </w:pPr>
            <w:r>
              <w:t xml:space="preserve">+42 %</w:t>
            </w:r>
          </w:p>
        </w:tc>
        <w:tc>
          <w:tcPr/>
          <w:p>
            <w:pPr>
              <w:pStyle w:val="Compact"/>
              <w:jc w:val="left"/>
            </w:pPr>
            <w:r>
              <w:t xml:space="preserve">240,1</w:t>
            </w:r>
          </w:p>
        </w:tc>
        <w:tc>
          <w:tcPr/>
          <w:p>
            <w:pPr>
              <w:pStyle w:val="Compact"/>
              <w:jc w:val="left"/>
            </w:pPr>
            <w:r>
              <w:t xml:space="preserve">n.d.</w:t>
            </w:r>
          </w:p>
        </w:tc>
        <w:tc>
          <w:tcPr/>
          <w:p>
            <w:pPr>
              <w:pStyle w:val="Compact"/>
              <w:jc w:val="left"/>
            </w:pPr>
            <w:r>
              <w:t xml:space="preserve">n.d.</w:t>
            </w:r>
          </w:p>
        </w:tc>
      </w:tr>
      <w:tr>
        <w:tc>
          <w:tcPr/>
          <w:p>
            <w:pPr>
              <w:pStyle w:val="Compact"/>
              <w:jc w:val="left"/>
            </w:pPr>
            <w:r>
              <w:t xml:space="preserve">1T 2026</w:t>
            </w:r>
          </w:p>
        </w:tc>
        <w:tc>
          <w:tcPr/>
          <w:p>
            <w:pPr>
              <w:pStyle w:val="Compact"/>
              <w:jc w:val="left"/>
            </w:pPr>
            <w:r>
              <w:t xml:space="preserve">246,6</w:t>
            </w:r>
          </w:p>
        </w:tc>
        <w:tc>
          <w:tcPr/>
          <w:p>
            <w:pPr>
              <w:pStyle w:val="Compact"/>
              <w:jc w:val="left"/>
            </w:pPr>
            <w:r>
              <w:t xml:space="preserve">+144 %</w:t>
            </w:r>
          </w:p>
        </w:tc>
        <w:tc>
          <w:tcPr/>
          <w:p>
            <w:pPr>
              <w:pStyle w:val="Compact"/>
              <w:jc w:val="left"/>
            </w:pPr>
            <w:r>
              <w:t xml:space="preserve">240,9</w:t>
            </w:r>
          </w:p>
        </w:tc>
        <w:tc>
          <w:tcPr/>
          <w:p>
            <w:pPr>
              <w:pStyle w:val="Compact"/>
              <w:jc w:val="left"/>
            </w:pPr>
            <w:r>
              <w:t xml:space="preserve">197</w:t>
            </w:r>
          </w:p>
        </w:tc>
        <w:tc>
          <w:tcPr/>
          <w:p>
            <w:pPr>
              <w:pStyle w:val="Compact"/>
              <w:jc w:val="left"/>
            </w:pPr>
            <w:r>
              <w:t xml:space="preserve">44</w:t>
            </w:r>
          </w:p>
        </w:tc>
      </w:tr>
      <w:tr>
        <w:tc>
          <w:tcPr/>
          <w:p>
            <w:pPr>
              <w:pStyle w:val="Compact"/>
              <w:jc w:val="left"/>
            </w:pPr>
            <w:r>
              <w:t xml:space="preserve">2T 2026</w:t>
            </w:r>
          </w:p>
        </w:tc>
        <w:tc>
          <w:tcPr/>
          <w:p>
            <w:pPr>
              <w:pStyle w:val="Compact"/>
              <w:jc w:val="left"/>
            </w:pPr>
            <w:r>
              <w:t xml:space="preserve">339,3 (incluye 17 de un hito)</w:t>
            </w:r>
          </w:p>
        </w:tc>
        <w:tc>
          <w:tcPr/>
          <w:p>
            <w:pPr>
              <w:pStyle w:val="Compact"/>
              <w:jc w:val="left"/>
            </w:pPr>
            <w:r>
              <w:t xml:space="preserve">+115 %</w:t>
            </w:r>
          </w:p>
        </w:tc>
        <w:tc>
          <w:tcPr/>
          <w:p>
            <w:pPr>
              <w:pStyle w:val="Compact"/>
              <w:jc w:val="left"/>
            </w:pPr>
            <w:r>
              <w:t xml:space="preserve">314,9</w:t>
            </w:r>
          </w:p>
        </w:tc>
        <w:tc>
          <w:tcPr/>
          <w:p>
            <w:pPr>
              <w:pStyle w:val="Compact"/>
              <w:jc w:val="left"/>
            </w:pPr>
            <w:r>
              <w:t xml:space="preserve">252,1</w:t>
            </w:r>
          </w:p>
        </w:tc>
        <w:tc>
          <w:tcPr/>
          <w:p>
            <w:pPr>
              <w:pStyle w:val="Compact"/>
              <w:jc w:val="left"/>
            </w:pPr>
            <w:r>
              <w:t xml:space="preserve">55,2</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Ingresos totales</w:t>
            </w:r>
          </w:p>
        </w:tc>
        <w:tc>
          <w:tcPr/>
          <w:p>
            <w:pPr>
              <w:pStyle w:val="Compact"/>
              <w:jc w:val="left"/>
            </w:pPr>
            <w:r>
              <w:t xml:space="preserve">Crec.</w:t>
            </w:r>
          </w:p>
        </w:tc>
      </w:tr>
      <w:tr>
        <w:tc>
          <w:tcPr/>
          <w:p>
            <w:pPr>
              <w:pStyle w:val="Compact"/>
              <w:jc w:val="left"/>
            </w:pPr>
            <w:r>
              <w:t xml:space="preserve">2023</w:t>
            </w:r>
          </w:p>
        </w:tc>
        <w:tc>
          <w:tcPr/>
          <w:p>
            <w:pPr>
              <w:pStyle w:val="Compact"/>
              <w:jc w:val="left"/>
            </w:pPr>
            <w:r>
              <w:t xml:space="preserve">266,7</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363,6</w:t>
            </w:r>
          </w:p>
        </w:tc>
        <w:tc>
          <w:tcPr/>
          <w:p>
            <w:pPr>
              <w:pStyle w:val="Compact"/>
              <w:jc w:val="left"/>
            </w:pPr>
            <w:r>
              <w:t xml:space="preserve">+36 %</w:t>
            </w:r>
          </w:p>
        </w:tc>
      </w:tr>
      <w:tr>
        <w:tc>
          <w:tcPr/>
          <w:p>
            <w:pPr>
              <w:pStyle w:val="Compact"/>
              <w:jc w:val="left"/>
            </w:pPr>
            <w:r>
              <w:t xml:space="preserve">2025</w:t>
            </w:r>
          </w:p>
        </w:tc>
        <w:tc>
          <w:tcPr/>
          <w:p>
            <w:pPr>
              <w:pStyle w:val="Compact"/>
              <w:jc w:val="left"/>
            </w:pPr>
            <w:r>
              <w:t xml:space="preserve">720,1</w:t>
            </w:r>
          </w:p>
        </w:tc>
        <w:tc>
          <w:tcPr/>
          <w:p>
            <w:pPr>
              <w:pStyle w:val="Compact"/>
              <w:jc w:val="left"/>
            </w:pPr>
            <w:r>
              <w:t xml:space="preserve">+98 %</w:t>
            </w:r>
          </w:p>
        </w:tc>
      </w:tr>
      <w:tr>
        <w:tc>
          <w:tcPr/>
          <w:p>
            <w:pPr>
              <w:pStyle w:val="Compact"/>
              <w:jc w:val="left"/>
            </w:pPr>
            <w:r>
              <w:t xml:space="preserve">2026, consenso</w:t>
            </w:r>
          </w:p>
        </w:tc>
        <w:tc>
          <w:tcPr/>
          <w:p>
            <w:pPr>
              <w:pStyle w:val="Compact"/>
              <w:jc w:val="left"/>
            </w:pPr>
            <w:r>
              <w:t xml:space="preserve">1.370</w:t>
            </w:r>
          </w:p>
        </w:tc>
        <w:tc>
          <w:tcPr/>
          <w:p>
            <w:pPr>
              <w:pStyle w:val="Compact"/>
              <w:jc w:val="left"/>
            </w:pPr>
            <w:r>
              <w:t xml:space="preserve">+90 %</w:t>
            </w:r>
          </w:p>
        </w:tc>
      </w:tr>
      <w:tr>
        <w:tc>
          <w:tcPr/>
          <w:p>
            <w:pPr>
              <w:pStyle w:val="Compact"/>
              <w:jc w:val="left"/>
            </w:pPr>
            <w:r>
              <w:t xml:space="preserve">2027, consenso</w:t>
            </w:r>
          </w:p>
        </w:tc>
        <w:tc>
          <w:tcPr/>
          <w:p>
            <w:pPr>
              <w:pStyle w:val="Compact"/>
              <w:jc w:val="left"/>
            </w:pPr>
            <w:r>
              <w:t xml:space="preserve">2.020</w:t>
            </w:r>
          </w:p>
        </w:tc>
        <w:tc>
          <w:tcPr/>
          <w:p>
            <w:pPr>
              <w:pStyle w:val="Compact"/>
              <w:jc w:val="left"/>
            </w:pPr>
            <w:r>
              <w:t xml:space="preserve">+47 %</w:t>
            </w:r>
          </w:p>
        </w:tc>
      </w:tr>
      <w:tr>
        <w:tc>
          <w:tcPr/>
          <w:p>
            <w:pPr>
              <w:pStyle w:val="Compact"/>
              <w:jc w:val="left"/>
            </w:pPr>
            <w:r>
              <w:t xml:space="preserve">2028, consenso (fuente débil)</w:t>
            </w:r>
          </w:p>
        </w:tc>
        <w:tc>
          <w:tcPr/>
          <w:p>
            <w:pPr>
              <w:pStyle w:val="Compact"/>
              <w:jc w:val="left"/>
            </w:pPr>
            <w:r>
              <w:t xml:space="preserve">~2.420</w:t>
            </w:r>
          </w:p>
        </w:tc>
        <w:tc>
          <w:tcPr/>
          <w:p>
            <w:pPr>
              <w:pStyle w:val="Compact"/>
              <w:jc w:val="left"/>
            </w:pPr>
            <w:r>
              <w:t xml:space="preserve">~+20 %</w:t>
            </w:r>
          </w:p>
        </w:tc>
      </w:tr>
    </w:tbl>
    <w:p>
      <w:pPr>
        <w:numPr>
          <w:ilvl w:val="0"/>
          <w:numId w:val="1004"/>
        </w:numPr>
        <w:pStyle w:val="Compact"/>
      </w:pPr>
      <w:r>
        <w:rPr>
          <w:bCs/>
          <w:b/>
        </w:rPr>
        <w:t xml:space="preserve">Ingresos de los últimos 12 meses</w:t>
      </w:r>
      <w:r>
        <w:t xml:space="preserve">: 1.047 M EUR,</w:t>
      </w:r>
      <w:r>
        <w:t xml:space="preserve"> </w:t>
      </w:r>
      <w:r>
        <w:rPr>
          <w:bCs/>
          <w:b/>
        </w:rPr>
        <w:t xml:space="preserve">+113,4 %</w:t>
      </w:r>
      <w:r>
        <w:t xml:space="preserve">. En dólares, 1.168 M.</w:t>
      </w:r>
    </w:p>
    <w:p>
      <w:pPr>
        <w:numPr>
          <w:ilvl w:val="0"/>
          <w:numId w:val="1004"/>
        </w:numPr>
        <w:pStyle w:val="Compact"/>
      </w:pPr>
      <w:r>
        <w:rPr>
          <w:bCs/>
          <w:b/>
        </w:rPr>
        <w:t xml:space="preserve">Crecimiento anual compuesto a 2 años: +81,6 %</w:t>
      </w:r>
      <w:r>
        <w:t xml:space="preserve">.</w:t>
      </w:r>
    </w:p>
    <w:p>
      <w:pPr>
        <w:numPr>
          <w:ilvl w:val="0"/>
          <w:numId w:val="1004"/>
        </w:numPr>
        <w:pStyle w:val="Compact"/>
      </w:pPr>
      <w:r>
        <w:rPr>
          <w:bCs/>
          <w:b/>
        </w:rPr>
        <w:t xml:space="preserve">Aceleración: −84,1 pp</w:t>
      </w:r>
      <w:r>
        <w:t xml:space="preserve">. El 2T creció un 115 %, frente a una media del 199 % en los cuatro anteriores. Es el frenazo normal de un lanzamiento que ya es grande, pero el método lo puntúa con 0.</w:t>
      </w:r>
    </w:p>
    <w:p>
      <w:pPr>
        <w:numPr>
          <w:ilvl w:val="0"/>
          <w:numId w:val="1004"/>
        </w:numPr>
        <w:pStyle w:val="Compact"/>
      </w:pPr>
      <w:r>
        <w:rPr>
          <w:bCs/>
          <w:b/>
        </w:rPr>
        <w:t xml:space="preserve">Guía</w:t>
      </w:r>
      <w:r>
        <w:t xml:space="preserve">: no hay guía de ingresos. Para 2026 la empresa solo guía un flujo de caja operativo de más de 500 M EUR y mantiene la meta de 5.000 M EUR de ventas en 2030 [6].</w:t>
      </w:r>
    </w:p>
    <w:p>
      <w:pPr>
        <w:numPr>
          <w:ilvl w:val="0"/>
          <w:numId w:val="1004"/>
        </w:numPr>
        <w:pStyle w:val="Compact"/>
      </w:pPr>
      <w:r>
        <w:rPr>
          <w:bCs/>
          <w:b/>
        </w:rPr>
        <w:t xml:space="preserve">Consenso de los próximos 12 meses</w:t>
      </w:r>
      <w:r>
        <w:t xml:space="preserve">: ~1.720 M EUR (+64 %), con 365 M en el 3T y 412 M en el 4T [3].</w:t>
      </w:r>
    </w:p>
    <w:bookmarkEnd w:id="23"/>
    <w:bookmarkStart w:id="24" w:name="mercado-y-competencia"/>
    <w:p>
      <w:pPr>
        <w:pStyle w:val="Heading2"/>
      </w:pPr>
      <w:r>
        <w:t xml:space="preserve">4. Mercado y competencia</w:t>
      </w:r>
    </w:p>
    <w:p>
      <w:pPr>
        <w:numPr>
          <w:ilvl w:val="0"/>
          <w:numId w:val="1005"/>
        </w:numPr>
        <w:pStyle w:val="Compact"/>
      </w:pPr>
      <w:r>
        <w:rPr>
          <w:bCs/>
          <w:b/>
        </w:rPr>
        <w:t xml:space="preserve">Mercado alcanzable en 2028: ~12.000 M USD</w:t>
      </w:r>
      <w:r>
        <w:t xml:space="preserve"> </w:t>
      </w:r>
      <w:r>
        <w:t xml:space="preserve">(estimación propia). Hipoparatiroidismo crónico (unos 200.000 pacientes entre EE. UU. y Europa; el tratamiento cuesta del orden de 200.000-300.000 USD al año en EE. UU.), hormona de crecimiento semanal y acondroplasia [12].</w:t>
      </w:r>
    </w:p>
    <w:p>
      <w:pPr>
        <w:numPr>
          <w:ilvl w:val="0"/>
          <w:numId w:val="1005"/>
        </w:numPr>
        <w:pStyle w:val="Compact"/>
      </w:pPr>
      <w:r>
        <w:rPr>
          <w:bCs/>
          <w:b/>
        </w:rPr>
        <w:t xml:space="preserve">Penetración</w:t>
      </w:r>
      <w:r>
        <w:t xml:space="preserve">: 1.168 / 12.000 =</w:t>
      </w:r>
      <w:r>
        <w:t xml:space="preserve"> </w:t>
      </w:r>
      <w:r>
        <w:rPr>
          <w:bCs/>
          <w:b/>
        </w:rPr>
        <w:t xml:space="preserve">9,7 %</w:t>
      </w:r>
      <w:r>
        <w:t xml:space="preserve">.</w:t>
      </w:r>
    </w:p>
    <w:p>
      <w:pPr>
        <w:numPr>
          <w:ilvl w:val="0"/>
          <w:numId w:val="1005"/>
        </w:numPr>
        <w:pStyle w:val="Compact"/>
      </w:pPr>
      <w:r>
        <w:rPr>
          <w:bCs/>
          <w:b/>
        </w:rPr>
        <w:t xml:space="preserve">Rivales</w:t>
      </w:r>
      <w:r>
        <w:t xml:space="preserve">:</w:t>
      </w:r>
    </w:p>
    <w:p>
      <w:pPr>
        <w:numPr>
          <w:ilvl w:val="1"/>
          <w:numId w:val="1006"/>
        </w:numPr>
        <w:pStyle w:val="Compact"/>
      </w:pPr>
      <w:r>
        <w:t xml:space="preserve">Hipoparatiroidismo: hoy, nadie aprobado con la misma función. En el futuro, eneboparatida (AstraZeneca, en fase 3; de memoria, sin comprobar) [12].</w:t>
      </w:r>
    </w:p>
    <w:p>
      <w:pPr>
        <w:numPr>
          <w:ilvl w:val="1"/>
          <w:numId w:val="1006"/>
        </w:numPr>
        <w:pStyle w:val="Compact"/>
      </w:pPr>
      <w:r>
        <w:t xml:space="preserve">Acondroplasia: Voxzogo (BioMarin, diario, ya establecido) e infigratinib oral de BridgeBio, que cumplió su fase 3 en febrero y prevé pedir la aprobación en el 2S 2026 [11]. Con BioMarin hay acuerdo vinculante desde el 31-ago: Ascendis le pagará el 20 % de las ventas de Yuviwel en EE. UU. hasta mayo de 2030 [11].</w:t>
      </w:r>
    </w:p>
    <w:p>
      <w:pPr>
        <w:numPr>
          <w:ilvl w:val="1"/>
          <w:numId w:val="1006"/>
        </w:numPr>
        <w:pStyle w:val="Compact"/>
      </w:pPr>
      <w:r>
        <w:t xml:space="preserve">Hormona de crecimiento: Ngenla (Pfizer), Sogroya (Novo) y la hormona diaria.</w:t>
      </w:r>
    </w:p>
    <w:p>
      <w:pPr>
        <w:numPr>
          <w:ilvl w:val="0"/>
          <w:numId w:val="1005"/>
        </w:numPr>
        <w:pStyle w:val="Compact"/>
      </w:pPr>
      <w:r>
        <w:rPr>
          <w:bCs/>
          <w:b/>
        </w:rPr>
        <w:t xml:space="preserve">Por qué gana</w:t>
      </w:r>
      <w:r>
        <w:t xml:space="preserve">: es la primera en hipoparatiroidismo, con datos a 5 años, y la combinación CNP más hormona de crecimiento podría ser el tratamiento más eficaz en acondroplasia.</w:t>
      </w:r>
    </w:p>
    <w:bookmarkEnd w:id="24"/>
    <w:bookmarkStart w:id="25"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No</w:t>
            </w:r>
          </w:p>
        </w:tc>
        <w:tc>
          <w:tcPr/>
          <w:p>
            <w:pPr>
              <w:pStyle w:val="Compact"/>
              <w:jc w:val="left"/>
            </w:pPr>
            <w:r>
              <w:t xml:space="preserve">Mixtas. El beneficio de 2027 sube un 5 % en 90 días, pero el de los dos próximos trimestres baja más de un 20 %. Morgan Stanley baja a 273 USD y Raymond James rebaja la recomendación</w:t>
            </w:r>
          </w:p>
        </w:tc>
        <w:tc>
          <w:tcPr/>
          <w:p>
            <w:pPr>
              <w:pStyle w:val="Compact"/>
              <w:jc w:val="left"/>
            </w:pPr>
            <w:r>
              <w:t xml:space="preserve">[3][5][7]</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223,21 USD frente a una media de 236,3</w:t>
            </w:r>
          </w:p>
        </w:tc>
        <w:tc>
          <w:tcPr/>
          <w:p>
            <w:pPr>
              <w:pStyle w:val="Compact"/>
              <w:jc w:val="left"/>
            </w:pPr>
            <w:r>
              <w:t xml:space="preserve">[2]</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−6,5 %, frente a +14,3 % del Nasdaq-100 y +15,7 % del índice de biotecnología</w:t>
            </w:r>
          </w:p>
        </w:tc>
        <w:tc>
          <w:tcPr/>
          <w:p>
            <w:pPr>
              <w:pStyle w:val="Compact"/>
              <w:jc w:val="left"/>
            </w:pPr>
            <w:r>
              <w:t xml:space="preserve">[2]</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No</w:t>
            </w:r>
          </w:p>
        </w:tc>
        <w:tc>
          <w:tcPr/>
          <w:p>
            <w:pPr>
              <w:pStyle w:val="Compact"/>
              <w:jc w:val="left"/>
            </w:pPr>
            <w:r>
              <w:t xml:space="preserve">7,9x ventas NTM: el mínimo de tres años, no una subida</w:t>
            </w:r>
          </w:p>
        </w:tc>
        <w:tc>
          <w:tcPr/>
          <w:p>
            <w:pPr>
              <w:pStyle w:val="Compact"/>
              <w:jc w:val="left"/>
            </w:pPr>
            <w:r>
              <w:t xml:space="preserve">[2][12]</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Sí</w:t>
            </w:r>
          </w:p>
        </w:tc>
        <w:tc>
          <w:tcPr/>
          <w:p>
            <w:pPr>
              <w:pStyle w:val="Compact"/>
              <w:jc w:val="left"/>
            </w:pPr>
            <w:r>
              <w:t xml:space="preserve">Margen operativo ajustado del 27 % en el 2T, frente al −15 % un año antes</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Empeora: −12 % el 15-sep por la salida de Novo y −18 % desde el máximo de julio</w:t>
            </w:r>
          </w:p>
        </w:tc>
        <w:tc>
          <w:tcPr/>
          <w:p>
            <w:pPr>
              <w:pStyle w:val="Compact"/>
              <w:jc w:val="left"/>
            </w:pPr>
            <w:r>
              <w:t xml:space="preserve">[6][7][8]</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Sí</w:t>
            </w:r>
          </w:p>
        </w:tc>
        <w:tc>
          <w:tcPr/>
          <w:p>
            <w:pPr>
              <w:pStyle w:val="Compact"/>
              <w:jc w:val="left"/>
            </w:pPr>
            <w:r>
              <w:t xml:space="preserve">Compras pequeñas del consejero Bienaimé y del director financiero, y recompra de 400 M USD</w:t>
            </w:r>
          </w:p>
        </w:tc>
        <w:tc>
          <w:tcPr/>
          <w:p>
            <w:pPr>
              <w:pStyle w:val="Compact"/>
              <w:jc w:val="left"/>
            </w:pPr>
            <w:r>
              <w:t xml:space="preserve">[9][10]</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Resultados del 3T, decisión europea sobre Yuviwel, fallo de la ITC y dos fases 3 nuevas</w:t>
            </w:r>
          </w:p>
        </w:tc>
        <w:tc>
          <w:tcPr/>
          <w:p>
            <w:pPr>
              <w:pStyle w:val="Compact"/>
              <w:jc w:val="left"/>
            </w:pPr>
            <w:r>
              <w:t xml:space="preserve">[1][11]</w:t>
            </w:r>
          </w:p>
        </w:tc>
      </w:tr>
    </w:tbl>
    <w:p>
      <w:pPr>
        <w:pStyle w:val="BodyText"/>
      </w:pPr>
      <w:r>
        <w:rPr>
          <w:bCs/>
          <w:b/>
        </w:rPr>
        <w:t xml:space="preserve">Euforia: no.</w:t>
      </w:r>
      <w:r>
        <w:t xml:space="preserve"> </w:t>
      </w:r>
      <w:r>
        <w:t xml:space="preserve">La acción sube un 8,2 % en 12 meses.</w:t>
      </w:r>
    </w:p>
    <w:bookmarkEnd w:id="25"/>
    <w:bookmarkStart w:id="26" w:name="X6a3ced9ea5ed5bb9ac58f5e7c1bb09ad4718b77"/>
    <w:p>
      <w:pPr>
        <w:pStyle w:val="Heading2"/>
      </w:pPr>
      <w:r>
        <w:t xml:space="preserve">6. Economía unitaria y camino a la rentabilidad</w:t>
      </w:r>
    </w:p>
    <w:p>
      <w:pPr>
        <w:numPr>
          <w:ilvl w:val="0"/>
          <w:numId w:val="1007"/>
        </w:numPr>
        <w:pStyle w:val="Compact"/>
      </w:pPr>
      <w:r>
        <w:rPr>
          <w:bCs/>
          <w:b/>
        </w:rPr>
        <w:t xml:space="preserve">Margen bruto</w:t>
      </w:r>
      <w:r>
        <w:t xml:space="preserve">:</w:t>
      </w:r>
      <w:r>
        <w:t xml:space="preserve"> </w:t>
      </w:r>
      <w:r>
        <w:rPr>
          <w:bCs/>
          <w:b/>
        </w:rPr>
        <w:t xml:space="preserve">91,3 %</w:t>
      </w:r>
      <w:r>
        <w:t xml:space="preserve"> </w:t>
      </w:r>
      <w:r>
        <w:t xml:space="preserve">en 12 meses [3][4].</w:t>
      </w:r>
    </w:p>
    <w:p>
      <w:pPr>
        <w:numPr>
          <w:ilvl w:val="0"/>
          <w:numId w:val="1007"/>
        </w:numPr>
        <w:pStyle w:val="Compact"/>
      </w:pPr>
      <w:r>
        <w:rPr>
          <w:bCs/>
          <w:b/>
        </w:rPr>
        <w:t xml:space="preserve">Margen operativo ajustado</w:t>
      </w:r>
      <w:r>
        <w:t xml:space="preserve"> </w:t>
      </w:r>
      <w:r>
        <w:t xml:space="preserve">(sin pagos en acciones ni la venta del bono): 27,1 % en el 2T, frente a −14,5 % un año antes [1].</w:t>
      </w:r>
    </w:p>
    <w:p>
      <w:pPr>
        <w:numPr>
          <w:ilvl w:val="0"/>
          <w:numId w:val="1007"/>
        </w:numPr>
        <w:pStyle w:val="Compact"/>
      </w:pPr>
      <w:r>
        <w:rPr>
          <w:bCs/>
          <w:b/>
        </w:rPr>
        <w:t xml:space="preserve">Flujo de caja libre</w:t>
      </w:r>
      <w:r>
        <w:t xml:space="preserve">: unos 177 M EUR en 12 meses sin contar la venta del bono de revisión prioritaria (158 M), el</w:t>
      </w:r>
      <w:r>
        <w:t xml:space="preserve"> </w:t>
      </w:r>
      <w:r>
        <w:rPr>
          <w:bCs/>
          <w:b/>
        </w:rPr>
        <w:t xml:space="preserve">17 %</w:t>
      </w:r>
      <w:r>
        <w:t xml:space="preserve"> </w:t>
      </w:r>
      <w:r>
        <w:t xml:space="preserve">de los ingresos. Es creciente: el flujo operativo pasó de −22 M en el 1S 2025 a 274 M en el 1S 2026 (116 M sin el bono) [1][4].</w:t>
      </w:r>
    </w:p>
    <w:p>
      <w:pPr>
        <w:numPr>
          <w:ilvl w:val="0"/>
          <w:numId w:val="1007"/>
        </w:numPr>
        <w:pStyle w:val="Compact"/>
      </w:pPr>
      <w:r>
        <w:rPr>
          <w:bCs/>
          <w:b/>
        </w:rPr>
        <w:t xml:space="preserve">Regla del 40</w:t>
      </w:r>
      <w:r>
        <w:t xml:space="preserve">: 113,4 + 17 =</w:t>
      </w:r>
      <w:r>
        <w:t xml:space="preserve"> </w:t>
      </w:r>
      <w:r>
        <w:rPr>
          <w:bCs/>
          <w:b/>
        </w:rPr>
        <w:t xml:space="preserve">130,4</w:t>
      </w:r>
      <w:r>
        <w:t xml:space="preserve">, inflada por el crecimiento de 12 meses.</w:t>
      </w:r>
    </w:p>
    <w:p>
      <w:pPr>
        <w:numPr>
          <w:ilvl w:val="0"/>
          <w:numId w:val="1007"/>
        </w:numPr>
        <w:pStyle w:val="Compact"/>
      </w:pPr>
      <w:r>
        <w:rPr>
          <w:bCs/>
          <w:b/>
        </w:rPr>
        <w:t xml:space="preserve">Contraste por EBITDA</w:t>
      </w:r>
      <w:r>
        <w:t xml:space="preserve">: unas 54 veces el EBITDA de los últimos 12 meses (Yahoo) [3].</w:t>
      </w:r>
    </w:p>
    <w:bookmarkEnd w:id="26"/>
    <w:bookmarkStart w:id="27" w:name="caja-deuda-y-dilución"/>
    <w:p>
      <w:pPr>
        <w:pStyle w:val="Heading2"/>
      </w:pPr>
      <w:r>
        <w:t xml:space="preserve">7. Caja, deuda y dilución</w:t>
      </w:r>
    </w:p>
    <w:p>
      <w:pPr>
        <w:numPr>
          <w:ilvl w:val="0"/>
          <w:numId w:val="1008"/>
        </w:numPr>
        <w:pStyle w:val="Compact"/>
      </w:pPr>
      <w:r>
        <w:rPr>
          <w:bCs/>
          <w:b/>
        </w:rPr>
        <w:t xml:space="preserve">Caja</w:t>
      </w:r>
      <w:r>
        <w:t xml:space="preserve">: 812 M EUR (30-jun), unos 906 M USD [1].</w:t>
      </w:r>
    </w:p>
    <w:p>
      <w:pPr>
        <w:numPr>
          <w:ilvl w:val="0"/>
          <w:numId w:val="1008"/>
        </w:numPr>
        <w:pStyle w:val="Compact"/>
      </w:pPr>
      <w:r>
        <w:rPr>
          <w:bCs/>
          <w:b/>
        </w:rPr>
        <w:t xml:space="preserve">Deuda</w:t>
      </w:r>
      <w:r>
        <w:t xml:space="preserve">: 450 M EUR, unos 502 M USD. Es casi todo financiación con Royalty Pharma, que se devuelve con un porcentaje de las ventas de Skytrofa y Yorvipath en EE. UU. Sin deuda bancaria ni convertibles: los 575 M USD de convertibles se pasaron a acciones el 6-may [1].</w:t>
      </w:r>
    </w:p>
    <w:p>
      <w:pPr>
        <w:numPr>
          <w:ilvl w:val="0"/>
          <w:numId w:val="1008"/>
        </w:numPr>
        <w:pStyle w:val="Compact"/>
      </w:pPr>
      <w:r>
        <w:rPr>
          <w:bCs/>
          <w:b/>
        </w:rPr>
        <w:t xml:space="preserve">Pista</w:t>
      </w:r>
      <w:r>
        <w:t xml:space="preserve">: el flujo de caja es positivo, así que no quema caja.</w:t>
      </w:r>
    </w:p>
    <w:p>
      <w:pPr>
        <w:numPr>
          <w:ilvl w:val="0"/>
          <w:numId w:val="1008"/>
        </w:numPr>
        <w:pStyle w:val="Compact"/>
      </w:pPr>
      <w:r>
        <w:rPr>
          <w:bCs/>
          <w:b/>
        </w:rPr>
        <w:t xml:space="preserve">Dilución</w:t>
      </w:r>
      <w:r>
        <w:t xml:space="preserve">:</w:t>
      </w:r>
      <w:r>
        <w:t xml:space="preserve"> </w:t>
      </w:r>
      <w:r>
        <w:rPr>
          <w:bCs/>
          <w:b/>
        </w:rPr>
        <w:t xml:space="preserve">+2,3 %</w:t>
      </w:r>
      <w:r>
        <w:t xml:space="preserve"> </w:t>
      </w:r>
      <w:r>
        <w:t xml:space="preserve">en un año sin contar la conversión de los convertibles. Hay 4,8 M de warrants y 1,3 M de acciones restringidas pendientes; se cuentan en las 69,4 M de acciones diluidas. La recompra de 400 M USD lo compensa en parte [1][10].</w:t>
      </w:r>
    </w:p>
    <w:p>
      <w:pPr>
        <w:numPr>
          <w:ilvl w:val="0"/>
          <w:numId w:val="1008"/>
        </w:numPr>
        <w:pStyle w:val="Compact"/>
      </w:pPr>
      <w:r>
        <w:rPr>
          <w:bCs/>
          <w:b/>
        </w:rPr>
        <w:t xml:space="preserve">Pagos en acciones</w:t>
      </w:r>
      <w:r>
        <w:t xml:space="preserve">: unos 121 M EUR en 12 meses, el</w:t>
      </w:r>
      <w:r>
        <w:t xml:space="preserve"> </w:t>
      </w:r>
      <w:r>
        <w:rPr>
          <w:bCs/>
          <w:b/>
        </w:rPr>
        <w:t xml:space="preserve">11,5 %</w:t>
      </w:r>
      <w:r>
        <w:t xml:space="preserve"> </w:t>
      </w:r>
      <w:r>
        <w:t xml:space="preserve">de los ingresos. Es alto, aunque por debajo del 15 % de alarma.</w:t>
      </w:r>
    </w:p>
    <w:bookmarkEnd w:id="27"/>
    <w:bookmarkStart w:id="28" w:name="dirección-y-ejecución"/>
    <w:p>
      <w:pPr>
        <w:pStyle w:val="Heading2"/>
      </w:pPr>
      <w:r>
        <w:t xml:space="preserve">8. Dirección y ejecución</w:t>
      </w:r>
    </w:p>
    <w:p>
      <w:pPr>
        <w:numPr>
          <w:ilvl w:val="0"/>
          <w:numId w:val="1009"/>
        </w:numPr>
        <w:pStyle w:val="Compact"/>
      </w:pPr>
      <w:r>
        <w:rPr>
          <w:bCs/>
          <w:b/>
        </w:rPr>
        <w:t xml:space="preserve">Historial (3/5)</w:t>
      </w:r>
      <w:r>
        <w:t xml:space="preserve">: lanzó Yorvipath mejor de lo esperado, pero falló el consenso de ingresos del 4T 2025 y la aprobación de Yuviwel se retrasó tres meses. En el 2T 2026 batió las previsiones.</w:t>
      </w:r>
    </w:p>
    <w:p>
      <w:pPr>
        <w:numPr>
          <w:ilvl w:val="0"/>
          <w:numId w:val="1009"/>
        </w:numPr>
        <w:pStyle w:val="Compact"/>
      </w:pPr>
      <w:r>
        <w:rPr>
          <w:bCs/>
          <w:b/>
        </w:rPr>
        <w:t xml:space="preserve">Dirección (4/5)</w:t>
      </w:r>
      <w:r>
        <w:t xml:space="preserve">: Jan Mikkelsen es cofundador y consejero delegado desde 2008. Tiene un historial de llevar productos al mercado con la misma plataforma. Ha cerrado el litigio con BioMarin, eliminado los convertibles y empezado a recomprar acciones. Le restan los pagos en acciones altos y que las compras de directivos son pequeñas.</w:t>
      </w:r>
    </w:p>
    <w:bookmarkEnd w:id="28"/>
    <w:bookmarkStart w:id="29" w:name="valoración"/>
    <w:p>
      <w:pPr>
        <w:pStyle w:val="Heading2"/>
      </w:pPr>
      <w:r>
        <w:t xml:space="preserve">9. Valoración</w:t>
      </w:r>
    </w:p>
    <w:p>
      <w:pPr>
        <w:pStyle w:val="FirstParagraph"/>
      </w:pPr>
      <w:r>
        <w:rPr>
          <w:bCs/>
          <w:b/>
        </w:rPr>
        <w:t xml:space="preserve">Ventana objetivo</w:t>
      </w:r>
      <w:r>
        <w:t xml:space="preserve">: los 12 meses a junio de 2028, dos años después de los últimos 12 meses publicados.</w:t>
      </w:r>
      <w:r>
        <w:t xml:space="preserve"> </w:t>
      </w:r>
      <w:r>
        <w:rPr>
          <w:bCs/>
          <w:b/>
        </w:rPr>
        <w:t xml:space="preserve">Métrica</w:t>
      </w:r>
      <w:r>
        <w:t xml:space="preserve">: EV/ventas NTM (ver la nota de la cabecera). Todo en dólares, a 1,1152 USD por euro.</w:t>
      </w:r>
    </w:p>
    <w:p>
      <w:pPr>
        <w:numPr>
          <w:ilvl w:val="0"/>
          <w:numId w:val="1010"/>
        </w:numPr>
        <w:pStyle w:val="Compact"/>
      </w:pPr>
      <w:r>
        <w:rPr>
          <w:bCs/>
          <w:b/>
        </w:rPr>
        <w:t xml:space="preserve">EV de hoy</w:t>
      </w:r>
      <w:r>
        <w:t xml:space="preserve">: 223,21 × 69,4 M de acciones + 502 de deuda − 906 de caja =</w:t>
      </w:r>
      <w:r>
        <w:t xml:space="preserve"> </w:t>
      </w:r>
      <w:r>
        <w:rPr>
          <w:bCs/>
          <w:b/>
        </w:rPr>
        <w:t xml:space="preserve">15.087 M USD</w:t>
      </w:r>
      <w:r>
        <w:t xml:space="preserve">.</w:t>
      </w:r>
    </w:p>
    <w:p>
      <w:pPr>
        <w:numPr>
          <w:ilvl w:val="0"/>
          <w:numId w:val="1010"/>
        </w:numPr>
        <w:pStyle w:val="Compact"/>
      </w:pPr>
      <w:r>
        <w:rPr>
          <w:bCs/>
          <w:b/>
        </w:rPr>
        <w:t xml:space="preserve">Ventas NTM</w:t>
      </w:r>
      <w:r>
        <w:t xml:space="preserve">: ~1.918 M USD (1.720 M EUR, +64 %).</w:t>
      </w:r>
      <w:r>
        <w:t xml:space="preserve"> </w:t>
      </w:r>
      <w:r>
        <w:rPr>
          <w:bCs/>
          <w:b/>
        </w:rPr>
        <w:t xml:space="preserve">EV/ventas NTM: 7,9x</w:t>
      </w:r>
      <w:r>
        <w:t xml:space="preserve">.</w:t>
      </w:r>
      <w:r>
        <w:t xml:space="preserve"> </w:t>
      </w:r>
      <w:r>
        <w:rPr>
          <w:bCs/>
          <w:b/>
        </w:rPr>
        <w:t xml:space="preserve">EV/beneficio bruto: 8,6x</w:t>
      </w:r>
      <w:r>
        <w:t xml:space="preserve">, muy por debajo del tope de 35.</w:t>
      </w:r>
    </w:p>
    <w:p>
      <w:pPr>
        <w:numPr>
          <w:ilvl w:val="0"/>
          <w:numId w:val="1010"/>
        </w:numPr>
        <w:pStyle w:val="Compact"/>
      </w:pPr>
      <w:r>
        <w:rPr>
          <w:bCs/>
          <w:b/>
        </w:rPr>
        <w:t xml:space="preserve">Su historia</w:t>
      </w:r>
      <w:r>
        <w:t xml:space="preserve"> </w:t>
      </w:r>
      <w:r>
        <w:t xml:space="preserve">(estimación propia con precios, balance y las ventas de los 4 trimestres siguientes): de 16-23x en 2023 y principios de 2024 a ~9-10x en 2025.</w:t>
      </w:r>
      <w:r>
        <w:t xml:space="preserve"> </w:t>
      </w:r>
      <w:r>
        <w:rPr>
          <w:bCs/>
          <w:b/>
        </w:rPr>
        <w:t xml:space="preserve">Mediana de 3 años: 10,7x. Mínimo: 7,9x</w:t>
      </w:r>
      <w:r>
        <w:t xml:space="preserve">, que es hoy.</w:t>
      </w:r>
    </w:p>
    <w:p>
      <w:pPr>
        <w:numPr>
          <w:ilvl w:val="0"/>
          <w:numId w:val="1010"/>
        </w:numPr>
        <w:pStyle w:val="Compact"/>
      </w:pPr>
      <w:r>
        <w:rPr>
          <w:bCs/>
          <w:b/>
        </w:rPr>
        <w:t xml:space="preserve">Comparables</w:t>
      </w:r>
      <w:r>
        <w:t xml:space="preserve">: 7,75x de mediana. Son argenx (6,9x), Alnylam (4,75x), Vertex (~8,6x) e Insmed (9,4x), de sus informes del mismo día.</w:t>
      </w:r>
    </w:p>
    <w:p>
      <w:pPr>
        <w:numPr>
          <w:ilvl w:val="0"/>
          <w:numId w:val="1010"/>
        </w:numPr>
        <w:pStyle w:val="Compact"/>
      </w:pPr>
      <w:r>
        <w:rPr>
          <w:bCs/>
          <w:b/>
        </w:rPr>
        <w:t xml:space="preserve">Desaceleración</w:t>
      </w:r>
      <w:r>
        <w:t xml:space="preserve">: del 64 % de los próximos 12 meses al 29 % del año objetivo. El múltiplo base se rebaja un 30 %, el máximo.</w:t>
      </w:r>
    </w:p>
    <w:p>
      <w:pPr>
        <w:numPr>
          <w:ilvl w:val="0"/>
          <w:numId w:val="1010"/>
        </w:numPr>
        <w:pStyle w:val="Compact"/>
      </w:pPr>
      <w:r>
        <w:rPr>
          <w:bCs/>
          <w:b/>
        </w:rPr>
        <w:t xml:space="preserve">Probabilidades 35/50/15</w:t>
      </w:r>
      <w:r>
        <w:t xml:space="preserve">: depende de un solo producto (Yorvipath es el 80 % de las ventas de producto), como manda el método (§2.5).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(M USD)</w:t>
            </w:r>
          </w:p>
        </w:tc>
        <w:tc>
          <w:tcPr/>
          <w:p>
            <w:pPr>
              <w:pStyle w:val="Compact"/>
              <w:jc w:val="left"/>
            </w:pPr>
            <w:r>
              <w:t xml:space="preserve">Múltiplo</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(35 %)</w:t>
            </w:r>
          </w:p>
        </w:tc>
        <w:tc>
          <w:tcPr/>
          <w:p>
            <w:pPr>
              <w:pStyle w:val="Compact"/>
              <w:jc w:val="left"/>
            </w:pPr>
            <w:r>
              <w:t xml:space="preserve">1.905 (crece la mitad de rápido; Yorvipath se estanca y Yuviwel no despega)</w:t>
            </w:r>
          </w:p>
        </w:tc>
        <w:tc>
          <w:tcPr/>
          <w:p>
            <w:pPr>
              <w:pStyle w:val="Compact"/>
              <w:jc w:val="left"/>
            </w:pPr>
            <w:r>
              <w:t xml:space="preserve">3,3x</w:t>
            </w:r>
          </w:p>
        </w:tc>
        <w:tc>
          <w:tcPr/>
          <w:p>
            <w:pPr>
              <w:pStyle w:val="Compact"/>
              <w:jc w:val="left"/>
            </w:pPr>
            <w:r>
              <w:t xml:space="preserve">94,7</w:t>
            </w:r>
          </w:p>
        </w:tc>
        <w:tc>
          <w:tcPr/>
          <w:p>
            <w:pPr>
              <w:pStyle w:val="Compact"/>
              <w:jc w:val="left"/>
            </w:pPr>
            <w:r>
              <w:t xml:space="preserve">−57,6 %</w:t>
            </w:r>
          </w:p>
        </w:tc>
      </w:tr>
      <w:tr>
        <w:tc>
          <w:tcPr/>
          <w:p>
            <w:pPr>
              <w:pStyle w:val="Compact"/>
              <w:jc w:val="left"/>
            </w:pPr>
            <w:r>
              <w:t xml:space="preserve">Base (50 %)</w:t>
            </w:r>
          </w:p>
        </w:tc>
        <w:tc>
          <w:tcPr/>
          <w:p>
            <w:pPr>
              <w:pStyle w:val="Compact"/>
              <w:jc w:val="left"/>
            </w:pPr>
            <w:r>
              <w:t xml:space="preserve">2.476 (igual que el consenso)</w:t>
            </w:r>
          </w:p>
        </w:tc>
        <w:tc>
          <w:tcPr/>
          <w:p>
            <w:pPr>
              <w:pStyle w:val="Compact"/>
              <w:jc w:val="left"/>
            </w:pPr>
            <w:r>
              <w:t xml:space="preserve">5,5x</w:t>
            </w:r>
          </w:p>
        </w:tc>
        <w:tc>
          <w:tcPr/>
          <w:p>
            <w:pPr>
              <w:pStyle w:val="Compact"/>
              <w:jc w:val="left"/>
            </w:pPr>
            <w:r>
              <w:t xml:space="preserve">198,5</w:t>
            </w:r>
          </w:p>
        </w:tc>
        <w:tc>
          <w:tcPr/>
          <w:p>
            <w:pPr>
              <w:pStyle w:val="Compact"/>
              <w:jc w:val="left"/>
            </w:pPr>
            <w:r>
              <w:t xml:space="preserve">−11,0 %</w:t>
            </w:r>
          </w:p>
        </w:tc>
      </w:tr>
      <w:tr>
        <w:tc>
          <w:tcPr/>
          <w:p>
            <w:pPr>
              <w:pStyle w:val="Compact"/>
              <w:jc w:val="left"/>
            </w:pPr>
            <w:r>
              <w:t xml:space="preserve">Alcista (15 %)</w:t>
            </w:r>
          </w:p>
        </w:tc>
        <w:tc>
          <w:tcPr/>
          <w:p>
            <w:pPr>
              <w:pStyle w:val="Compact"/>
              <w:jc w:val="left"/>
            </w:pPr>
            <w:r>
              <w:t xml:space="preserve">2.900 (Yorvipath vuelve a acelerar y Yuviwel gana cuota)</w:t>
            </w:r>
          </w:p>
        </w:tc>
        <w:tc>
          <w:tcPr/>
          <w:p>
            <w:pPr>
              <w:pStyle w:val="Compact"/>
              <w:jc w:val="left"/>
            </w:pPr>
            <w:r>
              <w:t xml:space="preserve">8,8x</w:t>
            </w:r>
          </w:p>
        </w:tc>
        <w:tc>
          <w:tcPr/>
          <w:p>
            <w:pPr>
              <w:pStyle w:val="Compact"/>
              <w:jc w:val="left"/>
            </w:pPr>
            <w:r>
              <w:t xml:space="preserve">367,1</w:t>
            </w:r>
          </w:p>
        </w:tc>
        <w:tc>
          <w:tcPr/>
          <w:p>
            <w:pPr>
              <w:pStyle w:val="Compact"/>
              <w:jc w:val="left"/>
            </w:pPr>
            <w:r>
              <w:t xml:space="preserve">+64,5 %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187,5</w:t>
            </w:r>
          </w:p>
        </w:tc>
        <w:tc>
          <w:tcPr/>
          <w:p>
            <w:pPr>
              <w:pStyle w:val="Compact"/>
              <w:jc w:val="left"/>
            </w:pPr>
            <w:r>
              <w:rPr>
                <w:bCs/>
                <w:b/>
              </w:rPr>
              <w:t xml:space="preserve">−16,0 %</w:t>
            </w:r>
          </w:p>
        </w:tc>
      </w:tr>
    </w:tbl>
    <w:p>
      <w:pPr>
        <w:numPr>
          <w:ilvl w:val="0"/>
          <w:numId w:val="1011"/>
        </w:numPr>
        <w:pStyle w:val="Compact"/>
      </w:pPr>
      <w:r>
        <w:rPr>
          <w:bCs/>
          <w:b/>
        </w:rPr>
        <w:t xml:space="preserve">Ventas</w:t>
      </w:r>
      <w:r>
        <w:t xml:space="preserve">: la regla mecánica proyectaba 2.821 M USD en el base, un 14 % por encima del consenso, porque arrastra el +113 % del último año. v11 toma la menor, la del informe, que coincide con el consenso: 2.476 M USD, la media de 2027 (2.020 M EUR) y 2028 (~2.420 M EUR) [3][5]. En el bajista manda la mecánica (1.905 M).</w:t>
      </w:r>
    </w:p>
    <w:p>
      <w:pPr>
        <w:numPr>
          <w:ilvl w:val="0"/>
          <w:numId w:val="1011"/>
        </w:numPr>
        <w:pStyle w:val="Compact"/>
      </w:pPr>
      <w:r>
        <w:rPr>
          <w:bCs/>
          <w:b/>
        </w:rPr>
        <w:t xml:space="preserve">Asimetría</w:t>
      </w:r>
      <w:r>
        <w:t xml:space="preserve">: 1,1.</w:t>
      </w:r>
      <w:r>
        <w:t xml:space="preserve"> </w:t>
      </w:r>
      <w:r>
        <w:rPr>
          <w:bCs/>
          <w:b/>
        </w:rPr>
        <w:t xml:space="preserve">Compra hasta: 178,5 USD</w:t>
      </w:r>
      <w:r>
        <w:t xml:space="preserve">.</w:t>
      </w:r>
    </w:p>
    <w:p>
      <w:pPr>
        <w:numPr>
          <w:ilvl w:val="0"/>
          <w:numId w:val="1011"/>
        </w:numPr>
        <w:pStyle w:val="Compact"/>
      </w:pPr>
      <w:r>
        <w:rPr>
          <w:bCs/>
          <w:b/>
        </w:rPr>
        <w:t xml:space="preserve">Consenso de precio objetivo</w:t>
      </w:r>
      <w:r>
        <w:t xml:space="preserve">: 305,88 USD (20 analistas, todos en Comprar) [3]. Los analistas dan valor a la meta de 5.000 M EUR en 2030 y a la cartera. El método, por diseño, no lo hace.</w:t>
      </w:r>
    </w:p>
    <w:p>
      <w:pPr>
        <w:numPr>
          <w:ilvl w:val="0"/>
          <w:numId w:val="1011"/>
        </w:numPr>
        <w:pStyle w:val="Compact"/>
      </w:pPr>
      <w:r>
        <w:rPr>
          <w:bCs/>
          <w:b/>
        </w:rPr>
        <w:t xml:space="preserve">DCF inverso</w:t>
      </w:r>
      <w:r>
        <w:t xml:space="preserve">: con un coste de capital del 9 %, un margen de caja que sube del 17 % al 35 % y un crecimiento final del 3 %, el precio descuenta</w:t>
      </w:r>
      <w:r>
        <w:t xml:space="preserve"> </w:t>
      </w:r>
      <w:r>
        <w:rPr>
          <w:bCs/>
          <w:b/>
        </w:rPr>
        <w:t xml:space="preserve">un 13 % de crecimiento anual durante 10 años</w:t>
      </w:r>
      <w:r>
        <w:t xml:space="preserve">. Es poco para la meta de la empresa, que pide más del 40 % anual hasta 2030. Es el mejor argumento a favor, pero solo vale si se cree esa meta.</w:t>
      </w:r>
    </w:p>
    <w:bookmarkEnd w:id="29"/>
    <w:bookmarkStart w:id="30" w:name="foros-y-sentimiento"/>
    <w:p>
      <w:pPr>
        <w:pStyle w:val="Heading2"/>
      </w:pPr>
      <w:r>
        <w:t xml:space="preserve">10. Foros y sentimiento</w:t>
      </w:r>
    </w:p>
    <w:p>
      <w:pPr>
        <w:numPr>
          <w:ilvl w:val="0"/>
          <w:numId w:val="1012"/>
        </w:numPr>
        <w:pStyle w:val="Compact"/>
      </w:pPr>
      <w:r>
        <w:rPr>
          <w:bCs/>
          <w:b/>
        </w:rPr>
        <w:t xml:space="preserve">Prensa y analistas</w:t>
      </w:r>
      <w:r>
        <w:t xml:space="preserve">: el tono se ha enfriado desde julio. La salida de Novo del acuerdo de obesidad (14-sep) costó un 12 % en un día, aunque Ascendis recupera los derechos sin pagar nada [7]. Raymond James rebajó la recomendación y Morgan Stanley bajó el precio objetivo. Aun así, los 20 analistas siguen en Comprar.</w:t>
      </w:r>
    </w:p>
    <w:p>
      <w:pPr>
        <w:numPr>
          <w:ilvl w:val="0"/>
          <w:numId w:val="1012"/>
        </w:numPr>
        <w:pStyle w:val="Compact"/>
      </w:pPr>
      <w:r>
        <w:rPr>
          <w:bCs/>
          <w:b/>
        </w:rPr>
        <w:t xml:space="preserve">Llamada del 2T</w:t>
      </w:r>
      <w:r>
        <w:t xml:space="preserve">: la pregunta que más se repitió fue la de las altas de Yorvipath en EE. UU. La empresa dijo que siguen en unas 1.000 por trimestre y que dejaría de dar la cifra exacta, algo que el mercado leyó como un techo [6].</w:t>
      </w:r>
    </w:p>
    <w:p>
      <w:pPr>
        <w:numPr>
          <w:ilvl w:val="0"/>
          <w:numId w:val="1012"/>
        </w:numPr>
        <w:pStyle w:val="Compact"/>
      </w:pPr>
      <w:r>
        <w:rPr>
          <w:bCs/>
          <w:b/>
        </w:rPr>
        <w:t xml:space="preserve">Narrativas</w:t>
      </w:r>
      <w:r>
        <w:t xml:space="preserve"> </w:t>
      </w:r>
      <w:r>
        <w:t xml:space="preserve">(Simply Wall St, Walnut): la bajista habla de presión de precios y de depender de Yorvipath; la alcista, de la meta de 2030 [8].</w:t>
      </w:r>
    </w:p>
    <w:p>
      <w:pPr>
        <w:numPr>
          <w:ilvl w:val="0"/>
          <w:numId w:val="1012"/>
        </w:numPr>
        <w:pStyle w:val="Compact"/>
      </w:pPr>
      <w:r>
        <w:rPr>
          <w:bCs/>
          <w:b/>
        </w:rPr>
        <w:t xml:space="preserve">Posiciones cortas</w:t>
      </w:r>
      <w:r>
        <w:t xml:space="preserve">: bajan de 4,2 a 3,5 M de acciones en septiembre [3].</w:t>
      </w:r>
    </w:p>
    <w:p>
      <w:pPr>
        <w:numPr>
          <w:ilvl w:val="0"/>
          <w:numId w:val="1012"/>
        </w:numPr>
        <w:pStyle w:val="Compact"/>
      </w:pPr>
      <w:r>
        <w:rPr>
          <w:bCs/>
          <w:b/>
        </w:rPr>
        <w:t xml:space="preserve">Reddit, StockTwits y foros en castellano</w:t>
      </w:r>
      <w:r>
        <w:t xml:space="preserve"> </w:t>
      </w:r>
      <w:r>
        <w:t xml:space="preserve">(Rankia, Investing ES): no aparecieron hilos recientes.</w:t>
      </w:r>
      <w:r>
        <w:t xml:space="preserve"> </w:t>
      </w:r>
      <w:r>
        <w:rPr>
          <w:bCs/>
          <w:b/>
        </w:rPr>
        <w:t xml:space="preserve">Laguna.</w:t>
      </w:r>
    </w:p>
    <w:p>
      <w:pPr>
        <w:numPr>
          <w:ilvl w:val="0"/>
          <w:numId w:val="1012"/>
        </w:numPr>
        <w:pStyle w:val="Compact"/>
      </w:pPr>
      <w:r>
        <w:rPr>
          <w:bCs/>
          <w:b/>
        </w:rPr>
        <w:t xml:space="preserve">Contraste con los datos</w:t>
      </w:r>
      <w:r>
        <w:t xml:space="preserve">: el sentimiento ha caído más que el negocio. Las ventas se duplican y la empresa gana dinero, pero el mercado ya no paga por un crecimiento que se frena. Para que gire hace falta un trimestre que vuelva a sorprender al alza.</w:t>
      </w:r>
    </w:p>
    <w:bookmarkEnd w:id="30"/>
    <w:bookmarkStart w:id="31" w:name="riesgos-y-qué-rompería-la-tesis"/>
    <w:p>
      <w:pPr>
        <w:pStyle w:val="Heading2"/>
      </w:pPr>
      <w:r>
        <w:t xml:space="preserve">11. Riesgos y qué rompería la tesis</w:t>
      </w:r>
    </w:p>
    <w:p>
      <w:pPr>
        <w:pStyle w:val="FirstParagraph"/>
      </w:pPr>
      <w:r>
        <w:rPr>
          <w:bCs/>
          <w:b/>
        </w:rPr>
        <w:t xml:space="preserve">Alertas de robustez del motor (</w:t>
      </w:r>
      <w:r>
        <w:rPr>
          <w:rStyle w:val="VerbatimChar"/>
          <w:bCs/>
          <w:b/>
        </w:rPr>
        <w:t xml:space="preserve">calc.alertas</w:t>
      </w:r>
      <w:r>
        <w:rPr>
          <w:bCs/>
          <w:b/>
        </w:rPr>
        <w:t xml:space="preserve">)</w:t>
      </w:r>
      <w:r>
        <w:t xml:space="preserve">:</w:t>
      </w:r>
      <w:r>
        <w:t xml:space="preserve"> </w:t>
      </w:r>
      <w:r>
        <w:t xml:space="preserve">1.</w:t>
      </w:r>
      <w:r>
        <w:t xml:space="preserve"> </w:t>
      </w:r>
      <w:r>
        <w:rPr>
          <w:iCs/>
          <w:i/>
        </w:rPr>
        <w:t xml:space="preserve">Sin guía anual de 12 meses: el recorte por la guía (v9) no actúa.</w:t>
      </w:r>
      <w:r>
        <w:t xml:space="preserve"> </w:t>
      </w:r>
      <w:r>
        <w:t xml:space="preserve">La empresa no da guía de ingresos, ni anual ni trimestral. El texto de la alerta dice «solo trimestral», pero aquí no hay ninguna.</w:t>
      </w:r>
      <w:r>
        <w:t xml:space="preserve"> </w:t>
      </w:r>
      <w:r>
        <w:rPr>
          <w:bCs/>
          <w:b/>
        </w:rPr>
        <w:t xml:space="preserve">No debilita la señal</w:t>
      </w:r>
      <w:r>
        <w:t xml:space="preserve">: v11 ya recorta la proyección con las ventas del informe, que coinciden con el consenso. Sin ese tope, v9 daría Mantener, no Comprar.</w:t>
      </w:r>
    </w:p>
    <w:p>
      <w:pPr>
        <w:pStyle w:val="BodyText"/>
      </w:pPr>
      <w:r>
        <w:rPr>
          <w:bCs/>
          <w:b/>
        </w:rPr>
        <w:t xml:space="preserve">Prueba de robustez</w:t>
      </w:r>
      <w:r>
        <w:t xml:space="preserve"> </w:t>
      </w:r>
      <w:r>
        <w:t xml:space="preserve">(</w:t>
      </w:r>
      <w:r>
        <w:rPr>
          <w:rStyle w:val="VerbatimChar"/>
        </w:rPr>
        <w:t xml:space="preserve">herramientas/robustez-growth.mjs --precios</w:t>
      </w:r>
      <w:r>
        <w:t xml:space="preserve">):</w:t>
      </w:r>
      <w:r>
        <w:t xml:space="preserve"> </w:t>
      </w:r>
      <w:r>
        <w:rPr>
          <w:bCs/>
          <w:b/>
        </w:rPr>
        <w:t xml:space="preserve">FRÁGIL</w:t>
      </w:r>
      <w:r>
        <w:t xml:space="preserve">. La señal robusta es Vender, pero cambia en dos variantes:</w:t>
      </w:r>
      <w:r>
        <w:t xml:space="preserve"> </w:t>
      </w:r>
      <w:r>
        <w:t xml:space="preserve">-</w:t>
      </w:r>
      <w:r>
        <w:t xml:space="preserve"> </w:t>
      </w:r>
      <w:r>
        <w:rPr>
          <w:bCs/>
          <w:b/>
        </w:rPr>
        <w:t xml:space="preserve">Con pesos 25/50/25 sería Mantener</w:t>
      </w:r>
      <w:r>
        <w:t xml:space="preserve"> </w:t>
      </w:r>
      <w:r>
        <w:t xml:space="preserve">(−3,8 %). La diferencia entre Vender y Mantener depende de si se trata a Ascendis como dependiente de un solo producto. Lo es: Yorvipath es el 80 % de las ventas de producto, igual que Amvuttra en Alnylam.</w:t>
      </w:r>
      <w:r>
        <w:t xml:space="preserve"> </w:t>
      </w:r>
      <w:r>
        <w:rPr>
          <w:bCs/>
          <w:b/>
        </w:rPr>
        <w:t xml:space="preserve">En la práctica da igual</w:t>
      </w:r>
      <w:r>
        <w:t xml:space="preserve">: ninguna de las dos variantes es Comprar, y no se tiene la acción.</w:t>
      </w:r>
      <w:r>
        <w:t xml:space="preserve"> </w:t>
      </w:r>
      <w:r>
        <w:t xml:space="preserve">-</w:t>
      </w:r>
      <w:r>
        <w:t xml:space="preserve"> </w:t>
      </w:r>
      <w:r>
        <w:rPr>
          <w:bCs/>
          <w:b/>
        </w:rPr>
        <w:t xml:space="preserve">Con v7</w:t>
      </w:r>
      <w:r>
        <w:t xml:space="preserve"> </w:t>
      </w:r>
      <w:r>
        <w:t xml:space="preserve">(sin el tope de ventas) sería Mantener (−7,2 %). Tampoco compra.</w:t>
      </w:r>
      <w:r>
        <w:t xml:space="preserve"> </w:t>
      </w:r>
      <w:r>
        <w:t xml:space="preserve">-</w:t>
      </w:r>
      <w:r>
        <w:t xml:space="preserve"> </w:t>
      </w:r>
      <w:r>
        <w:rPr>
          <w:bCs/>
          <w:b/>
        </w:rPr>
        <w:t xml:space="preserve">Con las ventas del analista</w:t>
      </w:r>
      <w:r>
        <w:t xml:space="preserve">: Vender (−15,2 %).</w:t>
      </w:r>
      <w:r>
        <w:t xml:space="preserve"> </w:t>
      </w:r>
      <w:r>
        <w:rPr>
          <w:bCs/>
          <w:b/>
        </w:rPr>
        <w:t xml:space="preserve">Al precio de hoy con el objetivo fijo</w:t>
      </w:r>
      <w:r>
        <w:t xml:space="preserve">: Vender (−16,9 %).</w:t>
      </w:r>
      <w:r>
        <w:t xml:space="preserve"> </w:t>
      </w:r>
      <w:r>
        <w:t xml:space="preserve">-</w:t>
      </w:r>
      <w:r>
        <w:t xml:space="preserve"> </w:t>
      </w:r>
      <w:r>
        <w:rPr>
          <w:bCs/>
          <w:b/>
        </w:rPr>
        <w:t xml:space="preserve">Avisos</w:t>
      </w:r>
      <w:r>
        <w:t xml:space="preserve">: el objetivo se mueve con el precio (al revisarlo se deja fijo, 187,5 USD), y el bajista de −58 % pide, si algún día compra, una posición pequeña y en tramos.</w:t>
      </w:r>
    </w:p>
    <w:p>
      <w:pPr>
        <w:pStyle w:val="BodyText"/>
      </w:pPr>
      <w:r>
        <w:rPr>
          <w:bCs/>
          <w:b/>
        </w:rPr>
        <w:t xml:space="preserve">Riesgos del negocio</w:t>
      </w:r>
      <w:r>
        <w:t xml:space="preserve">:</w:t>
      </w:r>
      <w:r>
        <w:t xml:space="preserve"> </w:t>
      </w:r>
      <w:r>
        <w:t xml:space="preserve">1.</w:t>
      </w:r>
      <w:r>
        <w:t xml:space="preserve"> </w:t>
      </w:r>
      <w:r>
        <w:rPr>
          <w:bCs/>
          <w:b/>
        </w:rPr>
        <w:t xml:space="preserve">Un solo producto</w:t>
      </w:r>
      <w:r>
        <w:t xml:space="preserve">: Yorvipath es el 80 % de las ventas de producto. Si las altas en EE. UU. no crecen y aumentan los abandonos durante el ajuste de dosis, el crecimiento cae antes de lo previsto.</w:t>
      </w:r>
      <w:r>
        <w:t xml:space="preserve"> </w:t>
      </w:r>
      <w:r>
        <w:t xml:space="preserve">2.</w:t>
      </w:r>
      <w:r>
        <w:t xml:space="preserve"> </w:t>
      </w:r>
      <w:r>
        <w:rPr>
          <w:bCs/>
          <w:b/>
        </w:rPr>
        <w:t xml:space="preserve">Competencia en acondroplasia</w:t>
      </w:r>
      <w:r>
        <w:t xml:space="preserve">: infigratinib es una pastilla, frente a la inyección semanal de Yuviwel. Además, hasta 2030 Yuviwel paga el 20 % de sus ventas en EE. UU. a BioMarin.</w:t>
      </w:r>
      <w:r>
        <w:t xml:space="preserve"> </w:t>
      </w:r>
      <w:r>
        <w:t xml:space="preserve">3.</w:t>
      </w:r>
      <w:r>
        <w:t xml:space="preserve"> </w:t>
      </w:r>
      <w:r>
        <w:rPr>
          <w:bCs/>
          <w:b/>
        </w:rPr>
        <w:t xml:space="preserve">Precio de los medicamentos en EE. UU.</w:t>
      </w:r>
      <w:r>
        <w:t xml:space="preserve">: «nación más favorecida», aranceles y presión de las aseguradoras sobre un fármaco caro.</w:t>
      </w:r>
      <w:r>
        <w:t xml:space="preserve"> </w:t>
      </w:r>
      <w:r>
        <w:t xml:space="preserve">4.</w:t>
      </w:r>
      <w:r>
        <w:t xml:space="preserve"> </w:t>
      </w:r>
      <w:r>
        <w:rPr>
          <w:bCs/>
          <w:b/>
        </w:rPr>
        <w:t xml:space="preserve">Gasto</w:t>
      </w:r>
      <w:r>
        <w:t xml:space="preserve">: el gasto comercial subió de 145 a 173 M EUR en un trimestre; los analistas han recortado el beneficio de los próximos dos trimestres.</w:t>
      </w:r>
      <w:r>
        <w:t xml:space="preserve"> </w:t>
      </w:r>
      <w:r>
        <w:t xml:space="preserve">5.</w:t>
      </w:r>
      <w:r>
        <w:t xml:space="preserve"> </w:t>
      </w:r>
      <w:r>
        <w:rPr>
          <w:bCs/>
          <w:b/>
        </w:rPr>
        <w:t xml:space="preserve">Obesidad</w:t>
      </w:r>
      <w:r>
        <w:t xml:space="preserve">: la semaglutida mensual vuelve sin socio; desarrollarla sola costaría mucho dinero.</w:t>
      </w:r>
      <w:r>
        <w:t xml:space="preserve"> </w:t>
      </w:r>
      <w:r>
        <w:t xml:space="preserve">6.</w:t>
      </w:r>
      <w:r>
        <w:t xml:space="preserve"> </w:t>
      </w:r>
      <w:r>
        <w:rPr>
          <w:bCs/>
          <w:b/>
        </w:rPr>
        <w:t xml:space="preserve">Divisa</w:t>
      </w:r>
      <w:r>
        <w:t xml:space="preserve">: la empresa gana en dólares y cuenta en euros. Un dólar débil baja las ventas en euros.</w:t>
      </w:r>
    </w:p>
    <w:p>
      <w:pPr>
        <w:pStyle w:val="BodyText"/>
      </w:pPr>
      <w:r>
        <w:rPr>
          <w:bCs/>
          <w:b/>
        </w:rPr>
        <w:t xml:space="preserve">Señales de venta concretas</w:t>
      </w:r>
      <w:r>
        <w:t xml:space="preserve"> </w:t>
      </w:r>
      <w:r>
        <w:t xml:space="preserve">(si se tuviera): dos trimestres seguidos con Yorvipath plano frente al trimestre anterior; un recorte de la meta de 2030; la aprobación de infigratinib con mejor ficha que Yuviwel. Hoy no hay tesis rota: el negocio crece, lo que ha cambiado es la expectativa.</w:t>
      </w:r>
    </w:p>
    <w:p>
      <w:pPr>
        <w:pStyle w:val="BodyText"/>
      </w:pPr>
      <w:r>
        <w:rPr>
          <w:bCs/>
          <w:b/>
        </w:rPr>
        <w:t xml:space="preserve">Riesgo de IA: bajo.</w:t>
      </w:r>
      <w:r>
        <w:t xml:space="preserve"> </w:t>
      </w:r>
      <w:r>
        <w:t xml:space="preserve">Ascendis vende fármacos protegidos por patentes y aprobados tras años de ensayos, y la IA no los sustituye. El único riesgo es indirecto: que la IA acelere a los rivales que diseñan nuevas moléculas, como alternativas orales a las hormonas inyectadas.</w:t>
      </w:r>
    </w:p>
    <w:bookmarkEnd w:id="31"/>
    <w:bookmarkStart w:id="32"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Fecha</w:t>
            </w:r>
          </w:p>
        </w:tc>
        <w:tc>
          <w:tcPr/>
          <w:p>
            <w:pPr>
              <w:pStyle w:val="Compact"/>
              <w:jc w:val="left"/>
            </w:pPr>
            <w:r>
              <w:t xml:space="preserve">Hecho</w:t>
            </w:r>
          </w:p>
        </w:tc>
        <w:tc>
          <w:tcPr/>
          <w:p>
            <w:pPr>
              <w:pStyle w:val="Compact"/>
              <w:jc w:val="left"/>
            </w:pPr>
            <w:r>
              <w:t xml:space="preserve">Sentido</w:t>
            </w:r>
          </w:p>
        </w:tc>
      </w:tr>
      <w:tr>
        <w:tc>
          <w:tcPr/>
          <w:p>
            <w:pPr>
              <w:pStyle w:val="Compact"/>
              <w:jc w:val="left"/>
            </w:pPr>
            <w:r>
              <w:t xml:space="preserve">~9-11 nov-2026</w:t>
            </w:r>
          </w:p>
        </w:tc>
        <w:tc>
          <w:tcPr/>
          <w:p>
            <w:pPr>
              <w:pStyle w:val="Compact"/>
              <w:jc w:val="left"/>
            </w:pPr>
            <w:r>
              <w:t xml:space="preserve">Resultados del 3T: ventas de Yorvipath frente al 2T (el consenso espera 365 M EUR de ingresos totales)</w:t>
            </w:r>
          </w:p>
        </w:tc>
        <w:tc>
          <w:tcPr/>
          <w:p>
            <w:pPr>
              <w:pStyle w:val="Compact"/>
              <w:jc w:val="left"/>
            </w:pPr>
            <w:r>
              <w:t xml:space="preserve">+/− (clave)</w:t>
            </w:r>
          </w:p>
        </w:tc>
      </w:tr>
      <w:tr>
        <w:tc>
          <w:tcPr/>
          <w:p>
            <w:pPr>
              <w:pStyle w:val="Compact"/>
              <w:jc w:val="left"/>
            </w:pPr>
            <w:r>
              <w:t xml:space="preserve">4T 2026</w:t>
            </w:r>
          </w:p>
        </w:tc>
        <w:tc>
          <w:tcPr/>
          <w:p>
            <w:pPr>
              <w:pStyle w:val="Compact"/>
              <w:jc w:val="left"/>
            </w:pPr>
            <w:r>
              <w:t xml:space="preserve">Decisión de la Agencia Europea del Medicamento sobre Yuviwel</w:t>
            </w:r>
          </w:p>
        </w:tc>
        <w:tc>
          <w:tcPr/>
          <w:p>
            <w:pPr>
              <w:pStyle w:val="Compact"/>
              <w:jc w:val="left"/>
            </w:pPr>
            <w:r>
              <w:t xml:space="preserve">+</w:t>
            </w:r>
          </w:p>
        </w:tc>
      </w:tr>
      <w:tr>
        <w:tc>
          <w:tcPr/>
          <w:p>
            <w:pPr>
              <w:pStyle w:val="Compact"/>
              <w:jc w:val="left"/>
            </w:pPr>
            <w:r>
              <w:t xml:space="preserve">4T 2026</w:t>
            </w:r>
          </w:p>
        </w:tc>
        <w:tc>
          <w:tcPr/>
          <w:p>
            <w:pPr>
              <w:pStyle w:val="Compact"/>
              <w:jc w:val="left"/>
            </w:pPr>
            <w:r>
              <w:t xml:space="preserve">Inicio del fase 3 de TransCon CNP con TransCon hGH en acondroplasia</w:t>
            </w:r>
          </w:p>
        </w:tc>
        <w:tc>
          <w:tcPr/>
          <w:p>
            <w:pPr>
              <w:pStyle w:val="Compact"/>
              <w:jc w:val="left"/>
            </w:pPr>
            <w:r>
              <w:t xml:space="preserve">+ (pequeño)</w:t>
            </w:r>
          </w:p>
        </w:tc>
      </w:tr>
      <w:tr>
        <w:tc>
          <w:tcPr/>
          <w:p>
            <w:pPr>
              <w:pStyle w:val="Compact"/>
              <w:jc w:val="left"/>
            </w:pPr>
            <w:r>
              <w:t xml:space="preserve">dic-2026</w:t>
            </w:r>
          </w:p>
        </w:tc>
        <w:tc>
          <w:tcPr/>
          <w:p>
            <w:pPr>
              <w:pStyle w:val="Compact"/>
              <w:jc w:val="left"/>
            </w:pPr>
            <w:r>
              <w:t xml:space="preserve">Fallo final de la ITC; acuerdo definitivo con BioMarin</w:t>
            </w:r>
          </w:p>
        </w:tc>
        <w:tc>
          <w:tcPr/>
          <w:p>
            <w:pPr>
              <w:pStyle w:val="Compact"/>
              <w:jc w:val="left"/>
            </w:pPr>
            <w:r>
              <w:t xml:space="preserve">+/− (pequeño)</w:t>
            </w:r>
          </w:p>
        </w:tc>
      </w:tr>
      <w:tr>
        <w:tc>
          <w:tcPr/>
          <w:p>
            <w:pPr>
              <w:pStyle w:val="Compact"/>
              <w:jc w:val="left"/>
            </w:pPr>
            <w:r>
              <w:t xml:space="preserve">2S 2026</w:t>
            </w:r>
          </w:p>
        </w:tc>
        <w:tc>
          <w:tcPr/>
          <w:p>
            <w:pPr>
              <w:pStyle w:val="Compact"/>
              <w:jc w:val="left"/>
            </w:pPr>
            <w:r>
              <w:t xml:space="preserve">BridgeBio pide la aprobación de infigratinib</w:t>
            </w:r>
          </w:p>
        </w:tc>
        <w:tc>
          <w:tcPr/>
          <w:p>
            <w:pPr>
              <w:pStyle w:val="Compact"/>
              <w:jc w:val="left"/>
            </w:pPr>
            <w:r>
              <w:t xml:space="preserve">−</w:t>
            </w:r>
          </w:p>
        </w:tc>
      </w:tr>
      <w:tr>
        <w:tc>
          <w:tcPr/>
          <w:p>
            <w:pPr>
              <w:pStyle w:val="Compact"/>
              <w:jc w:val="left"/>
            </w:pPr>
            <w:r>
              <w:t xml:space="preserve">feb-2027</w:t>
            </w:r>
          </w:p>
        </w:tc>
        <w:tc>
          <w:tcPr/>
          <w:p>
            <w:pPr>
              <w:pStyle w:val="Compact"/>
              <w:jc w:val="left"/>
            </w:pPr>
            <w:r>
              <w:t xml:space="preserve">Resultados de 2026 y, quizá, una primera guía</w:t>
            </w:r>
          </w:p>
        </w:tc>
        <w:tc>
          <w:tcPr/>
          <w:p>
            <w:pPr>
              <w:pStyle w:val="Compact"/>
              <w:jc w:val="left"/>
            </w:pPr>
            <w:r>
              <w:t xml:space="preserve">+/− (clave)</w:t>
            </w:r>
          </w:p>
        </w:tc>
      </w:tr>
    </w:tbl>
    <w:bookmarkEnd w:id="32"/>
    <w:bookmarkStart w:id="33" w:name="encaje-en-cartera"/>
    <w:p>
      <w:pPr>
        <w:pStyle w:val="Heading2"/>
      </w:pPr>
      <w:r>
        <w:t xml:space="preserve">13. Encaje en cartera</w:t>
      </w:r>
    </w:p>
    <w:p>
      <w:pPr>
        <w:pStyle w:val="FirstParagraph"/>
      </w:pPr>
      <w:r>
        <w:t xml:space="preserve">Según</w:t>
      </w:r>
      <w:r>
        <w:t xml:space="preserve"> </w:t>
      </w:r>
      <w:r>
        <w:rPr>
          <w:rStyle w:val="VerbatimChar"/>
        </w:rPr>
        <w:t xml:space="preserve">MEMORIA.md</w:t>
      </w:r>
      <w:r>
        <w:t xml:space="preserve"> </w:t>
      </w:r>
      <w:r>
        <w:t xml:space="preserve">e</w:t>
      </w:r>
      <w:r>
        <w:t xml:space="preserve"> </w:t>
      </w:r>
      <w:r>
        <w:rPr>
          <w:rStyle w:val="VerbatimChar"/>
        </w:rPr>
        <w:t xml:space="preserve">informes-growth/cartera-growth.md</w:t>
      </w:r>
      <w:r>
        <w:t xml:space="preserve">, el</w:t>
      </w:r>
      <w:r>
        <w:t xml:space="preserve"> </w:t>
      </w:r>
      <w:r>
        <w:rPr>
          <w:bCs/>
          <w:b/>
        </w:rPr>
        <w:t xml:space="preserve">bolsillo growth está lleno</w:t>
      </w:r>
      <w:r>
        <w:t xml:space="preserve"> </w:t>
      </w:r>
      <w:r>
        <w:t xml:space="preserve">(~20 % de la cartera). Lo forman Nu (+19 %), Axon (+36 %), Shopify (+18 %), Snowflake (+13 %) y Samsara (+15 %), con la rentabilidad al precio actual según v11. Liquidez ≈27 EUR: solo cabe sustituir. Alphabet se vende mañana y no cuenta como exposición a IA.</w:t>
      </w:r>
    </w:p>
    <w:p>
      <w:pPr>
        <w:pStyle w:val="BodyText"/>
      </w:pPr>
      <w:r>
        <w:rPr>
          <w:bCs/>
          <w:b/>
        </w:rPr>
        <w:t xml:space="preserve">Ascendis no entra: peso 0 %.</w:t>
      </w:r>
      <w:r>
        <w:t xml:space="preserve"> </w:t>
      </w:r>
      <w:r>
        <w:t xml:space="preserve">La señal es Vender / no comprar, con una ponderada del −17 % al precio actual. No sustituye a ninguna de las cinco, que esperan entre +13 % y +36 %, y</w:t>
      </w:r>
      <w:r>
        <w:t xml:space="preserve"> </w:t>
      </w:r>
      <w:r>
        <w:rPr>
          <w:bCs/>
          <w:b/>
        </w:rPr>
        <w:t xml:space="preserve">no entra en la lista de suplentes</w:t>
      </w:r>
      <w:r>
        <w:t xml:space="preserve">: los nueve (MongoDB, Toast, Zscaler, dLocal, Dexcom, Datadog, argenx, Natera y Saab) son Comprar.</w:t>
      </w:r>
    </w:p>
    <w:p>
      <w:pPr>
        <w:pStyle w:val="BodyText"/>
      </w:pPr>
      <w:r>
        <w:rPr>
          <w:bCs/>
          <w:b/>
        </w:rPr>
        <w:t xml:space="preserve">Frente a las otras biotecnológicas del mismo día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Ascendis</w:t>
            </w:r>
          </w:p>
        </w:tc>
        <w:tc>
          <w:tcPr/>
          <w:p>
            <w:pPr>
              <w:pStyle w:val="Compact"/>
              <w:jc w:val="left"/>
            </w:pPr>
            <w:r>
              <w:t xml:space="preserve">argenx</w:t>
            </w:r>
          </w:p>
        </w:tc>
        <w:tc>
          <w:tcPr/>
          <w:p>
            <w:pPr>
              <w:pStyle w:val="Compact"/>
              <w:jc w:val="left"/>
            </w:pPr>
            <w:r>
              <w:t xml:space="preserve">Alnylam</w:t>
            </w:r>
          </w:p>
        </w:tc>
      </w:tr>
      <w:tr>
        <w:tc>
          <w:tcPr/>
          <w:p>
            <w:pPr>
              <w:pStyle w:val="Compact"/>
              <w:jc w:val="left"/>
            </w:pPr>
            <w:r>
              <w:t xml:space="preserve">Puntuación</w:t>
            </w:r>
          </w:p>
        </w:tc>
        <w:tc>
          <w:tcPr/>
          <w:p>
            <w:pPr>
              <w:pStyle w:val="Compact"/>
              <w:jc w:val="left"/>
            </w:pPr>
            <w:r>
              <w:t xml:space="preserve">68,8</w:t>
            </w:r>
          </w:p>
        </w:tc>
        <w:tc>
          <w:tcPr/>
          <w:p>
            <w:pPr>
              <w:pStyle w:val="Compact"/>
              <w:jc w:val="left"/>
            </w:pPr>
            <w:r>
              <w:t xml:space="preserve">70,5</w:t>
            </w:r>
          </w:p>
        </w:tc>
        <w:tc>
          <w:tcPr/>
          <w:p>
            <w:pPr>
              <w:pStyle w:val="Compact"/>
              <w:jc w:val="left"/>
            </w:pPr>
            <w:r>
              <w:t xml:space="preserve">62,7</w:t>
            </w:r>
          </w:p>
        </w:tc>
      </w:tr>
      <w:tr>
        <w:tc>
          <w:tcPr/>
          <w:p>
            <w:pPr>
              <w:pStyle w:val="Compact"/>
              <w:jc w:val="left"/>
            </w:pPr>
            <w:r>
              <w:t xml:space="preserve">Señales de giro</w:t>
            </w:r>
          </w:p>
        </w:tc>
        <w:tc>
          <w:tcPr/>
          <w:p>
            <w:pPr>
              <w:pStyle w:val="Compact"/>
              <w:jc w:val="left"/>
            </w:pPr>
            <w:r>
              <w:t xml:space="preserve">3/8</w:t>
            </w:r>
          </w:p>
        </w:tc>
        <w:tc>
          <w:tcPr/>
          <w:p>
            <w:pPr>
              <w:pStyle w:val="Compact"/>
              <w:jc w:val="left"/>
            </w:pPr>
            <w:r>
              <w:t xml:space="preserve">3/8</w:t>
            </w:r>
          </w:p>
        </w:tc>
        <w:tc>
          <w:tcPr/>
          <w:p>
            <w:pPr>
              <w:pStyle w:val="Compact"/>
              <w:jc w:val="left"/>
            </w:pPr>
            <w:r>
              <w:t xml:space="preserve">2/8</w:t>
            </w:r>
          </w:p>
        </w:tc>
      </w:tr>
      <w:tr>
        <w:tc>
          <w:tcPr/>
          <w:p>
            <w:pPr>
              <w:pStyle w:val="Compact"/>
              <w:jc w:val="left"/>
            </w:pPr>
            <w:r>
              <w:t xml:space="preserve">Crecimiento de los ingresos en 12 meses</w:t>
            </w:r>
          </w:p>
        </w:tc>
        <w:tc>
          <w:tcPr/>
          <w:p>
            <w:pPr>
              <w:pStyle w:val="Compact"/>
              <w:jc w:val="left"/>
            </w:pPr>
            <w:r>
              <w:t xml:space="preserve">+113 %</w:t>
            </w:r>
          </w:p>
        </w:tc>
        <w:tc>
          <w:tcPr/>
          <w:p>
            <w:pPr>
              <w:pStyle w:val="Compact"/>
              <w:jc w:val="left"/>
            </w:pPr>
            <w:r>
              <w:t xml:space="preserve">+71 %</w:t>
            </w:r>
          </w:p>
        </w:tc>
        <w:tc>
          <w:tcPr/>
          <w:p>
            <w:pPr>
              <w:pStyle w:val="Compact"/>
              <w:jc w:val="left"/>
            </w:pPr>
            <w:r>
              <w:t xml:space="preserve">+95 %</w:t>
            </w:r>
          </w:p>
        </w:tc>
      </w:tr>
      <w:tr>
        <w:tc>
          <w:tcPr/>
          <w:p>
            <w:pPr>
              <w:pStyle w:val="Compact"/>
              <w:jc w:val="left"/>
            </w:pPr>
            <w:r>
              <w:t xml:space="preserve">EV/ventas NTM</w:t>
            </w:r>
          </w:p>
        </w:tc>
        <w:tc>
          <w:tcPr/>
          <w:p>
            <w:pPr>
              <w:pStyle w:val="Compact"/>
              <w:jc w:val="left"/>
            </w:pPr>
            <w:r>
              <w:t xml:space="preserve">7,9x</w:t>
            </w:r>
          </w:p>
        </w:tc>
        <w:tc>
          <w:tcPr/>
          <w:p>
            <w:pPr>
              <w:pStyle w:val="Compact"/>
              <w:jc w:val="left"/>
            </w:pPr>
            <w:r>
              <w:t xml:space="preserve">6,9x</w:t>
            </w:r>
          </w:p>
        </w:tc>
        <w:tc>
          <w:tcPr/>
          <w:p>
            <w:pPr>
              <w:pStyle w:val="Compact"/>
              <w:jc w:val="left"/>
            </w:pPr>
            <w:r>
              <w:t xml:space="preserve">4,75x</w:t>
            </w:r>
          </w:p>
        </w:tc>
      </w:tr>
      <w:tr>
        <w:tc>
          <w:tcPr/>
          <w:p>
            <w:pPr>
              <w:pStyle w:val="Compact"/>
              <w:jc w:val="left"/>
            </w:pPr>
            <w:r>
              <w:t xml:space="preserve">Margen bruto</w:t>
            </w:r>
          </w:p>
        </w:tc>
        <w:tc>
          <w:tcPr/>
          <w:p>
            <w:pPr>
              <w:pStyle w:val="Compact"/>
              <w:jc w:val="left"/>
            </w:pPr>
            <w:r>
              <w:t xml:space="preserve">91 %</w:t>
            </w:r>
          </w:p>
        </w:tc>
        <w:tc>
          <w:tcPr/>
          <w:p>
            <w:pPr>
              <w:pStyle w:val="Compact"/>
              <w:jc w:val="left"/>
            </w:pPr>
            <w:r>
              <w:t xml:space="preserve">90 %</w:t>
            </w:r>
          </w:p>
        </w:tc>
        <w:tc>
          <w:tcPr/>
          <w:p>
            <w:pPr>
              <w:pStyle w:val="Compact"/>
              <w:jc w:val="left"/>
            </w:pPr>
            <w:r>
              <w:t xml:space="preserve">80 %</w:t>
            </w:r>
          </w:p>
        </w:tc>
      </w:tr>
      <w:tr>
        <w:tc>
          <w:tcPr/>
          <w:p>
            <w:pPr>
              <w:pStyle w:val="Compact"/>
              <w:jc w:val="left"/>
            </w:pPr>
            <w:r>
              <w:t xml:space="preserve">Subida en 12 meses</w:t>
            </w:r>
          </w:p>
        </w:tc>
        <w:tc>
          <w:tcPr/>
          <w:p>
            <w:pPr>
              <w:pStyle w:val="Compact"/>
              <w:jc w:val="left"/>
            </w:pPr>
            <w:r>
              <w:t xml:space="preserve">+8 %</w:t>
            </w:r>
          </w:p>
        </w:tc>
        <w:tc>
          <w:tcPr/>
          <w:p>
            <w:pPr>
              <w:pStyle w:val="Compact"/>
              <w:jc w:val="left"/>
            </w:pPr>
            <w:r>
              <w:t xml:space="preserve">+1 %</w:t>
            </w:r>
          </w:p>
        </w:tc>
        <w:tc>
          <w:tcPr/>
          <w:p>
            <w:pPr>
              <w:pStyle w:val="Compact"/>
              <w:jc w:val="left"/>
            </w:pPr>
            <w:r>
              <w:t xml:space="preserve">−52 %</w:t>
            </w:r>
          </w:p>
        </w:tc>
      </w:tr>
      <w:tr>
        <w:tc>
          <w:tcPr/>
          <w:p>
            <w:pPr>
              <w:pStyle w:val="Compact"/>
              <w:jc w:val="left"/>
            </w:pPr>
            <w:r>
              <w:t xml:space="preserve">Ponderada (v11)</w:t>
            </w:r>
          </w:p>
        </w:tc>
        <w:tc>
          <w:tcPr/>
          <w:p>
            <w:pPr>
              <w:pStyle w:val="Compact"/>
              <w:jc w:val="left"/>
            </w:pPr>
            <w:r>
              <w:t xml:space="preserve">−16 %</w:t>
            </w:r>
          </w:p>
        </w:tc>
        <w:tc>
          <w:tcPr/>
          <w:p>
            <w:pPr>
              <w:pStyle w:val="Compact"/>
              <w:jc w:val="left"/>
            </w:pPr>
            <w:r>
              <w:t xml:space="preserve">+11 %</w:t>
            </w:r>
          </w:p>
        </w:tc>
        <w:tc>
          <w:tcPr/>
          <w:p>
            <w:pPr>
              <w:pStyle w:val="Compact"/>
              <w:jc w:val="left"/>
            </w:pPr>
            <w:r>
              <w:t xml:space="preserve">−10 %</w:t>
            </w:r>
          </w:p>
        </w:tc>
      </w:tr>
      <w:tr>
        <w:tc>
          <w:tcPr/>
          <w:p>
            <w:pPr>
              <w:pStyle w:val="Compact"/>
              <w:jc w:val="left"/>
            </w:pPr>
            <w:r>
              <w:t xml:space="preserve">Bajista</w:t>
            </w:r>
          </w:p>
        </w:tc>
        <w:tc>
          <w:tcPr/>
          <w:p>
            <w:pPr>
              <w:pStyle w:val="Compact"/>
              <w:jc w:val="left"/>
            </w:pPr>
            <w:r>
              <w:t xml:space="preserve">−58 %</w:t>
            </w:r>
          </w:p>
        </w:tc>
        <w:tc>
          <w:tcPr/>
          <w:p>
            <w:pPr>
              <w:pStyle w:val="Compact"/>
              <w:jc w:val="left"/>
            </w:pPr>
            <w:r>
              <w:t xml:space="preserve">−43 %</w:t>
            </w:r>
          </w:p>
        </w:tc>
        <w:tc>
          <w:tcPr/>
          <w:p>
            <w:pPr>
              <w:pStyle w:val="Compact"/>
              <w:jc w:val="left"/>
            </w:pPr>
            <w:r>
              <w:t xml:space="preserve">−52 %</w:t>
            </w:r>
          </w:p>
        </w:tc>
      </w:tr>
    </w:tbl>
    <w:p>
      <w:pPr>
        <w:pStyle w:val="BodyText"/>
      </w:pPr>
      <w:r>
        <w:t xml:space="preserve">argenx sigue por delante: más diversificada dentro de su fármaco (varias enfermedades), sin deuda y con más beneficio. Ascendis es la que más crece, pero también la más cara de las tres y la que más depende de un solo producto.</w:t>
      </w:r>
    </w:p>
    <w:p>
      <w:pPr>
        <w:pStyle w:val="BodyText"/>
      </w:pPr>
      <w:r>
        <w:rPr>
          <w:bCs/>
          <w:b/>
        </w:rPr>
        <w:t xml:space="preserve">Qué la haría entrar</w:t>
      </w:r>
      <w:r>
        <w:t xml:space="preserve">: (a) que el 3T o la primera guía de 2027 muestren que Yorvipath vuelve a sumar pacientes (revisiones al alza, precio sobre la media de 200 sesiones) y el informe se rehaga con más ventas, o (b) un precio por debajo de 178,5 USD. Aun así, competiría por el hueco con los suplentes.</w:t>
      </w:r>
    </w:p>
    <w:bookmarkEnd w:id="33"/>
    <w:bookmarkStart w:id="34"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16,7</w:t>
            </w:r>
          </w:p>
        </w:tc>
        <w:tc>
          <w:tcPr/>
          <w:p>
            <w:pPr>
              <w:pStyle w:val="Compact"/>
              <w:jc w:val="left"/>
            </w:pPr>
            <w:r>
              <w:t xml:space="preserve">25</w:t>
            </w:r>
          </w:p>
        </w:tc>
        <w:tc>
          <w:tcPr/>
          <w:p>
            <w:pPr>
              <w:pStyle w:val="Compact"/>
              <w:jc w:val="left"/>
            </w:pPr>
            <w:r>
              <w:t xml:space="preserve">Ingresos 12 m +113,4 % (5), crecimiento anual compuesto a 2 años +81,6 % (5), aceleración −84,1 pp (0)</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c>
          <w:tcPr/>
          <w:p>
            <w:pPr>
              <w:pStyle w:val="Compact"/>
              <w:jc w:val="left"/>
            </w:pPr>
            <w:r>
              <w:t xml:space="preserve">Penetración 9,7 %, tecnología 4, posición 4</w:t>
            </w:r>
          </w:p>
        </w:tc>
      </w:tr>
      <w:tr>
        <w:tc>
          <w:tcPr/>
          <w:p>
            <w:pPr>
              <w:pStyle w:val="Compact"/>
              <w:jc w:val="left"/>
            </w:pPr>
            <w:r>
              <w:t xml:space="preserve">C. Cambio de tendencia</w:t>
            </w:r>
          </w:p>
        </w:tc>
        <w:tc>
          <w:tcPr/>
          <w:p>
            <w:pPr>
              <w:pStyle w:val="Compact"/>
              <w:jc w:val="left"/>
            </w:pPr>
            <w:r>
              <w:t xml:space="preserve">7,5</w:t>
            </w:r>
          </w:p>
        </w:tc>
        <w:tc>
          <w:tcPr/>
          <w:p>
            <w:pPr>
              <w:pStyle w:val="Compact"/>
              <w:jc w:val="left"/>
            </w:pPr>
            <w:r>
              <w:t xml:space="preserve">20</w:t>
            </w:r>
          </w:p>
        </w:tc>
        <w:tc>
          <w:tcPr/>
          <w:p>
            <w:pPr>
              <w:pStyle w:val="Compact"/>
              <w:jc w:val="left"/>
            </w:pPr>
            <w:r>
              <w:t xml:space="preserve">3/8 señales, sin euforia</w:t>
            </w:r>
          </w:p>
        </w:tc>
      </w:tr>
      <w:tr>
        <w:tc>
          <w:tcPr/>
          <w:p>
            <w:pPr>
              <w:pStyle w:val="Compact"/>
              <w:jc w:val="left"/>
            </w:pPr>
            <w:r>
              <w:t xml:space="preserve">D. Economía unitaria</w:t>
            </w:r>
          </w:p>
        </w:tc>
        <w:tc>
          <w:tcPr/>
          <w:p>
            <w:pPr>
              <w:pStyle w:val="Compact"/>
              <w:jc w:val="left"/>
            </w:pPr>
            <w:r>
              <w:t xml:space="preserve">15,0</w:t>
            </w:r>
          </w:p>
        </w:tc>
        <w:tc>
          <w:tcPr/>
          <w:p>
            <w:pPr>
              <w:pStyle w:val="Compact"/>
              <w:jc w:val="left"/>
            </w:pPr>
            <w:r>
              <w:t xml:space="preserve">15</w:t>
            </w:r>
          </w:p>
        </w:tc>
        <w:tc>
          <w:tcPr/>
          <w:p>
            <w:pPr>
              <w:pStyle w:val="Compact"/>
              <w:jc w:val="left"/>
            </w:pPr>
            <w:r>
              <w:t xml:space="preserve">Margen bruto 91,3 % (5), regla del 40 = 130,4 (5), flujo de caja creciente (5)</w:t>
            </w:r>
          </w:p>
        </w:tc>
      </w:tr>
      <w:tr>
        <w:tc>
          <w:tcPr/>
          <w:p>
            <w:pPr>
              <w:pStyle w:val="Compact"/>
              <w:jc w:val="left"/>
            </w:pPr>
            <w:r>
              <w:t xml:space="preserve">E. Caja y dilución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Flujo de caja positivo (5), dilución del 2,3 % (3)</w:t>
            </w:r>
          </w:p>
        </w:tc>
      </w:tr>
      <w:tr>
        <w:tc>
          <w:tcPr/>
          <w:p>
            <w:pPr>
              <w:pStyle w:val="Compact"/>
              <w:jc w:val="left"/>
            </w:pPr>
            <w:r>
              <w:t xml:space="preserve">F. Ejecución y dirección</w:t>
            </w:r>
          </w:p>
        </w:tc>
        <w:tc>
          <w:tcPr/>
          <w:p>
            <w:pPr>
              <w:pStyle w:val="Compact"/>
              <w:jc w:val="left"/>
            </w:pPr>
            <w:r>
              <w:t xml:space="preserve">7,0</w:t>
            </w:r>
          </w:p>
        </w:tc>
        <w:tc>
          <w:tcPr/>
          <w:p>
            <w:pPr>
              <w:pStyle w:val="Compact"/>
              <w:jc w:val="left"/>
            </w:pPr>
            <w:r>
              <w:t xml:space="preserve">10</w:t>
            </w:r>
          </w:p>
        </w:tc>
        <w:tc>
          <w:tcPr/>
          <w:p>
            <w:pPr>
              <w:pStyle w:val="Compact"/>
              <w:jc w:val="left"/>
            </w:pPr>
            <w:r>
              <w:t xml:space="preserve">Historial 3, dirección 4</w:t>
            </w:r>
          </w:p>
        </w:tc>
      </w:tr>
      <w:tr>
        <w:tc>
          <w:tcPr/>
          <w:p>
            <w:pPr>
              <w:pStyle w:val="Compact"/>
              <w:jc w:val="left"/>
            </w:pPr>
            <w:r>
              <w:rPr>
                <w:bCs/>
                <w:b/>
              </w:rPr>
              <w:t xml:space="preserve">Total</w:t>
            </w:r>
          </w:p>
        </w:tc>
        <w:tc>
          <w:tcPr/>
          <w:p>
            <w:pPr>
              <w:pStyle w:val="Compact"/>
              <w:jc w:val="left"/>
            </w:pPr>
            <w:r>
              <w:rPr>
                <w:bCs/>
                <w:b/>
              </w:rPr>
              <w:t xml:space="preserve">68,8</w:t>
            </w:r>
          </w:p>
        </w:tc>
        <w:tc>
          <w:tcPr/>
          <w:p>
            <w:pPr>
              <w:pStyle w:val="Compact"/>
              <w:jc w:val="left"/>
            </w:pPr>
            <w:r>
              <w:rPr>
                <w:bCs/>
                <w:b/>
              </w:rPr>
              <w:t xml:space="preserve">100</w:t>
            </w:r>
          </w:p>
        </w:tc>
        <w:tc>
          <w:tcPr/>
          <w:p>
            <w:pPr>
              <w:pStyle w:val="Compact"/>
              <w:jc w:val="left"/>
            </w:pPr>
            <w:r>
              <w:t xml:space="preserve">Señal:</w:t>
            </w:r>
            <w:r>
              <w:t xml:space="preserve"> </w:t>
            </w:r>
            <w:r>
              <w:rPr>
                <w:bCs/>
                <w:b/>
              </w:rPr>
              <w:t xml:space="preserve">Vender / no comprar</w:t>
            </w:r>
            <w:r>
              <w:t xml:space="preserve"> </w:t>
            </w:r>
            <w:r>
              <w:t xml:space="preserve">(ponderada ≤ −10 %)</w:t>
            </w:r>
          </w:p>
        </w:tc>
      </w:tr>
    </w:tbl>
    <w:p>
      <w:pPr>
        <w:pStyle w:val="BodyText"/>
      </w:pPr>
      <w:r>
        <w:rPr>
          <w:bCs/>
          <w:b/>
        </w:rPr>
        <w:t xml:space="preserve">Mejoras de método propuestas (sin tocar el código)</w:t>
      </w:r>
      <w:r>
        <w:t xml:space="preserve">:</w:t>
      </w:r>
      <w:r>
        <w:t xml:space="preserve"> </w:t>
      </w:r>
      <w:r>
        <w:t xml:space="preserve">1.</w:t>
      </w:r>
      <w:r>
        <w:t xml:space="preserve"> </w:t>
      </w:r>
      <w:r>
        <w:rPr>
          <w:iCs/>
          <w:i/>
        </w:rPr>
        <w:t xml:space="preserve">Un umbral explícito para «depende de un solo producto».</w:t>
      </w:r>
      <w:r>
        <w:t xml:space="preserve"> </w:t>
      </w:r>
      <w:r>
        <w:t xml:space="preserve">En Alnylam y Ascendis, el mismo día, la regla 35/50/15 decide entre Vender y Mantener, y hoy es una decisión del analista. Propuesta: un campo en</w:t>
      </w:r>
      <w:r>
        <w:t xml:space="preserve"> </w:t>
      </w:r>
      <w:r>
        <w:rPr>
          <w:rStyle w:val="VerbatimChar"/>
        </w:rPr>
        <w:t xml:space="preserve">datos.json</w:t>
      </w:r>
      <w:r>
        <w:t xml:space="preserve"> </w:t>
      </w:r>
      <w:r>
        <w:t xml:space="preserve">con el peso del primer producto en las ventas, y la regla automática por encima del 70 %. Así la señal no depende del criterio de quien escribe el informe.</w:t>
      </w:r>
      <w:r>
        <w:t xml:space="preserve"> </w:t>
      </w:r>
      <w:r>
        <w:t xml:space="preserve">2.</w:t>
      </w:r>
      <w:r>
        <w:t xml:space="preserve"> </w:t>
      </w:r>
      <w:r>
        <w:rPr>
          <w:iCs/>
          <w:i/>
        </w:rPr>
        <w:t xml:space="preserve">Texto de la alerta de guía.</w:t>
      </w:r>
      <w:r>
        <w:t xml:space="preserve"> </w:t>
      </w:r>
      <w:r>
        <w:t xml:space="preserve">Dice «solo trimestral» también cuando la empresa no da ninguna guía, como aquí. Conviene separar los dos casos.</w:t>
      </w:r>
    </w:p>
    <w:p>
      <w:pPr>
        <w:pStyle w:val="BodyText"/>
      </w:pPr>
      <w:r>
        <w:t xml:space="preserve">No se ha calculado la candidata v12: Ascendis no ha comprado negocios que muevan el crecimiento.</w:t>
      </w:r>
    </w:p>
    <w:bookmarkEnd w:id="34"/>
    <w:bookmarkStart w:id="35" w:name="fuentes"/>
    <w:p>
      <w:pPr>
        <w:pStyle w:val="Heading2"/>
      </w:pPr>
      <w:r>
        <w:t xml:space="preserve">Fuentes</w:t>
      </w:r>
    </w:p>
    <w:p>
      <w:pPr>
        <w:pStyle w:val="FirstParagraph"/>
      </w:pPr>
      <w:r>
        <w:t xml:space="preserve">[1] Ascendis Pharma: nota de resultados del 2T 2026 (6-K, anexo 99.1, 13-ago-2026) e informe intermedio del 2T (6-K con XBRL); 6-K del 6-ago, 31-ago, 9-sep, 14-sep (dos) y 29-sep-2026 (SEC EDGAR).</w:t>
      </w:r>
      <w:r>
        <w:t xml:space="preserve"> </w:t>
      </w:r>
      <w:r>
        <w:t xml:space="preserve">[2] Yahoo Finance, chart API (series diarias de ASND, QQQ e IBB; series mensuales a 5 años; precio intradía de las 18:27 UTC del 14-oct; EUR/USD 1,1152) y Nasdaq.com (cierre de 223,21 USD el 13-oct-2026, igual en las dos fuentes).</w:t>
      </w:r>
      <w:r>
        <w:t xml:space="preserve"> </w:t>
      </w:r>
      <w:r>
        <w:t xml:space="preserve">[3] Yahoo Finance quoteSummary (14-oct-2026): consenso de ingresos y beneficio de 2026-2027 y de los dos próximos trimestres, tendencia del beneficio a 7-90 días, precio objetivo medio de 305,88 USD (20 analistas), recomendaciones, posiciones cortas, margen bruto y EBITDA de 12 meses.</w:t>
      </w:r>
      <w:r>
        <w:t xml:space="preserve"> </w:t>
      </w:r>
      <w:r>
        <w:t xml:space="preserve">[4] SEC, XBRL de Ascendis (companyfacts): ingresos, beneficio bruto, beneficio operativo, caja, préstamos y flujo de caja trimestrales 2023-2025; 20-F de 2025.</w:t>
      </w:r>
      <w:r>
        <w:t xml:space="preserve"> </w:t>
      </w:r>
      <w:r>
        <w:t xml:space="preserve">[5] StockAnalysis (12-oct-2026): consenso de ingresos de 2026-2027 en euros y acciones de los analistas. Stocksguide (vía buscador): ventas de 2027-2028 en dólares; la de 2028 es la cifra más débil.</w:t>
      </w:r>
      <w:r>
        <w:t xml:space="preserve"> </w:t>
      </w:r>
      <w:r>
        <w:t xml:space="preserve">[6] Motley Fool y The Globe and Mail: transcripción de la llamada del 2T 2026 (13-ago).</w:t>
      </w:r>
      <w:r>
        <w:t xml:space="preserve"> </w:t>
      </w:r>
      <w:r>
        <w:t xml:space="preserve">[7] Fierce Biotech, RTTNews, Panabee y AllSci (14-15-sep-2026): salida de Novo Nordisk, caída de la acción y cambios de los analistas.</w:t>
      </w:r>
      <w:r>
        <w:t xml:space="preserve"> </w:t>
      </w:r>
      <w:r>
        <w:t xml:space="preserve">[8] Walnut, Simply Wall St, Webull y Pulse 2.0 (narrativas y sentimiento).</w:t>
      </w:r>
      <w:r>
        <w:t xml:space="preserve"> </w:t>
      </w:r>
      <w:r>
        <w:t xml:space="preserve">[9] SEC, Form 4 de Ascendis (mayo-septiembre de 2026).</w:t>
      </w:r>
      <w:r>
        <w:t xml:space="preserve"> </w:t>
      </w:r>
      <w:r>
        <w:t xml:space="preserve">[10] Ascendis, 6-K del 14-sep-2026 (recompra de 400 M USD) y nota del 2T (índices Russell).</w:t>
      </w:r>
      <w:r>
        <w:t xml:space="preserve"> </w:t>
      </w:r>
      <w:r>
        <w:t xml:space="preserve">[11] BridgeBio, nota del 12-feb-2026 (fase 3 PROPEL 3 de infigratinib); Ascendis, 6-K del 31-ago-2026 (acuerdo con BioMarin).</w:t>
      </w:r>
      <w:r>
        <w:t xml:space="preserve"> </w:t>
      </w:r>
      <w:r>
        <w:t xml:space="preserve">[12]</w:t>
      </w:r>
      <w:r>
        <w:t xml:space="preserve"> </w:t>
      </w:r>
      <w:r>
        <w:rPr>
          <w:bCs/>
          <w:b/>
        </w:rPr>
        <w:t xml:space="preserve">Estimación propia</w:t>
      </w:r>
      <w:r>
        <w:t xml:space="preserve">: mercado alcanzable, ventas NTM, múltiplos históricos (con las ventas reales de los trimestres siguientes y, para 2026-2027, el consenso), comparables (de los informes growth del mismo día) y DCF inverso.</w:t>
      </w:r>
      <w:r>
        <w:t xml:space="preserve"> </w:t>
      </w:r>
      <w:r>
        <w:rPr>
          <w:bCs/>
          <w:b/>
        </w:rPr>
        <w:t xml:space="preserve">De memoria y sin comprobar</w:t>
      </w:r>
      <w:r>
        <w:t xml:space="preserve">: el múltiplo de BioMarin (~3x) y el estado del fase 3 de eneboparatida (AstraZeneca).</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2026-10-14T18:29:02Z</dcterms:created>
  <dcterms:modified xsi:type="dcterms:W3CDTF">2026-10-14T18:29:02Z</dcterms:modified>
</cp:coreProperties>
</file>

<file path=docProps/custom.xml><?xml version="1.0" encoding="utf-8"?>
<Properties xmlns="http://schemas.openxmlformats.org/officeDocument/2006/custom-properties" xmlns:vt="http://schemas.openxmlformats.org/officeDocument/2006/docPropsVTypes"/>
</file>