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761a869dee9b57586513686c537e68eace5491"/>
    <w:p>
      <w:pPr>
        <w:pStyle w:val="Heading1"/>
      </w:pPr>
      <w:r>
        <w:t xml:space="preserve">Construction Partners (ROAD): análisis growth, 14-oct-2026</w:t>
      </w:r>
    </w:p>
    <w:p>
      <w:pPr>
        <w:pStyle w:val="FirstParagraph"/>
      </w:pPr>
      <w:r>
        <w:rPr>
          <w:bCs/>
          <w:b/>
        </w:rPr>
        <w:t xml:space="preserve">Señal (método v11, vigente): Mantener (no comprar)</w:t>
      </w:r>
      <w:r>
        <w:t xml:space="preserve"> </w:t>
      </w:r>
      <w:r>
        <w:t xml:space="preserve">· Puntuación 57,2/100 · Señales de cambio de tendencia 1/8 · EV/beneficio bruto NTM 10,7x · Euforia: no (−30,4 % en 12 meses)</w:t>
      </w:r>
      <w:r>
        <w:t xml:space="preserve"> </w:t>
      </w:r>
      <w:r>
        <w:t xml:space="preserve">Precio 86,33 USD (cierre del 13-oct) · Objetivo 12 m 88,6 USD (ponderada +2,6 %, base −3,7 %, bajista −63,2 %, alcista +81,0 %) · Compra hasta 63,6 USD</w:t>
      </w:r>
      <w:r>
        <w:t xml:space="preserve"> </w:t>
      </w:r>
      <w:r>
        <w:t xml:space="preserve">Referencia v9: Mantener (57,2; ponderada +63,9 %, base +55,2 %, bajista −49,0 %; objetivo 141,5 USD; compra hasta 134 USD). La diferencia sale de que v9 proyecta el crecimiento comprado del pasado (+42 %) dos años más; v11 usa las ventas del consenso.</w:t>
      </w:r>
      <w:r>
        <w:t xml:space="preserve"> </w:t>
      </w:r>
      <w:r>
        <w:t xml:space="preserve">Candidata v12 (crecimiento orgánico): Mantener (ponderada −0,2 %, base +0,2 %, bajista −59,8 %; compra hasta 69,4 USD).</w:t>
      </w:r>
      <w:r>
        <w:t xml:space="preserve"> </w:t>
      </w:r>
      <w:r>
        <w:t xml:space="preserve">Peso orientativo: no entra · Por qué: el negocio es bueno y está barato frente a su historia, pero la acción va en caída libre, la deuda amplifica el escenario malo y la puntuación no llega a 60.</w:t>
      </w:r>
      <w:r>
        <w:t xml:space="preserve"> </w:t>
      </w:r>
      <w:r>
        <w:rPr>
          <w:bCs/>
          <w:b/>
        </w:rPr>
        <w:t xml:space="preserve">Al precio actual</w:t>
      </w:r>
      <w:r>
        <w:t xml:space="preserve"> </w:t>
      </w:r>
      <w:r>
        <w:t xml:space="preserve">(79,55 USD, 14-oct, 18:19 UTC, −7,9 % en el día) y con el objetivo del informe fijo (88,6 USD): ponderada +11,4 %. Sigue en Mantener: la puntuación sigue por debajo de 60 y el precio está por encima del «compra hasta» (63,6 USD).</w:t>
      </w:r>
    </w:p>
    <w:p>
      <w:pPr>
        <w:pStyle w:val="BlockText"/>
      </w:pPr>
      <w:r>
        <w:rPr>
          <w:bCs/>
          <w:b/>
        </w:rPr>
        <w:t xml:space="preserve">Por qué EV/EBITDA y no EV/ventas.</w:t>
      </w:r>
      <w:r>
        <w:t xml:space="preserve"> </w:t>
      </w:r>
      <w:r>
        <w:t xml:space="preserve">Construction Partners gana dinero de forma estable desde hace años (FCF positivo y creciente: 59, 121, 153 M USD en FY2023-FY2025 y 176 M en los últimos 12 meses) y su margen bruto es del 16 %: el EV/ventas (1,7x) no dice nada de lo que vale. Se valora por</w:t>
      </w:r>
      <w:r>
        <w:t xml:space="preserve"> </w:t>
      </w:r>
      <w:r>
        <w:rPr>
          <w:bCs/>
          <w:b/>
        </w:rPr>
        <w:t xml:space="preserve">EV/EBITDA ajustado de los 12 meses siguientes</w:t>
      </w:r>
      <w:r>
        <w:t xml:space="preserve"> </w:t>
      </w:r>
      <w:r>
        <w:t xml:space="preserve">(10,8x, con un EBITDA NTM estimado de 615 M en</w:t>
      </w:r>
      <w:r>
        <w:t xml:space="preserve"> </w:t>
      </w:r>
      <w:r>
        <w:rPr>
          <w:rStyle w:val="VerbatimChar"/>
        </w:rPr>
        <w:t xml:space="preserve">ebitda_ntm_m</w:t>
      </w:r>
      <w:r>
        <w:t xml:space="preserve">), la medida que usan la empresa, sus comparables y el mercado. El código aplica el múltiplo a las ventas de cada escenario con el margen EBITDA de hoy (15,5 %). El objetivo de la empresa (17 % en 2030; 16,2 % interpolado para el año objetivo, en</w:t>
      </w:r>
      <w:r>
        <w:t xml:space="preserve"> </w:t>
      </w:r>
      <w:r>
        <w:rPr>
          <w:rStyle w:val="VerbatimChar"/>
        </w:rPr>
        <w:t xml:space="preserve">margen_ebitda_obj_pct</w:t>
      </w:r>
      <w:r>
        <w:t xml:space="preserve">) no lo usa v11: congelar el margen es aquí prudente.</w:t>
      </w:r>
    </w:p>
    <w:bookmarkStart w:id="20" w:name="la-tesis-en-cinco-líneas"/>
    <w:p>
      <w:pPr>
        <w:pStyle w:val="Heading2"/>
      </w:pPr>
      <w:r>
        <w:t xml:space="preserve">1. La tesis en cinco líneas</w:t>
      </w:r>
    </w:p>
    <w:p>
      <w:pPr>
        <w:numPr>
          <w:ilvl w:val="0"/>
          <w:numId w:val="1001"/>
        </w:numPr>
        <w:pStyle w:val="Compact"/>
      </w:pPr>
      <w:r>
        <w:t xml:space="preserve">Construction Partners asfalta y mantiene carreteras en ocho estados del sur de EE. UU. Tiene sus propias plantas de asfalto, canteras y terminales de betún, y dos tercios de las ventas son obra pública [1][2].</w:t>
      </w:r>
    </w:p>
    <w:p>
      <w:pPr>
        <w:numPr>
          <w:ilvl w:val="0"/>
          <w:numId w:val="1001"/>
        </w:numPr>
        <w:pStyle w:val="Compact"/>
      </w:pPr>
      <w:r>
        <w:t xml:space="preserve">Crece muy deprisa, pero sobre todo comprando: +42 % en 12 meses, de los que solo un 8 % es crecimiento propio. Ha hecho 8 compras en un año (de VMC Houston, el 3-oct-2025, a J.H. Strain, el 5-oct-2026) [1][2].</w:t>
      </w:r>
    </w:p>
    <w:p>
      <w:pPr>
        <w:numPr>
          <w:ilvl w:val="0"/>
          <w:numId w:val="1001"/>
        </w:numPr>
        <w:pStyle w:val="Compact"/>
      </w:pPr>
      <w:r>
        <w:t xml:space="preserve">La bolsa se ha girado en contra: −39 % desde mayo, −30 % en 12 meses y mínimos anuales casi cada semana de octubre. Los motivos citados son la deuda (3,4 veces el EBITDA), los tipos de interés, el coste del asfalto y el miedo a la ley federal de carreteras, que venció el 30-sep [4][7].</w:t>
      </w:r>
    </w:p>
    <w:p>
      <w:pPr>
        <w:numPr>
          <w:ilvl w:val="0"/>
          <w:numId w:val="1001"/>
        </w:numPr>
        <w:pStyle w:val="Compact"/>
      </w:pPr>
      <w:r>
        <w:t xml:space="preserve">A 10,8x EV/EBITDA cotiza por debajo de su mediana de 3 años (~15x) y de los comparables de áridos. Pero con las ventas del consenso, la regla deja el escenario base en −3,7 %, y la deuda hace que el escenario malo pierda un 63 %.</w:t>
      </w:r>
    </w:p>
    <w:p>
      <w:pPr>
        <w:numPr>
          <w:ilvl w:val="0"/>
          <w:numId w:val="1001"/>
        </w:numPr>
        <w:pStyle w:val="Compact"/>
      </w:pPr>
      <w:r>
        <w:t xml:space="preserve">Conclusión:</w:t>
      </w:r>
      <w:r>
        <w:t xml:space="preserve"> </w:t>
      </w:r>
      <w:r>
        <w:rPr>
          <w:bCs/>
          <w:b/>
        </w:rPr>
        <w:t xml:space="preserve">Mantener (no comprar)</w:t>
      </w:r>
      <w:r>
        <w:t xml:space="preserve">. Sería comprable por debajo de ~64 USD y con la tendencia girando: la puntuación necesita al menos dos señales más para pasar de 60.</w:t>
      </w:r>
    </w:p>
    <w:bookmarkEnd w:id="20"/>
    <w:bookmarkStart w:id="21" w:name="negocio-y-tecnología"/>
    <w:p>
      <w:pPr>
        <w:pStyle w:val="Heading2"/>
      </w:pPr>
      <w:r>
        <w:t xml:space="preserve">2. Negocio y tecnología</w:t>
      </w:r>
    </w:p>
    <w:p>
      <w:pPr>
        <w:numPr>
          <w:ilvl w:val="0"/>
          <w:numId w:val="1002"/>
        </w:numPr>
        <w:pStyle w:val="Compact"/>
      </w:pPr>
      <w:r>
        <w:rPr>
          <w:bCs/>
          <w:b/>
        </w:rPr>
        <w:t xml:space="preserve">Qué hace</w:t>
      </w:r>
      <w:r>
        <w:t xml:space="preserve">: construcción, reparación y mantenimiento de carreteras, autopistas, pistas de aeropuerto y urbanizaciones; vende también asfalto en caliente, áridos y betún a terceros. Ocho estados: Alabama, Florida, Georgia, Carolina del Norte y del Sur, Tennessee, Texas y Oklahoma [1].</w:t>
      </w:r>
    </w:p>
    <w:p>
      <w:pPr>
        <w:numPr>
          <w:ilvl w:val="0"/>
          <w:numId w:val="1002"/>
        </w:numPr>
        <w:pStyle w:val="Compact"/>
      </w:pPr>
      <w:r>
        <w:rPr>
          <w:bCs/>
          <w:b/>
        </w:rPr>
        <w:t xml:space="preserve">Clientes</w:t>
      </w:r>
      <w:r>
        <w:t xml:space="preserve">: lo público es el 66 % de las ventas de 9 meses; los departamentos de transporte estatales, el 42 %; el de Florida, el 11,3 %. Ningún otro cliente pasa del 10 % [2].</w:t>
      </w:r>
    </w:p>
    <w:p>
      <w:pPr>
        <w:numPr>
          <w:ilvl w:val="0"/>
          <w:numId w:val="1002"/>
        </w:numPr>
        <w:pStyle w:val="Compact"/>
      </w:pPr>
      <w:r>
        <w:rPr>
          <w:bCs/>
          <w:b/>
        </w:rPr>
        <w:t xml:space="preserve">Qué tiene de diferente</w:t>
      </w:r>
      <w:r>
        <w:t xml:space="preserve">: no es tecnología. Es</w:t>
      </w:r>
      <w:r>
        <w:t xml:space="preserve"> </w:t>
      </w:r>
      <w:r>
        <w:rPr>
          <w:bCs/>
          <w:b/>
        </w:rPr>
        <w:t xml:space="preserve">integración vertical local</w:t>
      </w:r>
      <w:r>
        <w:t xml:space="preserve">: el asfalto en caliente solo viaja ~50 km, así que quien tiene la planta en una zona tiene ventaja de coste. Además, se abastece de más de la mitad del betún que usa y más del 80 % de las ventas lleva cláusula de ajuste por precio del asfalto [8]. El modelo es comprar empresas familiares locales y mantener a sus dueños al frente.</w:t>
      </w:r>
    </w:p>
    <w:p>
      <w:pPr>
        <w:numPr>
          <w:ilvl w:val="0"/>
          <w:numId w:val="1002"/>
        </w:numPr>
        <w:pStyle w:val="Compact"/>
      </w:pPr>
      <w:r>
        <w:rPr>
          <w:bCs/>
          <w:b/>
        </w:rPr>
        <w:t xml:space="preserve">Puntuación</w:t>
      </w:r>
      <w:r>
        <w:t xml:space="preserve">: tecnología</w:t>
      </w:r>
      <w:r>
        <w:t xml:space="preserve"> </w:t>
      </w:r>
      <w:r>
        <w:rPr>
          <w:bCs/>
          <w:b/>
        </w:rPr>
        <w:t xml:space="preserve">2/5</w:t>
      </w:r>
      <w:r>
        <w:t xml:space="preserve"> </w:t>
      </w:r>
      <w:r>
        <w:t xml:space="preserve">(producto de commodity con ventaja de ubicación); posición</w:t>
      </w:r>
      <w:r>
        <w:t xml:space="preserve"> </w:t>
      </w:r>
      <w:r>
        <w:rPr>
          <w:bCs/>
          <w:b/>
        </w:rPr>
        <w:t xml:space="preserve">4/5</w:t>
      </w:r>
      <w:r>
        <w:t xml:space="preserve"> </w:t>
      </w:r>
      <w:r>
        <w:t xml:space="preserve">(líder o número dos en muchas de sus zonas, con cuota creciente, pero no domina un mercado nacional).</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 (año fiscal a 30-sep)</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Sin compras</w:t>
            </w:r>
          </w:p>
        </w:tc>
        <w:tc>
          <w:tcPr/>
          <w:p>
            <w:pPr>
              <w:pStyle w:val="Compact"/>
              <w:jc w:val="left"/>
            </w:pPr>
            <w:r>
              <w:t xml:space="preserve">Margen bruto</w:t>
            </w:r>
          </w:p>
        </w:tc>
      </w:tr>
      <w:tr>
        <w:tc>
          <w:tcPr/>
          <w:p>
            <w:pPr>
              <w:pStyle w:val="Compact"/>
              <w:jc w:val="left"/>
            </w:pPr>
            <w:r>
              <w:t xml:space="preserve">3T FY25 (abr-jun 2025)</w:t>
            </w:r>
          </w:p>
        </w:tc>
        <w:tc>
          <w:tcPr/>
          <w:p>
            <w:pPr>
              <w:pStyle w:val="Compact"/>
              <w:jc w:val="left"/>
            </w:pPr>
            <w:r>
              <w:t xml:space="preserve">779,3</w:t>
            </w:r>
          </w:p>
        </w:tc>
        <w:tc>
          <w:tcPr/>
          <w:p>
            <w:pPr>
              <w:pStyle w:val="Compact"/>
              <w:jc w:val="left"/>
            </w:pPr>
            <w:r>
              <w:t xml:space="preserve">+50,5 %</w:t>
            </w:r>
          </w:p>
        </w:tc>
        <w:tc>
          <w:tcPr/>
          <w:p>
            <w:pPr>
              <w:pStyle w:val="Compact"/>
              <w:jc w:val="left"/>
            </w:pPr>
            <w:r>
              <w:t xml:space="preserve">—</w:t>
            </w:r>
          </w:p>
        </w:tc>
        <w:tc>
          <w:tcPr/>
          <w:p>
            <w:pPr>
              <w:pStyle w:val="Compact"/>
              <w:jc w:val="left"/>
            </w:pPr>
            <w:r>
              <w:t xml:space="preserve">16,9 %</w:t>
            </w:r>
          </w:p>
        </w:tc>
      </w:tr>
      <w:tr>
        <w:tc>
          <w:tcPr/>
          <w:p>
            <w:pPr>
              <w:pStyle w:val="Compact"/>
              <w:jc w:val="left"/>
            </w:pPr>
            <w:r>
              <w:t xml:space="preserve">4T FY25 (jul-sep 2025)</w:t>
            </w:r>
          </w:p>
        </w:tc>
        <w:tc>
          <w:tcPr/>
          <w:p>
            <w:pPr>
              <w:pStyle w:val="Compact"/>
              <w:jc w:val="left"/>
            </w:pPr>
            <w:r>
              <w:t xml:space="preserve">899,8</w:t>
            </w:r>
          </w:p>
        </w:tc>
        <w:tc>
          <w:tcPr/>
          <w:p>
            <w:pPr>
              <w:pStyle w:val="Compact"/>
              <w:jc w:val="left"/>
            </w:pPr>
            <w:r>
              <w:t xml:space="preserve">+67,2 %</w:t>
            </w:r>
          </w:p>
        </w:tc>
        <w:tc>
          <w:tcPr/>
          <w:p>
            <w:pPr>
              <w:pStyle w:val="Compact"/>
              <w:jc w:val="left"/>
            </w:pPr>
            <w:r>
              <w:t xml:space="preserve">—</w:t>
            </w:r>
          </w:p>
        </w:tc>
        <w:tc>
          <w:tcPr/>
          <w:p>
            <w:pPr>
              <w:pStyle w:val="Compact"/>
              <w:jc w:val="left"/>
            </w:pPr>
            <w:r>
              <w:t xml:space="preserve">17,7 %</w:t>
            </w:r>
          </w:p>
        </w:tc>
      </w:tr>
      <w:tr>
        <w:tc>
          <w:tcPr/>
          <w:p>
            <w:pPr>
              <w:pStyle w:val="Compact"/>
              <w:jc w:val="left"/>
            </w:pPr>
            <w:r>
              <w:t xml:space="preserve">1T FY26 (oct-dic 2025)</w:t>
            </w:r>
          </w:p>
        </w:tc>
        <w:tc>
          <w:tcPr/>
          <w:p>
            <w:pPr>
              <w:pStyle w:val="Compact"/>
              <w:jc w:val="left"/>
            </w:pPr>
            <w:r>
              <w:t xml:space="preserve">809,5</w:t>
            </w:r>
          </w:p>
        </w:tc>
        <w:tc>
          <w:tcPr/>
          <w:p>
            <w:pPr>
              <w:pStyle w:val="Compact"/>
              <w:jc w:val="left"/>
            </w:pPr>
            <w:r>
              <w:t xml:space="preserve">+44,1 %</w:t>
            </w:r>
          </w:p>
        </w:tc>
        <w:tc>
          <w:tcPr/>
          <w:p>
            <w:pPr>
              <w:pStyle w:val="Compact"/>
              <w:jc w:val="left"/>
            </w:pPr>
            <w:r>
              <w:t xml:space="preserve">—</w:t>
            </w:r>
          </w:p>
        </w:tc>
        <w:tc>
          <w:tcPr/>
          <w:p>
            <w:pPr>
              <w:pStyle w:val="Compact"/>
              <w:jc w:val="left"/>
            </w:pPr>
            <w:r>
              <w:t xml:space="preserve">15,0 %</w:t>
            </w:r>
          </w:p>
        </w:tc>
      </w:tr>
      <w:tr>
        <w:tc>
          <w:tcPr/>
          <w:p>
            <w:pPr>
              <w:pStyle w:val="Compact"/>
              <w:jc w:val="left"/>
            </w:pPr>
            <w:r>
              <w:t xml:space="preserve">2T FY26 (ene-mar 2026)</w:t>
            </w:r>
          </w:p>
        </w:tc>
        <w:tc>
          <w:tcPr/>
          <w:p>
            <w:pPr>
              <w:pStyle w:val="Compact"/>
              <w:jc w:val="left"/>
            </w:pPr>
            <w:r>
              <w:t xml:space="preserve">769,2</w:t>
            </w:r>
          </w:p>
        </w:tc>
        <w:tc>
          <w:tcPr/>
          <w:p>
            <w:pPr>
              <w:pStyle w:val="Compact"/>
              <w:jc w:val="left"/>
            </w:pPr>
            <w:r>
              <w:t xml:space="preserve">+34,5 %</w:t>
            </w:r>
          </w:p>
        </w:tc>
        <w:tc>
          <w:tcPr/>
          <w:p>
            <w:pPr>
              <w:pStyle w:val="Compact"/>
              <w:jc w:val="left"/>
            </w:pPr>
            <w:r>
              <w:t xml:space="preserve">+11 %</w:t>
            </w:r>
          </w:p>
        </w:tc>
        <w:tc>
          <w:tcPr/>
          <w:p>
            <w:pPr>
              <w:pStyle w:val="Compact"/>
              <w:jc w:val="left"/>
            </w:pPr>
            <w:r>
              <w:t xml:space="preserve">12,9 %</w:t>
            </w:r>
          </w:p>
        </w:tc>
      </w:tr>
      <w:tr>
        <w:tc>
          <w:tcPr/>
          <w:p>
            <w:pPr>
              <w:pStyle w:val="Compact"/>
              <w:jc w:val="left"/>
            </w:pPr>
            <w:r>
              <w:t xml:space="preserve">3T FY26 (abr-jun 2026)</w:t>
            </w:r>
          </w:p>
        </w:tc>
        <w:tc>
          <w:tcPr/>
          <w:p>
            <w:pPr>
              <w:pStyle w:val="Compact"/>
              <w:jc w:val="left"/>
            </w:pPr>
            <w:r>
              <w:t xml:space="preserve">999,4</w:t>
            </w:r>
          </w:p>
        </w:tc>
        <w:tc>
          <w:tcPr/>
          <w:p>
            <w:pPr>
              <w:pStyle w:val="Compact"/>
              <w:jc w:val="left"/>
            </w:pPr>
            <w:r>
              <w:t xml:space="preserve">+28,2 %</w:t>
            </w:r>
          </w:p>
        </w:tc>
        <w:tc>
          <w:tcPr/>
          <w:p>
            <w:pPr>
              <w:pStyle w:val="Compact"/>
              <w:jc w:val="left"/>
            </w:pPr>
            <w:r>
              <w:t xml:space="preserve">+8,9 %</w:t>
            </w:r>
          </w:p>
        </w:tc>
        <w:tc>
          <w:tcPr/>
          <w:p>
            <w:pPr>
              <w:pStyle w:val="Compact"/>
              <w:jc w:val="left"/>
            </w:pPr>
            <w:r>
              <w:t xml:space="preserve">16,8 %</w:t>
            </w:r>
          </w:p>
        </w:tc>
      </w:tr>
      <w:tr>
        <w:tc>
          <w:tcPr/>
          <w:p>
            <w:pPr>
              <w:pStyle w:val="Compact"/>
              <w:jc w:val="left"/>
            </w:pPr>
            <w:r>
              <w:t xml:space="preserve">4T FY26 (jul-sep 2026), implícito en la guía</w:t>
            </w:r>
          </w:p>
        </w:tc>
        <w:tc>
          <w:tcPr/>
          <w:p>
            <w:pPr>
              <w:pStyle w:val="Compact"/>
              <w:jc w:val="left"/>
            </w:pPr>
            <w:r>
              <w:t xml:space="preserve">1.081,9</w:t>
            </w:r>
          </w:p>
        </w:tc>
        <w:tc>
          <w:tcPr/>
          <w:p>
            <w:pPr>
              <w:pStyle w:val="Compact"/>
              <w:jc w:val="left"/>
            </w:pPr>
            <w:r>
              <w:t xml:space="preserve">+20,2 %</w:t>
            </w:r>
          </w:p>
        </w:tc>
        <w:tc>
          <w:tcPr/>
          <w:p>
            <w:pPr>
              <w:pStyle w:val="Compact"/>
              <w:jc w:val="left"/>
            </w:pPr>
            <w:r>
              <w:t xml:space="preserve">—</w:t>
            </w:r>
          </w:p>
        </w:tc>
        <w:tc>
          <w:tcPr/>
          <w:p>
            <w:pPr>
              <w:pStyle w:val="Compact"/>
              <w:jc w:val="left"/>
            </w:pPr>
            <w:r>
              <w:t xml:space="preserv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Ejercicio</w:t>
            </w:r>
          </w:p>
        </w:tc>
        <w:tc>
          <w:tcPr/>
          <w:p>
            <w:pPr>
              <w:pStyle w:val="Compact"/>
              <w:jc w:val="left"/>
            </w:pPr>
            <w:r>
              <w:t xml:space="preserve">Ventas (M USD)</w:t>
            </w:r>
          </w:p>
        </w:tc>
        <w:tc>
          <w:tcPr/>
          <w:p>
            <w:pPr>
              <w:pStyle w:val="Compact"/>
              <w:jc w:val="left"/>
            </w:pPr>
            <w:r>
              <w:t xml:space="preserve">Crecimiento</w:t>
            </w:r>
          </w:p>
        </w:tc>
        <w:tc>
          <w:tcPr/>
          <w:p>
            <w:pPr>
              <w:pStyle w:val="Compact"/>
              <w:jc w:val="left"/>
            </w:pPr>
            <w:r>
              <w:t xml:space="preserve">Orgánico</w:t>
            </w:r>
          </w:p>
        </w:tc>
        <w:tc>
          <w:tcPr/>
          <w:p>
            <w:pPr>
              <w:pStyle w:val="Compact"/>
              <w:jc w:val="left"/>
            </w:pPr>
            <w:r>
              <w:t xml:space="preserve">EBITDA ajustado (margen)</w:t>
            </w:r>
          </w:p>
        </w:tc>
      </w:tr>
      <w:tr>
        <w:tc>
          <w:tcPr/>
          <w:p>
            <w:pPr>
              <w:pStyle w:val="Compact"/>
              <w:jc w:val="left"/>
            </w:pPr>
            <w:r>
              <w:t xml:space="preserve">FY2023</w:t>
            </w:r>
          </w:p>
        </w:tc>
        <w:tc>
          <w:tcPr/>
          <w:p>
            <w:pPr>
              <w:pStyle w:val="Compact"/>
              <w:jc w:val="left"/>
            </w:pPr>
            <w:r>
              <w:t xml:space="preserve">1.563,5</w:t>
            </w:r>
          </w:p>
        </w:tc>
        <w:tc>
          <w:tcPr/>
          <w:p>
            <w:pPr>
              <w:pStyle w:val="Compact"/>
              <w:jc w:val="left"/>
            </w:pPr>
            <w:r>
              <w:t xml:space="preserve">+20,1 %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FY2024</w:t>
            </w:r>
          </w:p>
        </w:tc>
        <w:tc>
          <w:tcPr/>
          <w:p>
            <w:pPr>
              <w:pStyle w:val="Compact"/>
              <w:jc w:val="left"/>
            </w:pPr>
            <w:r>
              <w:t xml:space="preserve">1.823,9</w:t>
            </w:r>
          </w:p>
        </w:tc>
        <w:tc>
          <w:tcPr/>
          <w:p>
            <w:pPr>
              <w:pStyle w:val="Compact"/>
              <w:jc w:val="left"/>
            </w:pPr>
            <w:r>
              <w:t xml:space="preserve">+16,7 %</w:t>
            </w:r>
          </w:p>
        </w:tc>
        <w:tc>
          <w:tcPr/>
          <w:p>
            <w:pPr>
              <w:pStyle w:val="Compact"/>
              <w:jc w:val="left"/>
            </w:pPr>
            <w:r>
              <w:t xml:space="preserve">—</w:t>
            </w:r>
          </w:p>
        </w:tc>
        <w:tc>
          <w:tcPr/>
          <w:p>
            <w:pPr>
              <w:pStyle w:val="Compact"/>
              <w:jc w:val="left"/>
            </w:pPr>
            <w:r>
              <w:t xml:space="preserve">220,6 (12,1 %)</w:t>
            </w:r>
          </w:p>
        </w:tc>
      </w:tr>
      <w:tr>
        <w:tc>
          <w:tcPr/>
          <w:p>
            <w:pPr>
              <w:pStyle w:val="Compact"/>
              <w:jc w:val="left"/>
            </w:pPr>
            <w:r>
              <w:t xml:space="preserve">FY2025</w:t>
            </w:r>
          </w:p>
        </w:tc>
        <w:tc>
          <w:tcPr/>
          <w:p>
            <w:pPr>
              <w:pStyle w:val="Compact"/>
              <w:jc w:val="left"/>
            </w:pPr>
            <w:r>
              <w:t xml:space="preserve">2.812,4</w:t>
            </w:r>
          </w:p>
        </w:tc>
        <w:tc>
          <w:tcPr/>
          <w:p>
            <w:pPr>
              <w:pStyle w:val="Compact"/>
              <w:jc w:val="left"/>
            </w:pPr>
            <w:r>
              <w:t xml:space="preserve">+54,2 %</w:t>
            </w:r>
          </w:p>
        </w:tc>
        <w:tc>
          <w:tcPr/>
          <w:p>
            <w:pPr>
              <w:pStyle w:val="Compact"/>
              <w:jc w:val="left"/>
            </w:pPr>
            <w:r>
              <w:t xml:space="preserve">+8,4 %</w:t>
            </w:r>
          </w:p>
        </w:tc>
        <w:tc>
          <w:tcPr/>
          <w:p>
            <w:pPr>
              <w:pStyle w:val="Compact"/>
              <w:jc w:val="left"/>
            </w:pPr>
            <w:r>
              <w:t xml:space="preserve">423,7 (15,1 %)</w:t>
            </w:r>
          </w:p>
        </w:tc>
      </w:tr>
      <w:tr>
        <w:tc>
          <w:tcPr/>
          <w:p>
            <w:pPr>
              <w:pStyle w:val="Compact"/>
              <w:jc w:val="left"/>
            </w:pPr>
            <w:r>
              <w:t xml:space="preserve">FY2026 (guía 7-ago)</w:t>
            </w:r>
          </w:p>
        </w:tc>
        <w:tc>
          <w:tcPr/>
          <w:p>
            <w:pPr>
              <w:pStyle w:val="Compact"/>
              <w:jc w:val="left"/>
            </w:pPr>
            <w:r>
              <w:t xml:space="preserve">3.660</w:t>
            </w:r>
          </w:p>
        </w:tc>
        <w:tc>
          <w:tcPr/>
          <w:p>
            <w:pPr>
              <w:pStyle w:val="Compact"/>
              <w:jc w:val="left"/>
            </w:pPr>
            <w:r>
              <w:t xml:space="preserve">+30,1 %</w:t>
            </w:r>
          </w:p>
        </w:tc>
        <w:tc>
          <w:tcPr/>
          <w:p>
            <w:pPr>
              <w:pStyle w:val="Compact"/>
              <w:jc w:val="left"/>
            </w:pPr>
            <w:r>
              <w:t xml:space="preserve">7-8 %</w:t>
            </w:r>
          </w:p>
        </w:tc>
        <w:tc>
          <w:tcPr/>
          <w:p>
            <w:pPr>
              <w:pStyle w:val="Compact"/>
              <w:jc w:val="left"/>
            </w:pPr>
            <w:r>
              <w:t xml:space="preserve">564 (15,4 %)</w:t>
            </w:r>
          </w:p>
        </w:tc>
      </w:tr>
      <w:tr>
        <w:tc>
          <w:tcPr/>
          <w:p>
            <w:pPr>
              <w:pStyle w:val="Compact"/>
              <w:jc w:val="left"/>
            </w:pPr>
            <w:r>
              <w:t xml:space="preserve">FY2027 (consenso)</w:t>
            </w:r>
          </w:p>
        </w:tc>
        <w:tc>
          <w:tcPr/>
          <w:p>
            <w:pPr>
              <w:pStyle w:val="Compact"/>
              <w:jc w:val="left"/>
            </w:pPr>
            <w:r>
              <w:t xml:space="preserve">4.090</w:t>
            </w:r>
          </w:p>
        </w:tc>
        <w:tc>
          <w:tcPr/>
          <w:p>
            <w:pPr>
              <w:pStyle w:val="Compact"/>
              <w:jc w:val="left"/>
            </w:pPr>
            <w:r>
              <w:t xml:space="preserve">+11,6 %</w:t>
            </w:r>
          </w:p>
        </w:tc>
        <w:tc>
          <w:tcPr/>
          <w:p>
            <w:pPr>
              <w:pStyle w:val="Compact"/>
              <w:jc w:val="left"/>
            </w:pPr>
            <w:r>
              <w:t xml:space="preserve">—</w:t>
            </w:r>
          </w:p>
        </w:tc>
        <w:tc>
          <w:tcPr/>
          <w:p>
            <w:pPr>
              <w:pStyle w:val="Compact"/>
              <w:jc w:val="left"/>
            </w:pPr>
            <w:r>
              <w:t xml:space="preserve">—</w:t>
            </w:r>
          </w:p>
        </w:tc>
      </w:tr>
    </w:tbl>
    <w:p>
      <w:pPr>
        <w:pStyle w:val="BodyText"/>
      </w:pPr>
      <w:r>
        <w:t xml:space="preserve">Fuentes: [1][2][5]. Ventas de 12 meses: 3.477,9 M (+41,9 %); crecimiento propio a 2 años: +40,5 % anual. El último trimestre (+28,2 %) queda 20,9 puntos por debajo de la media de los cuatro anteriores: no es un frenazo del negocio, es que la gran compra de Lone Star Paving (nov-2024) ya cumplió un año. El crecimiento propio se mantiene estable en torno al 8 %.</w:t>
      </w:r>
    </w:p>
    <w:p>
      <w:pPr>
        <w:pStyle w:val="BodyText"/>
      </w:pPr>
      <w:r>
        <w:rPr>
          <w:bCs/>
          <w:b/>
        </w:rPr>
        <w:t xml:space="preserve">Guía.</w:t>
      </w:r>
      <w:r>
        <w:t xml:space="preserve"> </w:t>
      </w:r>
      <w:r>
        <w:t xml:space="preserve">Solo da guía anual. La de FY2026 se subió tres veces (de 3.450 a 3.660 M en el punto medio), sobre todo por compras. Lo que queda del año guiado (el 4T) implica +20,2 %. La guía FY2027 llega con los resultados de noviembre.</w:t>
      </w:r>
      <w:r>
        <w:t xml:space="preserve"> </w:t>
      </w:r>
      <w:r>
        <w:rPr>
          <w:bCs/>
          <w:b/>
        </w:rPr>
        <w:t xml:space="preserve">Crecimiento orgánico</w:t>
      </w:r>
      <w:r>
        <w:t xml:space="preserve"> </w:t>
      </w:r>
      <w:r>
        <w:t xml:space="preserve">(</w:t>
      </w:r>
      <w:r>
        <w:rPr>
          <w:rStyle w:val="VerbatimChar"/>
        </w:rPr>
        <w:t xml:space="preserve">crecimiento_actual_organico_pct</w:t>
      </w:r>
      <w:r>
        <w:t xml:space="preserve"> </w:t>
      </w:r>
      <w:r>
        <w:t xml:space="preserve">= 8 %): de los +220 M del 3T, 151 M fueron compras; en 9 meses, 514 M. Las compras ya cerradas añaden ~6 puntos al crecimiento de los 12 meses siguientes (+13,9 % estimado) [2][8].</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~50.000 M USD al año (estimación propia: ~140.000 M de gasto en carreteras y calles de EE. UU., de memoria, por ~35 % de sus ocho estados) [11]. Penetración ~7 %. El plan ROAD 2030 aspira a más de 6.000 M de ventas en 2030 [8].</w:t>
      </w:r>
    </w:p>
    <w:p>
      <w:pPr>
        <w:numPr>
          <w:ilvl w:val="0"/>
          <w:numId w:val="1003"/>
        </w:numPr>
        <w:pStyle w:val="Compact"/>
      </w:pPr>
      <w:r>
        <w:rPr>
          <w:bCs/>
          <w:b/>
        </w:rPr>
        <w:t xml:space="preserve">Rivales</w:t>
      </w:r>
      <w:r>
        <w:t xml:space="preserve">: gigantes de áridos con asfalto (Vulcan, Martin Marietta, CRH), constructoras (Granite, Sterling, Knife River) y cientos de familiares locales. Estas últimas son a la vez competencia y cantera de compras.</w:t>
      </w:r>
    </w:p>
    <w:p>
      <w:pPr>
        <w:numPr>
          <w:ilvl w:val="0"/>
          <w:numId w:val="1003"/>
        </w:numPr>
        <w:pStyle w:val="Compact"/>
      </w:pPr>
      <w:r>
        <w:rPr>
          <w:bCs/>
          <w:b/>
        </w:rPr>
        <w:t xml:space="preserve">Por qué gana</w:t>
      </w:r>
      <w:r>
        <w:t xml:space="preserve">: plantas propias en mercados donde el asfalto no puede venir de lejos, costes trasladados al cliente con índices y escala para comprar betún y maquinaria. Los estados del sur crecen en población y en carriles.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Baird baja su objetivo de 141 a 115 USD (9-oct); Raymond James de 161 a 150; Zacks y Weiss bajan a mantener</w:t>
            </w:r>
          </w:p>
        </w:tc>
        <w:tc>
          <w:tcPr/>
          <w:p>
            <w:pPr>
              <w:pStyle w:val="Compact"/>
              <w:jc w:val="left"/>
            </w:pPr>
            <w:r>
              <w:t xml:space="preserve">[5][6]</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86,33 frente a 112,9 USD, y la media baja</w:t>
            </w:r>
          </w:p>
        </w:tc>
        <w:tc>
          <w:tcPr/>
          <w:p>
            <w:pPr>
              <w:pStyle w:val="Compact"/>
              <w:jc w:val="left"/>
            </w:pPr>
            <w:r>
              <w:t xml:space="preserve">[4]</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−25,4 % frente a +13,4 % del S&amp;P 500</w:t>
            </w:r>
          </w:p>
        </w:tc>
        <w:tc>
          <w:tcPr/>
          <w:p>
            <w:pPr>
              <w:pStyle w:val="Compact"/>
              <w:jc w:val="left"/>
            </w:pPr>
            <w:r>
              <w:t xml:space="preserve">[4]</w:t>
            </w:r>
          </w:p>
        </w:tc>
      </w:tr>
      <w:tr>
        <w:tc>
          <w:tcPr/>
          <w:p>
            <w:pPr>
              <w:pStyle w:val="Compact"/>
              <w:jc w:val="left"/>
            </w:pPr>
            <w:r>
              <w:t xml:space="preserve">4. Mejora del múltiplo ≥ 20 %</w:t>
            </w:r>
          </w:p>
        </w:tc>
        <w:tc>
          <w:tcPr/>
          <w:p>
            <w:pPr>
              <w:pStyle w:val="Compact"/>
              <w:jc w:val="left"/>
            </w:pPr>
            <w:r>
              <w:t xml:space="preserve">No</w:t>
            </w:r>
          </w:p>
        </w:tc>
        <w:tc>
          <w:tcPr/>
          <w:p>
            <w:pPr>
              <w:pStyle w:val="Compact"/>
              <w:jc w:val="left"/>
            </w:pPr>
            <w:r>
              <w:t xml:space="preserve">El EV/EBITDA está en su mínimo de 12 meses</w:t>
            </w:r>
          </w:p>
        </w:tc>
        <w:tc>
          <w:tcPr/>
          <w:p>
            <w:pPr>
              <w:pStyle w:val="Compact"/>
              <w:jc w:val="left"/>
            </w:pPr>
            <w:r>
              <w:t xml:space="preserve">[4][9]</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Margen EBITDA del 3T del 16,3 % frente al 16,9 %</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Mínimos anuales seguidos y prensa centrada en deuda y tipos</w:t>
            </w:r>
          </w:p>
        </w:tc>
        <w:tc>
          <w:tcPr/>
          <w:p>
            <w:pPr>
              <w:pStyle w:val="Compact"/>
              <w:jc w:val="left"/>
            </w:pPr>
            <w:r>
              <w:t xml:space="preserve">[7][10]</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Ninguna compra en mercado en 2026</w:t>
            </w:r>
          </w:p>
        </w:tc>
        <w:tc>
          <w:tcPr/>
          <w:p>
            <w:pPr>
              <w:pStyle w:val="Compact"/>
              <w:jc w:val="left"/>
            </w:pPr>
            <w:r>
              <w:t xml:space="preserve">[3]</w:t>
            </w:r>
          </w:p>
        </w:tc>
      </w:tr>
      <w:tr>
        <w:tc>
          <w:tcPr/>
          <w:p>
            <w:pPr>
              <w:pStyle w:val="Compact"/>
              <w:jc w:val="left"/>
            </w:pPr>
            <w:r>
              <w:t xml:space="preserve">8. Catalizador en 6 meses</w:t>
            </w:r>
          </w:p>
        </w:tc>
        <w:tc>
          <w:tcPr/>
          <w:p>
            <w:pPr>
              <w:pStyle w:val="Compact"/>
              <w:jc w:val="left"/>
            </w:pPr>
            <w:r>
              <w:t xml:space="preserve">Sí</w:t>
            </w:r>
          </w:p>
        </w:tc>
        <w:tc>
          <w:tcPr/>
          <w:p>
            <w:pPr>
              <w:pStyle w:val="Compact"/>
              <w:jc w:val="left"/>
            </w:pPr>
            <w:r>
              <w:t xml:space="preserve">Resultados del 4T y guía FY2027 (mediados de noviembre); renovación de la ley federal de carreteras</w:t>
            </w:r>
          </w:p>
        </w:tc>
        <w:tc>
          <w:tcPr/>
          <w:p>
            <w:pPr>
              <w:pStyle w:val="Compact"/>
              <w:jc w:val="left"/>
            </w:pPr>
            <w:r>
              <w:t xml:space="preserve">[1][8]</w:t>
            </w:r>
          </w:p>
        </w:tc>
      </w:tr>
    </w:tbl>
    <w:p>
      <w:pPr>
        <w:pStyle w:val="BodyText"/>
      </w:pPr>
      <w:r>
        <w:rPr>
          <w:bCs/>
          <w:b/>
        </w:rPr>
        <w:t xml:space="preserve">Euforia: no</w:t>
      </w:r>
      <w:r>
        <w:t xml:space="preserve">: cae un 30 % en 12 meses. Es lo contrario: la percepción se ha girado en contra y todavía no hay ninguna señal de que vuelva.</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t xml:space="preserve">Margen bruto del 15,8 % (12 meses), típico de constructora. Margen EBITDA ajustado del 15,4 % en FY2026 (12,1 % en FY2024), con objetivo del 17 % en 2030 [1][8].</w:t>
      </w:r>
    </w:p>
    <w:p>
      <w:pPr>
        <w:numPr>
          <w:ilvl w:val="0"/>
          <w:numId w:val="1004"/>
        </w:numPr>
        <w:pStyle w:val="Compact"/>
      </w:pPr>
      <w:r>
        <w:t xml:space="preserve">FCF de 12 meses: 175,7 M (5,1 % de las ventas; flujo de explotación 352,9 M menos inversión 177,2 M). Regla del 40: 41,9 + 5,1 = 47.</w:t>
      </w:r>
    </w:p>
    <w:p>
      <w:pPr>
        <w:numPr>
          <w:ilvl w:val="0"/>
          <w:numId w:val="1004"/>
        </w:numPr>
        <w:pStyle w:val="Compact"/>
      </w:pPr>
      <w:r>
        <w:t xml:space="preserve">Camino:</w:t>
      </w:r>
      <w:r>
        <w:t xml:space="preserve"> </w:t>
      </w:r>
      <w:r>
        <w:rPr>
          <w:bCs/>
          <w:b/>
        </w:rPr>
        <w:t xml:space="preserve">FCF creciente</w:t>
      </w:r>
      <w:r>
        <w:t xml:space="preserve"> </w:t>
      </w:r>
      <w:r>
        <w:t xml:space="preserve">(59 → 121 → 153 → 176 M). El negocio es intensivo en maquinaria y plantas: la inversión se come la mitad del flujo.</w:t>
      </w:r>
    </w:p>
    <w:bookmarkEnd w:id="25"/>
    <w:bookmarkStart w:id="26" w:name="caja-deuda-y-dilución"/>
    <w:p>
      <w:pPr>
        <w:pStyle w:val="Heading2"/>
      </w:pPr>
      <w:r>
        <w:t xml:space="preserve">7. Caja, deuda y dilución</w:t>
      </w:r>
    </w:p>
    <w:p>
      <w:pPr>
        <w:numPr>
          <w:ilvl w:val="0"/>
          <w:numId w:val="1005"/>
        </w:numPr>
        <w:pStyle w:val="Compact"/>
      </w:pPr>
      <w:r>
        <w:rPr>
          <w:bCs/>
          <w:b/>
        </w:rPr>
        <w:t xml:space="preserve">Deuda</w:t>
      </w:r>
      <w:r>
        <w:t xml:space="preserve"> </w:t>
      </w:r>
      <w:r>
        <w:t xml:space="preserve">a 30-jun: 1.803 M (préstamo A 570 M hasta 2030; préstamo B 1.137 M hasta 2031; crédito revolving 96 M), más 77 M en efectivo pagados por Ellsworth en julio. Las otras tres compras de agosto-octubre no tienen precio publicado. Caja: 94,5 M [2].</w:t>
      </w:r>
    </w:p>
    <w:p>
      <w:pPr>
        <w:numPr>
          <w:ilvl w:val="0"/>
          <w:numId w:val="1005"/>
        </w:numPr>
        <w:pStyle w:val="Compact"/>
      </w:pPr>
      <w:r>
        <w:rPr>
          <w:bCs/>
          <w:b/>
        </w:rPr>
        <w:t xml:space="preserve">Apalancamiento</w:t>
      </w:r>
      <w:r>
        <w:t xml:space="preserve">: deuda neta / EBITDA de 12 meses ≈ 3,4x (3,17x según el banco; límite 4,75x, que baja a 4,0x en 2028). Objetivo de la empresa: 2,5x. S&amp;P espera que siga «en la zona alta de 3x» en FY2026 y FY2027 [2][7]. Intereses: ~109 M al año, el 20 % del EBITDA.</w:t>
      </w:r>
    </w:p>
    <w:p>
      <w:pPr>
        <w:numPr>
          <w:ilvl w:val="0"/>
          <w:numId w:val="1005"/>
        </w:numPr>
        <w:pStyle w:val="Compact"/>
      </w:pPr>
      <w:r>
        <w:rPr>
          <w:bCs/>
          <w:b/>
        </w:rPr>
        <w:t xml:space="preserve">Dilución</w:t>
      </w:r>
      <w:r>
        <w:t xml:space="preserve">: +1,5 % (incluidas las acciones entregadas por Ellsworth). Pagos en acciones: 1,2 % de las ventas (lejos del 15 % que preocupa).</w:t>
      </w:r>
    </w:p>
    <w:p>
      <w:pPr>
        <w:numPr>
          <w:ilvl w:val="0"/>
          <w:numId w:val="1005"/>
        </w:numPr>
        <w:pStyle w:val="Compact"/>
      </w:pPr>
      <w:r>
        <w:t xml:space="preserve">Pista de caja: no aplica (FCF positivo). El riesgo no es la caja, es que la deuda multiplica lo que pierde el accionista si el múltiplo cae.</w:t>
      </w:r>
    </w:p>
    <w:bookmarkEnd w:id="26"/>
    <w:bookmarkStart w:id="27" w:name="dirección-y-ejecución"/>
    <w:p>
      <w:pPr>
        <w:pStyle w:val="Heading2"/>
      </w:pPr>
      <w:r>
        <w:t xml:space="preserve">8. Dirección y ejecución</w:t>
      </w:r>
    </w:p>
    <w:p>
      <w:pPr>
        <w:numPr>
          <w:ilvl w:val="0"/>
          <w:numId w:val="1006"/>
        </w:numPr>
        <w:pStyle w:val="Compact"/>
      </w:pPr>
      <w:r>
        <w:t xml:space="preserve">Fundada y controlada por SunTx (Ned Fleming III, presidente ejecutivo): las acciones B tienen 10 votos. Consejero delegado: Jule Smith. El consejero Michael McKay falleció en julio [1].</w:t>
      </w:r>
    </w:p>
    <w:p>
      <w:pPr>
        <w:numPr>
          <w:ilvl w:val="0"/>
          <w:numId w:val="1006"/>
        </w:numPr>
        <w:pStyle w:val="Compact"/>
      </w:pPr>
      <w:r>
        <w:rPr>
          <w:bCs/>
          <w:b/>
        </w:rPr>
        <w:t xml:space="preserve">Historial 4/5</w:t>
      </w:r>
      <w:r>
        <w:t xml:space="preserve">: cumple o sube la guía casi siempre (FY2026 subida en cada trimestre), pero las subidas vienen de compras y el margen del 3T bajó por energía y lluvias.</w:t>
      </w:r>
      <w:r>
        <w:t xml:space="preserve"> </w:t>
      </w:r>
      <w:r>
        <w:rPr>
          <w:bCs/>
          <w:b/>
        </w:rPr>
        <w:t xml:space="preserve">Dirección 4/5</w:t>
      </w:r>
      <w:r>
        <w:t xml:space="preserve">: dueños con mucho capital dentro y compras a precios razonables, pero ritmo de compras muy alto con deuda.</w:t>
      </w:r>
    </w:p>
    <w:bookmarkEnd w:id="27"/>
    <w:bookmarkStart w:id="28" w:name="valoración"/>
    <w:p>
      <w:pPr>
        <w:pStyle w:val="Heading2"/>
      </w:pPr>
      <w:r>
        <w:t xml:space="preserve">9. Valoración</w:t>
      </w:r>
    </w:p>
    <w:p>
      <w:pPr>
        <w:pStyle w:val="FirstParagraph"/>
      </w:pPr>
      <w:r>
        <w:t xml:space="preserve">EV de hoy: 6.668 M (86,33 × 56,55 M acciones + 1.880 M de deuda − 94,5 M de caja). EBITDA NTM estimado: 615 M →</w:t>
      </w:r>
      <w:r>
        <w:t xml:space="preserve"> </w:t>
      </w:r>
      <w:r>
        <w:rPr>
          <w:bCs/>
          <w:b/>
        </w:rPr>
        <w:t xml:space="preserve">10,8x</w:t>
      </w:r>
      <w:r>
        <w:t xml:space="preserve">. EV/ventas NTM 1,7x; EV/beneficio bruto NTM 10,7x (muy por debajo del límite de 35) [9].</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 (prob.)</w:t>
            </w:r>
          </w:p>
        </w:tc>
        <w:tc>
          <w:tcPr/>
          <w:p>
            <w:pPr>
              <w:pStyle w:val="Compact"/>
              <w:jc w:val="left"/>
            </w:pPr>
            <w:r>
              <w:t xml:space="preserve">Ventas año objetivo (M USD)</w:t>
            </w:r>
          </w:p>
        </w:tc>
        <w:tc>
          <w:tcPr/>
          <w:p>
            <w:pPr>
              <w:pStyle w:val="Compact"/>
              <w:jc w:val="left"/>
            </w:pPr>
            <w:r>
              <w:t xml:space="preserve">EV/EBITDA</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4.020</w:t>
            </w:r>
          </w:p>
        </w:tc>
        <w:tc>
          <w:tcPr/>
          <w:p>
            <w:pPr>
              <w:pStyle w:val="Compact"/>
              <w:jc w:val="left"/>
            </w:pPr>
            <w:r>
              <w:t xml:space="preserve">5,8x</w:t>
            </w:r>
          </w:p>
        </w:tc>
        <w:tc>
          <w:tcPr/>
          <w:p>
            <w:pPr>
              <w:pStyle w:val="Compact"/>
              <w:jc w:val="left"/>
            </w:pPr>
            <w:r>
              <w:t xml:space="preserve">31,8</w:t>
            </w:r>
          </w:p>
        </w:tc>
        <w:tc>
          <w:tcPr/>
          <w:p>
            <w:pPr>
              <w:pStyle w:val="Compact"/>
              <w:jc w:val="left"/>
            </w:pPr>
            <w:r>
              <w:t xml:space="preserve">−63,2 %</w:t>
            </w:r>
          </w:p>
        </w:tc>
      </w:tr>
      <w:tr>
        <w:tc>
          <w:tcPr/>
          <w:p>
            <w:pPr>
              <w:pStyle w:val="Compact"/>
              <w:jc w:val="left"/>
            </w:pPr>
            <w:r>
              <w:t xml:space="preserve">Base (50 %)</w:t>
            </w:r>
          </w:p>
        </w:tc>
        <w:tc>
          <w:tcPr/>
          <w:p>
            <w:pPr>
              <w:pStyle w:val="Compact"/>
              <w:jc w:val="left"/>
            </w:pPr>
            <w:r>
              <w:t xml:space="preserve">4.380</w:t>
            </w:r>
          </w:p>
        </w:tc>
        <w:tc>
          <w:tcPr/>
          <w:p>
            <w:pPr>
              <w:pStyle w:val="Compact"/>
              <w:jc w:val="left"/>
            </w:pPr>
            <w:r>
              <w:t xml:space="preserve">9,6x</w:t>
            </w:r>
          </w:p>
        </w:tc>
        <w:tc>
          <w:tcPr/>
          <w:p>
            <w:pPr>
              <w:pStyle w:val="Compact"/>
              <w:jc w:val="left"/>
            </w:pPr>
            <w:r>
              <w:t xml:space="preserve">83,2</w:t>
            </w:r>
          </w:p>
        </w:tc>
        <w:tc>
          <w:tcPr/>
          <w:p>
            <w:pPr>
              <w:pStyle w:val="Compact"/>
              <w:jc w:val="left"/>
            </w:pPr>
            <w:r>
              <w:t xml:space="preserve">−3,7 %</w:t>
            </w:r>
          </w:p>
        </w:tc>
      </w:tr>
      <w:tr>
        <w:tc>
          <w:tcPr/>
          <w:p>
            <w:pPr>
              <w:pStyle w:val="Compact"/>
              <w:jc w:val="left"/>
            </w:pPr>
            <w:r>
              <w:t xml:space="preserve">Alcista (25 %)</w:t>
            </w:r>
          </w:p>
        </w:tc>
        <w:tc>
          <w:tcPr/>
          <w:p>
            <w:pPr>
              <w:pStyle w:val="Compact"/>
              <w:jc w:val="left"/>
            </w:pPr>
            <w:r>
              <w:t xml:space="preserve">4.600</w:t>
            </w:r>
          </w:p>
        </w:tc>
        <w:tc>
          <w:tcPr/>
          <w:p>
            <w:pPr>
              <w:pStyle w:val="Compact"/>
              <w:jc w:val="left"/>
            </w:pPr>
            <w:r>
              <w:t xml:space="preserve">15,0x</w:t>
            </w:r>
          </w:p>
        </w:tc>
        <w:tc>
          <w:tcPr/>
          <w:p>
            <w:pPr>
              <w:pStyle w:val="Compact"/>
              <w:jc w:val="left"/>
            </w:pPr>
            <w:r>
              <w:t xml:space="preserve">156,2</w:t>
            </w:r>
          </w:p>
        </w:tc>
        <w:tc>
          <w:tcPr/>
          <w:p>
            <w:pPr>
              <w:pStyle w:val="Compact"/>
              <w:jc w:val="left"/>
            </w:pPr>
            <w:r>
              <w:t xml:space="preserve">+81,0 %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88,6</w:t>
            </w:r>
          </w:p>
        </w:tc>
        <w:tc>
          <w:tcPr/>
          <w:p>
            <w:pPr>
              <w:pStyle w:val="Compact"/>
              <w:jc w:val="left"/>
            </w:pPr>
            <w:r>
              <w:rPr>
                <w:bCs/>
                <w:b/>
              </w:rPr>
              <w:t xml:space="preserve">+2,6 %</w:t>
            </w:r>
          </w:p>
        </w:tc>
      </w:tr>
    </w:tbl>
    <w:p>
      <w:pPr>
        <w:numPr>
          <w:ilvl w:val="0"/>
          <w:numId w:val="1007"/>
        </w:numPr>
        <w:pStyle w:val="Compact"/>
      </w:pPr>
      <w:r>
        <w:rPr>
          <w:bCs/>
          <w:b/>
        </w:rPr>
        <w:t xml:space="preserve">Ventas</w:t>
      </w:r>
      <w:r>
        <w:t xml:space="preserve">: v11 usa las del informe, que son las del consenso (base 4.380 M para jul-27 a jun-28: 4.090 M de FY2027 y ~4.500 M de FY2028, extrapolado). La proyección mecánica (6.330 M) repite dos años el +42 % comprado y no sirve aquí.</w:t>
      </w:r>
    </w:p>
    <w:p>
      <w:pPr>
        <w:numPr>
          <w:ilvl w:val="0"/>
          <w:numId w:val="1007"/>
        </w:numPr>
        <w:pStyle w:val="Compact"/>
      </w:pPr>
      <w:r>
        <w:rPr>
          <w:bCs/>
          <w:b/>
        </w:rPr>
        <w:t xml:space="preserve">Múltiplo</w:t>
      </w:r>
      <w:r>
        <w:t xml:space="preserve">: base = 10,8x rebajado un 11 % porque el crecimiento pasa del ~14 % al ~11 %. Bajista = base × 0,6. Alcista = su mediana de 3 años y la de comparables (~15x).</w:t>
      </w:r>
    </w:p>
    <w:p>
      <w:pPr>
        <w:numPr>
          <w:ilvl w:val="0"/>
          <w:numId w:val="1007"/>
        </w:numPr>
        <w:pStyle w:val="Compact"/>
      </w:pPr>
      <w:r>
        <w:rPr>
          <w:bCs/>
          <w:b/>
        </w:rPr>
        <w:t xml:space="preserve">Por qué el bajista es tan malo</w:t>
      </w:r>
      <w:r>
        <w:t xml:space="preserve">: la deuda (1.786 M netos) pesa el 27 % del EV. Si el EV cae un 40 %, el valor de las acciones cae un 63 %.</w:t>
      </w:r>
    </w:p>
    <w:p>
      <w:pPr>
        <w:numPr>
          <w:ilvl w:val="0"/>
          <w:numId w:val="1007"/>
        </w:numPr>
        <w:pStyle w:val="Compact"/>
      </w:pPr>
      <w:r>
        <w:rPr>
          <w:bCs/>
          <w:b/>
        </w:rPr>
        <w:t xml:space="preserve">Consenso</w:t>
      </w:r>
      <w:r>
        <w:t xml:space="preserve">: 7 analistas, Compra fuerte, objetivo medio 138,86 USD (+61 %). El método es bastante más prudente porque no supone vuelta del múltiplo a su media [5].</w:t>
      </w:r>
    </w:p>
    <w:p>
      <w:pPr>
        <w:numPr>
          <w:ilvl w:val="0"/>
          <w:numId w:val="1007"/>
        </w:numPr>
        <w:pStyle w:val="Compact"/>
      </w:pPr>
      <w:r>
        <w:rPr>
          <w:bCs/>
          <w:b/>
        </w:rPr>
        <w:t xml:space="preserve">DCF inverso</w:t>
      </w:r>
      <w:r>
        <w:t xml:space="preserve">: el precio descuenta que el FCF crezca ~13 % al año durante 10 años (con descuento del 9 %). Es exigente, aunque el FCF de hoy está deprimido por la inversión en plantas.</w:t>
      </w:r>
    </w:p>
    <w:p>
      <w:pPr>
        <w:numPr>
          <w:ilvl w:val="0"/>
          <w:numId w:val="1007"/>
        </w:numPr>
        <w:pStyle w:val="Compact"/>
      </w:pPr>
      <w:r>
        <w:rPr>
          <w:bCs/>
          <w:b/>
        </w:rPr>
        <w:t xml:space="preserve">Al precio actual (79,55 USD)</w:t>
      </w:r>
      <w:r>
        <w:t xml:space="preserve"> </w:t>
      </w:r>
      <w:r>
        <w:t xml:space="preserve">con el objetivo fijo: ponderada +11,4 %, base +4,6 %, bajista −60 %.</w:t>
      </w:r>
    </w:p>
    <w:bookmarkEnd w:id="28"/>
    <w:bookmarkStart w:id="29" w:name="foros-y-sentimiento"/>
    <w:p>
      <w:pPr>
        <w:pStyle w:val="Heading2"/>
      </w:pPr>
      <w:r>
        <w:t xml:space="preserve">10. Foros y sentimiento</w:t>
      </w:r>
    </w:p>
    <w:p>
      <w:pPr>
        <w:numPr>
          <w:ilvl w:val="0"/>
          <w:numId w:val="1008"/>
        </w:numPr>
        <w:pStyle w:val="Compact"/>
      </w:pPr>
      <w:r>
        <w:rPr>
          <w:bCs/>
          <w:b/>
        </w:rPr>
        <w:t xml:space="preserve">Prensa</w:t>
      </w:r>
      <w:r>
        <w:t xml:space="preserve">: MarketBeat publica mínimos anuales el 1, 7 y 13-oct. Trefis atribuye la caída del 27 % desde junio a un múltiplo más bajo (tipos, deuda), no a peores cifras. Un despacho de abogados anuncia una «investigación» (habitual tras caídas fuertes; sin fondo conocido). Seeking Alpha tenía tesis alcistas en primavera [7][10].</w:t>
      </w:r>
    </w:p>
    <w:p>
      <w:pPr>
        <w:numPr>
          <w:ilvl w:val="0"/>
          <w:numId w:val="1008"/>
        </w:numPr>
        <w:pStyle w:val="Compact"/>
      </w:pPr>
      <w:r>
        <w:rPr>
          <w:bCs/>
          <w:b/>
        </w:rPr>
        <w:t xml:space="preserve">Foros</w:t>
      </w:r>
      <w:r>
        <w:t xml:space="preserve">: no se localizaron hilos relevantes en Reddit (r/stocks, r/investing), Rankia ni Investing.com ES tras tres búsquedas; StockTwits/X no consultados directamente [10].</w:t>
      </w:r>
    </w:p>
    <w:p>
      <w:pPr>
        <w:numPr>
          <w:ilvl w:val="0"/>
          <w:numId w:val="1008"/>
        </w:numPr>
        <w:pStyle w:val="Compact"/>
      </w:pPr>
      <w:r>
        <w:rPr>
          <w:bCs/>
          <w:b/>
        </w:rPr>
        <w:t xml:space="preserve">Contraste con los datos</w:t>
      </w:r>
      <w:r>
        <w:t xml:space="preserve">: las cifras siguen sanas (récord de cartera de obra, 3.360 M; orgánico ~8 %; guía subida). El sentimiento cae más que el negocio, que es lo típico de growth. Pero no hay ninguna señal de giro todavía, y el método no compra caídas sin giro cuando la puntuación no llega.</w:t>
      </w:r>
    </w:p>
    <w:p>
      <w:pPr>
        <w:numPr>
          <w:ilvl w:val="0"/>
          <w:numId w:val="1008"/>
        </w:numPr>
        <w:pStyle w:val="Compact"/>
      </w:pPr>
      <w:r>
        <w:rPr>
          <w:bCs/>
          <w:b/>
        </w:rPr>
        <w:t xml:space="preserve">Riesgo de IA</w:t>
      </w:r>
      <w:r>
        <w:t xml:space="preserve">:</w:t>
      </w:r>
      <w:r>
        <w:t xml:space="preserve"> </w:t>
      </w:r>
      <w:r>
        <w:rPr>
          <w:bCs/>
          <w:b/>
        </w:rPr>
        <w:t xml:space="preserve">bajo</w:t>
      </w:r>
      <w:r>
        <w:t xml:space="preserve">. Asfaltar carreteras es trabajo físico y local que la IA no sustituye. Como mucho, ayuda en presupuestos y gestión de flotas. Los centros de datos son un pequeño viento a favor (Ellsworth, Overland, Abilene), no el motor de la tesis.</w:t>
      </w:r>
    </w:p>
    <w:bookmarkEnd w:id="29"/>
    <w:bookmarkStart w:id="30"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w:t>
      </w:r>
      <w:r>
        <w:t xml:space="preserve"> </w:t>
      </w:r>
      <w:r>
        <w:t xml:space="preserve">1.</w:t>
      </w:r>
      <w:r>
        <w:t xml:space="preserve"> </w:t>
      </w:r>
      <w:r>
        <w:rPr>
          <w:iCs/>
          <w:i/>
        </w:rPr>
        <w:t xml:space="preserve">«Proyección mecánica (6.330 M) &gt; 1,2 × la del analista (4.380 M): v11 usa la del analista.»</w:t>
      </w:r>
      <w:r>
        <w:t xml:space="preserve"> </w:t>
      </w:r>
      <w:r>
        <w:t xml:space="preserve">La regla mecánica proyecta el +42 % de los últimos 12 meses, que es casi todo comprado. v11 ya toma la menor, la del consenso.</w:t>
      </w:r>
      <w:r>
        <w:t xml:space="preserve"> </w:t>
      </w:r>
      <w:r>
        <w:rPr>
          <w:bCs/>
          <w:b/>
        </w:rPr>
        <w:t xml:space="preserve">No debilita la señal</w:t>
      </w:r>
      <w:r>
        <w:t xml:space="preserve">: la hace más prudente y más defendible. Con la mecánica (v9) saldría una ponderada del +64 % que no se sostiene.</w:t>
      </w:r>
      <w:r>
        <w:t xml:space="preserve"> </w:t>
      </w:r>
      <w:r>
        <w:t xml:space="preserve">2.</w:t>
      </w:r>
      <w:r>
        <w:t xml:space="preserve"> </w:t>
      </w:r>
      <w:r>
        <w:rPr>
          <w:iCs/>
          <w:i/>
        </w:rPr>
        <w:t xml:space="preserve">«Exceso sobre la guía de 18,8 pp (&gt; 10).»</w:t>
      </w:r>
      <w:r>
        <w:t xml:space="preserve"> </w:t>
      </w:r>
      <w:r>
        <w:t xml:space="preserve">Es real, pero viene de compras que la empresa no mete en su primera guía, no de batir su negocio propio. Aquí no cambia nada porque v11 usa las ventas del consenso.</w:t>
      </w:r>
      <w:r>
        <w:t xml:space="preserve"> </w:t>
      </w:r>
      <w:r>
        <w:rPr>
          <w:bCs/>
          <w:b/>
        </w:rPr>
        <w:t xml:space="preserve">No debilita la señal.</w:t>
      </w:r>
    </w:p>
    <w:p>
      <w:pPr>
        <w:pStyle w:val="BodyText"/>
      </w:pPr>
      <w:r>
        <w:rPr>
          <w:bCs/>
          <w:b/>
        </w:rPr>
        <w:t xml:space="preserve">Prueba de robustez</w:t>
      </w:r>
      <w:r>
        <w:t xml:space="preserve"> </w:t>
      </w:r>
      <w:r>
        <w:t xml:space="preserve">(</w:t>
      </w:r>
      <w:r>
        <w:rPr>
          <w:rStyle w:val="VerbatimChar"/>
        </w:rPr>
        <w:t xml:space="preserve">robustez-growth.mjs --precios</w:t>
      </w:r>
      <w:r>
        <w:t xml:space="preserve">):</w:t>
      </w:r>
      <w:r>
        <w:t xml:space="preserve"> </w:t>
      </w:r>
      <w:r>
        <w:rPr>
          <w:bCs/>
          <w:b/>
        </w:rPr>
        <w:t xml:space="preserve">SÓLIDA, Mantener</w:t>
      </w:r>
      <w:r>
        <w:t xml:space="preserve"> </w:t>
      </w:r>
      <w:r>
        <w:t xml:space="preserve">en todas las variantes salvo pesos 35/50/15, que da Vender (−11,8 %). Avisos: el bajista del −63 % (por la deuda) y que el precio ya descuenta crecer un 13 % anual 10 años. Al precio de hoy con el objetivo fijo, +11,4 %: sigue en Mantener.</w:t>
      </w:r>
    </w:p>
    <w:p>
      <w:pPr>
        <w:pStyle w:val="BodyText"/>
      </w:pPr>
      <w:r>
        <w:rPr>
          <w:bCs/>
          <w:b/>
        </w:rPr>
        <w:t xml:space="preserve">Riesgos de negocio</w:t>
      </w:r>
      <w:r>
        <w:t xml:space="preserve"> </w:t>
      </w:r>
      <w:r>
        <w:t xml:space="preserve">-</w:t>
      </w:r>
      <w:r>
        <w:t xml:space="preserve"> </w:t>
      </w:r>
      <w:r>
        <w:rPr>
          <w:bCs/>
          <w:b/>
        </w:rPr>
        <w:t xml:space="preserve">Deuda y tipos</w:t>
      </w:r>
      <w:r>
        <w:t xml:space="preserve">: 3,4x EBITDA con préstamos a tipo variable (cubiertos solo 300 M con un swap). Cada punto de tipo cuesta ~15 M.</w:t>
      </w:r>
      <w:r>
        <w:t xml:space="preserve"> </w:t>
      </w:r>
      <w:r>
        <w:t xml:space="preserve">-</w:t>
      </w:r>
      <w:r>
        <w:t xml:space="preserve"> </w:t>
      </w:r>
      <w:r>
        <w:rPr>
          <w:bCs/>
          <w:b/>
        </w:rPr>
        <w:t xml:space="preserve">Ley federal de carreteras</w:t>
      </w:r>
      <w:r>
        <w:t xml:space="preserve">: la IIJA venció el 30-sep-2026. Si la renovación se retrasa o recorta, el 42 % de las ventas (departamentos de transporte) puede frenar.</w:t>
      </w:r>
      <w:r>
        <w:t xml:space="preserve"> </w:t>
      </w:r>
      <w:r>
        <w:t xml:space="preserve">-</w:t>
      </w:r>
      <w:r>
        <w:t xml:space="preserve"> </w:t>
      </w:r>
      <w:r>
        <w:rPr>
          <w:bCs/>
          <w:b/>
        </w:rPr>
        <w:t xml:space="preserve">Betún y energía</w:t>
      </w:r>
      <w:r>
        <w:t xml:space="preserve">: el conflicto con Irán y el estrecho de Ormuz encarecen el betún y el gasóleo (lo cita el 10-Q); la cláusula de ajuste protege más del 80 % de las ventas, pero no todo.</w:t>
      </w:r>
      <w:r>
        <w:t xml:space="preserve"> </w:t>
      </w:r>
      <w:r>
        <w:t xml:space="preserve">-</w:t>
      </w:r>
      <w:r>
        <w:t xml:space="preserve"> </w:t>
      </w:r>
      <w:r>
        <w:rPr>
          <w:bCs/>
          <w:b/>
        </w:rPr>
        <w:t xml:space="preserve">Integración de compras</w:t>
      </w:r>
      <w:r>
        <w:t xml:space="preserve">: ocho compras en un año; un tropiezo afecta al margen.</w:t>
      </w:r>
      <w:r>
        <w:t xml:space="preserve"> </w:t>
      </w:r>
      <w:r>
        <w:t xml:space="preserve">-</w:t>
      </w:r>
      <w:r>
        <w:t xml:space="preserve"> </w:t>
      </w:r>
      <w:r>
        <w:rPr>
          <w:bCs/>
          <w:b/>
        </w:rPr>
        <w:t xml:space="preserve">Clima</w:t>
      </w:r>
      <w:r>
        <w:t xml:space="preserve">: lluvias y huracanes mueven los trimestres.</w:t>
      </w:r>
    </w:p>
    <w:p>
      <w:pPr>
        <w:pStyle w:val="BodyText"/>
      </w:pPr>
      <w:r>
        <w:rPr>
          <w:bCs/>
          <w:b/>
        </w:rPr>
        <w:t xml:space="preserve">Qué rompería la tesis (venta)</w:t>
      </w:r>
      <w:r>
        <w:t xml:space="preserve">: crecimiento orgánico por debajo del 3 % dos trimestres seguidos; margen EBITDA anual por debajo del 14 %; apalancamiento por encima de 4x; recorte de la financiación federal.</w:t>
      </w:r>
    </w:p>
    <w:bookmarkEnd w:id="30"/>
    <w:bookmarkStart w:id="31" w:name="catalizadores-con-fecha"/>
    <w:p>
      <w:pPr>
        <w:pStyle w:val="Heading2"/>
      </w:pPr>
      <w:r>
        <w:t xml:space="preserve">12. Catalizadores con fecha</w:t>
      </w:r>
    </w:p>
    <w:p>
      <w:pPr>
        <w:numPr>
          <w:ilvl w:val="0"/>
          <w:numId w:val="1009"/>
        </w:numPr>
        <w:pStyle w:val="Compact"/>
      </w:pPr>
      <w:r>
        <w:rPr>
          <w:bCs/>
          <w:b/>
        </w:rPr>
        <w:t xml:space="preserve">Mediados de noviembre de 2026</w:t>
      </w:r>
      <w:r>
        <w:t xml:space="preserve"> </w:t>
      </w:r>
      <w:r>
        <w:t xml:space="preserve">(el año pasado, 20-nov): resultados del 4T FY2026 y primera guía FY2027. Es la prueba clave del orgánico y del margen.</w:t>
      </w:r>
    </w:p>
    <w:p>
      <w:pPr>
        <w:numPr>
          <w:ilvl w:val="0"/>
          <w:numId w:val="1009"/>
        </w:numPr>
        <w:pStyle w:val="Compact"/>
      </w:pPr>
      <w:r>
        <w:rPr>
          <w:bCs/>
          <w:b/>
        </w:rPr>
        <w:t xml:space="preserve">Otoño-invierno 2026</w:t>
      </w:r>
      <w:r>
        <w:t xml:space="preserve">: renovación de la ley federal de carreteras.</w:t>
      </w:r>
    </w:p>
    <w:p>
      <w:pPr>
        <w:numPr>
          <w:ilvl w:val="0"/>
          <w:numId w:val="1009"/>
        </w:numPr>
        <w:pStyle w:val="Compact"/>
      </w:pPr>
      <w:r>
        <w:rPr>
          <w:bCs/>
          <w:b/>
        </w:rPr>
        <w:t xml:space="preserve">Febrero de 2027</w:t>
      </w:r>
      <w:r>
        <w:t xml:space="preserve">: resultados del 1T FY2027 y aportación de las compras de verano.</w:t>
      </w:r>
    </w:p>
    <w:bookmarkEnd w:id="31"/>
    <w:bookmarkStart w:id="32" w:name="encaje-en-cartera"/>
    <w:p>
      <w:pPr>
        <w:pStyle w:val="Heading2"/>
      </w:pPr>
      <w:r>
        <w:t xml:space="preserve">13. Encaje en cartera</w:t>
      </w:r>
    </w:p>
    <w:p>
      <w:pPr>
        <w:numPr>
          <w:ilvl w:val="0"/>
          <w:numId w:val="1010"/>
        </w:numPr>
        <w:pStyle w:val="Compact"/>
      </w:pPr>
      <w:r>
        <w:rPr>
          <w:bCs/>
          <w:b/>
        </w:rPr>
        <w:t xml:space="preserve">Señal: Mantener → no entra.</w:t>
      </w:r>
      <w:r>
        <w:t xml:space="preserve"> </w:t>
      </w:r>
      <w:r>
        <w:t xml:space="preserve">No es Comprar, así que no sustituye a ninguna del bolsillo growth (lleno, ~20 %: Nu +19 %, Axon +36 %, Shopify +18 %, Snowflake +13 %, Samsara +15 %, al precio actual con v11). Con una liquidez de ≈27 EUR, solo cabría sustituyendo, y no tiene ni la señal ni la rentabilidad para ello (+11 % al precio de hoy con el objetivo fijo, por debajo de Axon, Nu o Shopify, y con un bajista mucho peor).</w:t>
      </w:r>
    </w:p>
    <w:p>
      <w:pPr>
        <w:numPr>
          <w:ilvl w:val="0"/>
          <w:numId w:val="1010"/>
        </w:numPr>
        <w:pStyle w:val="Compact"/>
      </w:pPr>
      <w:r>
        <w:rPr>
          <w:bCs/>
          <w:b/>
        </w:rPr>
        <w:t xml:space="preserve">Suplentes</w:t>
      </w:r>
      <w:r>
        <w:t xml:space="preserve">: no entra en la lista (MongoDB, Toast, Zscaler, dLocal, Dexcom, Datadog, argenx, Natera, Saab), que es solo de Comprar. Queda en el grupo de Mantener, junto a Eli Lilly, Wise, Arista y el resto.</w:t>
      </w:r>
    </w:p>
    <w:p>
      <w:pPr>
        <w:numPr>
          <w:ilvl w:val="0"/>
          <w:numId w:val="1010"/>
        </w:numPr>
        <w:pStyle w:val="Compact"/>
      </w:pPr>
      <w:r>
        <w:rPr>
          <w:bCs/>
          <w:b/>
        </w:rPr>
        <w:t xml:space="preserve">Exposición</w:t>
      </w:r>
      <w:r>
        <w:t xml:space="preserve">: no añade IA (riesgo bajo; Alphabet, que se vende mañana, no cuenta). Sí sumaría a la exposición industrial y de infraestructura de EE. UU. que ya analizan Quanta y Comfort Systems (ambas en Vender por caras). ROAD es la versión barata del tema, pero con más deuda y menos crecimiento propio.</w:t>
      </w:r>
    </w:p>
    <w:p>
      <w:pPr>
        <w:numPr>
          <w:ilvl w:val="0"/>
          <w:numId w:val="1010"/>
        </w:numPr>
        <w:pStyle w:val="Compact"/>
      </w:pPr>
      <w:r>
        <w:rPr>
          <w:bCs/>
          <w:b/>
        </w:rPr>
        <w:t xml:space="preserve">Qué la pasaría a Comprar</w:t>
      </w:r>
      <w:r>
        <w:t xml:space="preserve">: precio ≤ 63,6 USD y al menos dos señales de giro (por ejemplo, revisiones al alza tras la guía FY2027 y precio otra vez sobre la media de 200 sesiones), con la deuda bajando hacia 3x.</w:t>
      </w:r>
    </w:p>
    <w:p>
      <w:pPr>
        <w:numPr>
          <w:ilvl w:val="0"/>
          <w:numId w:val="1010"/>
        </w:numPr>
        <w:pStyle w:val="Compact"/>
      </w:pPr>
      <w:r>
        <w:t xml:space="preserve">Por ser rentable, con deuda y un PER razonable, también podría estudiarse con el</w:t>
      </w:r>
      <w:r>
        <w:t xml:space="preserve"> </w:t>
      </w:r>
      <w:r>
        <w:rPr>
          <w:bCs/>
          <w:b/>
        </w:rPr>
        <w:t xml:space="preserve">análisis value</w:t>
      </w:r>
      <w:r>
        <w:t xml:space="preserve"> </w:t>
      </w:r>
      <w:r>
        <w:t xml:space="preserve">(calidad ROIC − WACC). El fondo de comercio de las compras probablemente le baja el ROIC.</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+42 % y +40 % a 2 años, pero comprado; el último trimestre frena 21 pp frente a la media</w:t>
            </w:r>
          </w:p>
        </w:tc>
      </w:tr>
      <w:tr>
        <w:tc>
          <w:tcPr/>
          <w:p>
            <w:pPr>
              <w:pStyle w:val="Compact"/>
              <w:jc w:val="left"/>
            </w:pPr>
            <w:r>
              <w:t xml:space="preserve">B. Mercado y tecnología</w:t>
            </w:r>
          </w:p>
        </w:tc>
        <w:tc>
          <w:tcPr/>
          <w:p>
            <w:pPr>
              <w:pStyle w:val="Compact"/>
              <w:jc w:val="left"/>
            </w:pPr>
            <w:r>
              <w:t xml:space="preserve">12,0</w:t>
            </w:r>
          </w:p>
        </w:tc>
        <w:tc>
          <w:tcPr/>
          <w:p>
            <w:pPr>
              <w:pStyle w:val="Compact"/>
              <w:jc w:val="left"/>
            </w:pPr>
            <w:r>
              <w:t xml:space="preserve">20</w:t>
            </w:r>
          </w:p>
        </w:tc>
        <w:tc>
          <w:tcPr/>
          <w:p>
            <w:pPr>
              <w:pStyle w:val="Compact"/>
              <w:jc w:val="left"/>
            </w:pPr>
            <w:r>
              <w:t xml:space="preserve">Penetración 7 %; tecnología 2; posición 4</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de 8 (catalizador)</w:t>
            </w:r>
          </w:p>
        </w:tc>
      </w:tr>
      <w:tr>
        <w:tc>
          <w:tcPr/>
          <w:p>
            <w:pPr>
              <w:pStyle w:val="Compact"/>
              <w:jc w:val="left"/>
            </w:pPr>
            <w:r>
              <w:t xml:space="preserve">D. Economía unitaria</w:t>
            </w:r>
          </w:p>
        </w:tc>
        <w:tc>
          <w:tcPr/>
          <w:p>
            <w:pPr>
              <w:pStyle w:val="Compact"/>
              <w:jc w:val="left"/>
            </w:pPr>
            <w:r>
              <w:t xml:space="preserve">8,0</w:t>
            </w:r>
          </w:p>
        </w:tc>
        <w:tc>
          <w:tcPr/>
          <w:p>
            <w:pPr>
              <w:pStyle w:val="Compact"/>
              <w:jc w:val="left"/>
            </w:pPr>
            <w:r>
              <w:t xml:space="preserve">15</w:t>
            </w:r>
          </w:p>
        </w:tc>
        <w:tc>
          <w:tcPr/>
          <w:p>
            <w:pPr>
              <w:pStyle w:val="Compact"/>
              <w:jc w:val="left"/>
            </w:pPr>
            <w:r>
              <w:t xml:space="preserve">Margen bruto 16 %; regla del 40 = 47; FCF creciente</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dilución 1,5 %</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4; dirección 4</w:t>
            </w:r>
          </w:p>
        </w:tc>
      </w:tr>
      <w:tr>
        <w:tc>
          <w:tcPr/>
          <w:p>
            <w:pPr>
              <w:pStyle w:val="Compact"/>
              <w:jc w:val="left"/>
            </w:pPr>
            <w:r>
              <w:rPr>
                <w:bCs/>
                <w:b/>
              </w:rPr>
              <w:t xml:space="preserve">Total</w:t>
            </w:r>
          </w:p>
        </w:tc>
        <w:tc>
          <w:tcPr/>
          <w:p>
            <w:pPr>
              <w:pStyle w:val="Compact"/>
              <w:jc w:val="left"/>
            </w:pPr>
            <w:r>
              <w:rPr>
                <w:bCs/>
                <w:b/>
              </w:rPr>
              <w:t xml:space="preserve">57,2</w:t>
            </w:r>
          </w:p>
        </w:tc>
        <w:tc>
          <w:tcPr/>
          <w:p>
            <w:pPr>
              <w:pStyle w:val="Compact"/>
              <w:jc w:val="left"/>
            </w:pPr>
            <w:r>
              <w:rPr>
                <w:bCs/>
                <w:b/>
              </w:rPr>
              <w:t xml:space="preserve">100</w:t>
            </w:r>
          </w:p>
        </w:tc>
        <w:tc>
          <w:tcPr/>
          <w:p>
            <w:pPr>
              <w:pStyle w:val="Compact"/>
              <w:jc w:val="left"/>
            </w:pPr>
            <w:r>
              <w:t xml:space="preserve">Por debajo de 60: no compra aunque el precio bajara</w:t>
            </w:r>
          </w:p>
        </w:tc>
      </w:tr>
    </w:tbl>
    <w:bookmarkEnd w:id="33"/>
    <w:bookmarkStart w:id="34" w:name="X81da8d965ce68425a37128028b9e186d24a9a9f"/>
    <w:p>
      <w:pPr>
        <w:pStyle w:val="Heading2"/>
      </w:pPr>
      <w:r>
        <w:t xml:space="preserve">Mejoras de método que salen de este informe</w:t>
      </w:r>
    </w:p>
    <w:p>
      <w:pPr>
        <w:numPr>
          <w:ilvl w:val="0"/>
          <w:numId w:val="1011"/>
        </w:numPr>
        <w:pStyle w:val="Compact"/>
      </w:pPr>
      <w:r>
        <w:rPr>
          <w:bCs/>
          <w:b/>
        </w:rPr>
        <w:t xml:space="preserve">El crecimiento orgánico de v12 debería aplicarse sobre una base pro forma.</w:t>
      </w:r>
      <w:r>
        <w:t xml:space="preserve"> </w:t>
      </w:r>
      <w:r>
        <w:t xml:space="preserve">La candidata v12 limita la partida al 8 % orgánico, pero lo aplica a las ventas de 12 meses (3.478 M), que no incluyen las compras ya cerradas. Así, su bajista (3.740 M) queda por debajo de las ventas de los 12 meses siguientes que ya están casi aseguradas (~3.960 M). Propuesta: base = ventas de 12 meses + ventas anuales de las compras cerradas que aún no cumplen un año (dato del 10-Q y de la llamada; aquí ~140 M + las de jul-oct), y crecimiento orgánico desde ahí. Probar con Quanta, Howmet y Comfort Systems antes de adoptarla.</w:t>
      </w:r>
    </w:p>
    <w:p>
      <w:pPr>
        <w:numPr>
          <w:ilvl w:val="0"/>
          <w:numId w:val="1011"/>
        </w:numPr>
        <w:pStyle w:val="Compact"/>
      </w:pPr>
      <w:r>
        <w:rPr>
          <w:bCs/>
          <w:b/>
        </w:rPr>
        <w:t xml:space="preserve">En compradores en serie, el exceso sobre la primera guía mide compras, no ejecución.</w:t>
      </w:r>
      <w:r>
        <w:t xml:space="preserve"> </w:t>
      </w:r>
      <w:r>
        <w:t xml:space="preserve">Si la empresa separa el orgánico, medir el exceso solo sobre la parte orgánica.</w:t>
      </w:r>
    </w:p>
    <w:p>
      <w:pPr>
        <w:numPr>
          <w:ilvl w:val="0"/>
          <w:numId w:val="1011"/>
        </w:numPr>
        <w:pStyle w:val="Compact"/>
      </w:pPr>
      <w:r>
        <w:rPr>
          <w:bCs/>
          <w:b/>
        </w:rPr>
        <w:t xml:space="preserve">En empresas con mucha deuda, el bajista (múltiplo × 0,6) castiga mucho al accionista.</w:t>
      </w:r>
      <w:r>
        <w:t xml:space="preserve"> </w:t>
      </w:r>
      <w:r>
        <w:t xml:space="preserve">Es correcto (la deuda no baja con el múltiplo), pero conviene decirlo en el resumen como riesgo principal, no como fallo del método.</w:t>
      </w:r>
    </w:p>
    <w:bookmarkEnd w:id="34"/>
    <w:bookmarkStart w:id="35" w:name="fuentes"/>
    <w:p>
      <w:pPr>
        <w:pStyle w:val="Heading2"/>
      </w:pPr>
      <w:r>
        <w:t xml:space="preserve">Fuentes</w:t>
      </w:r>
    </w:p>
    <w:p>
      <w:pPr>
        <w:pStyle w:val="FirstParagraph"/>
      </w:pPr>
      <w:r>
        <w:t xml:space="preserve">[1] Construction Partners, notas de resultados (8-K, ex. 99.1, SEC EDGAR): 3T FY26 (7-ago-2026): ventas 999,4 M (+28,2 %), beneficio bruto 168,4 M, EBITDA ajustado 163,0 M (16,3 %), cartera 3.360 M; guía FY2026 3.640-3.680 M y EBITDA 559-569 M. 2T FY26 (8-may-2026), 1T FY26 (5-feb-2026, orgánico 7-8 % en la guía), 4T FY25 (20-nov-2025: FY2025 2.812,4 M, orgánico 8,4 %, EBITDA 423,7 M; primera guía FY2026 3.400-3.500 M). Notas de compras: GMJ (2-feb), Four Star (1-abr), Ellsworth (13-jul), fallecimiento de M. McKay (10-ago), Asphalt Express (31-ago), Roads Inc. (21-sep), J.H. Strain (5-oct-2026).</w:t>
      </w:r>
      <w:r>
        <w:t xml:space="preserve"> </w:t>
      </w:r>
      <w:r>
        <w:t xml:space="preserve">[2] SEC EDGAR: 10-Q del 3T FY26 (compras 151,0 M en el trimestre y 514,1 M en 9 meses; mercados existentes +8,9 % y +7,9 %; deuda 1.803,25 M; caja 94,5 M; apalancamiento de convenio 3,17x; Ellsworth 77,2 M en efectivo + 24,8 M en acciones; FDOT 11,3 %; público 66 %; riesgo de Irán y Ormuz); XBRL companyfacts (CIK 1718227).</w:t>
      </w:r>
      <w:r>
        <w:t xml:space="preserve"> </w:t>
      </w:r>
      <w:r>
        <w:t xml:space="preserve">[3] SEC, formularios 4 de 2026: sin compras en mercado; plan de empleados a 76,53 USD (9-oct), retenciones a 90,03 USD (2-oct), distribución de N. Fleming III (8-oct).</w:t>
      </w:r>
      <w:r>
        <w:t xml:space="preserve"> </w:t>
      </w:r>
      <w:r>
        <w:t xml:space="preserve">[4] Yahoo Finance chart API (86,33 USD el 13-oct-2026; 79,55 USD intradía el 14-oct a las 18:19 UTC; 124,01 el 13-oct-2025; 115,74 el 13-abr-2026; máximo 140,48 el 8-may-2026; SPY) y Nasdaq.com (cierre de 86,33 USD el 13-oct; rango 85,22-87,04).</w:t>
      </w:r>
      <w:r>
        <w:t xml:space="preserve"> </w:t>
      </w:r>
      <w:r>
        <w:t xml:space="preserve">[5] stockanalysis.com (14-oct-2026): 7 analistas, objetivo medio 138,86 USD (115-165); ventas FY2026 3.670 M y FY2027 4.090 M; BPA 3,07 y 3,81 USD; Baird 141 → 115 (9-oct), Raymond James 161 → 150 (15-jul).</w:t>
      </w:r>
      <w:r>
        <w:t xml:space="preserve"> </w:t>
      </w:r>
      <w:r>
        <w:t xml:space="preserve">[6] MarketBeat (13-oct-2026): mínimo de 12 meses; consenso «Moderate Buy», objetivo medio 133,50 USD; Zacks y Weiss a mantener.</w:t>
      </w:r>
      <w:r>
        <w:t xml:space="preserve"> </w:t>
      </w:r>
      <w:r>
        <w:t xml:space="preserve">[7] Trefis (oct-2026): caída del 27 % desde el 30-jun por menor múltiplo, tipos y deuda; S&amp;P espera deuda/EBITDA en la zona alta de 3x en FY2026-FY2027.</w:t>
      </w:r>
      <w:r>
        <w:t xml:space="preserve"> </w:t>
      </w:r>
      <w:r>
        <w:t xml:space="preserve">[8] Plan ROAD 2030 (nov-2025; resúmenes de Seeking Alpha, MarketBeat y transcripción del 4T FY25): &gt; 6.000 M de ventas y ~17 % de margen EBITDA en 2030. Llamada del 3T FY26 (resúmenes de Nasdaq y Webull): orgánico 8,9 %, deuda/EBITDA 3,1x con objetivo 2,5x, ~140 M de ventas de compras ya cerradas en FY2027, &gt; 80 % de las ventas con índice de asfalto.</w:t>
      </w:r>
      <w:r>
        <w:t xml:space="preserve"> </w:t>
      </w:r>
      <w:r>
        <w:t xml:space="preserve">[9] Estimaciones propias: EV, ventas y EBITDA NTM, ventas del año objetivo, múltiplos históricos reconstruidos (mediana ~15x, mínimo ~10,5x), comparables de memoria (Vulcan ~18x, Martin Marietta ~17x, Sterling ~18x, Arcosa ~12x, Knife River ~11x, Granite ~10x), DCF inverso con FCF de 175,7 M, 9 % y 3 %. Detalle en</w:t>
      </w:r>
      <w:r>
        <w:t xml:space="preserve"> </w:t>
      </w:r>
      <w:r>
        <w:rPr>
          <w:rStyle w:val="VerbatimChar"/>
        </w:rPr>
        <w:t xml:space="preserve">datos.json</w:t>
      </w:r>
      <w:r>
        <w:t xml:space="preserve">.</w:t>
      </w:r>
      <w:r>
        <w:t xml:space="preserve"> </w:t>
      </w:r>
      <w:r>
        <w:t xml:space="preserve">[10] Prensa y foros: MarketBeat, TIKR, Zacks/Nasdaq, Seeking Alpha; anuncio de investigación de un despacho de abogados; sin hilos relevantes en Reddit, Rankia ni Investing.com ES.</w:t>
      </w:r>
      <w:r>
        <w:t xml:space="preserve"> </w:t>
      </w:r>
      <w:r>
        <w:t xml:space="preserve">[11] Mercado alcanzable: estimación propia con el gasto en carreteras y calles de EE. UU. (Census, de memoria).</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2026-10-14T18:27:14Z</dcterms:created>
  <dcterms:modified xsi:type="dcterms:W3CDTF">2026-10-14T18:27:14Z</dcterms:modified>
</cp:coreProperties>
</file>

<file path=docProps/custom.xml><?xml version="1.0" encoding="utf-8"?>
<Properties xmlns="http://schemas.openxmlformats.org/officeDocument/2006/custom-properties" xmlns:vt="http://schemas.openxmlformats.org/officeDocument/2006/docPropsVTypes"/>
</file>