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36b83b15b0d6756f44c2690e644a120d5a64f6"/>
    <w:p>
      <w:pPr>
        <w:pStyle w:val="Heading1"/>
      </w:pPr>
      <w:r>
        <w:t xml:space="preserve">Remitly Global (RELY): análisis growth, 14-oct-2026</w:t>
      </w:r>
    </w:p>
    <w:p>
      <w:pPr>
        <w:pStyle w:val="FirstParagraph"/>
      </w:pPr>
      <w:r>
        <w:rPr>
          <w:bCs/>
          <w:b/>
        </w:rPr>
        <w:t xml:space="preserve">Señal (método v11, vigente): Mantener, en vigilancia</w:t>
      </w:r>
      <w:r>
        <w:t xml:space="preserve"> </w:t>
      </w:r>
      <w:r>
        <w:t xml:space="preserve">· Puntuación 70,5/100 · Señales de cambio de tendencia 7/8 · EV/beneficio bruto 3,1x · EV/EBITDA de los 12 meses siguientes 9,7x</w:t>
      </w:r>
    </w:p>
    <w:p>
      <w:pPr>
        <w:numPr>
          <w:ilvl w:val="0"/>
          <w:numId w:val="1001"/>
        </w:numPr>
        <w:pStyle w:val="Compact"/>
      </w:pPr>
      <w:r>
        <w:t xml:space="preserve">Precio: 23,76 USD (cierre del 13-oct, Yahoo y Nasdaq.com).</w:t>
      </w:r>
    </w:p>
    <w:p>
      <w:pPr>
        <w:numPr>
          <w:ilvl w:val="0"/>
          <w:numId w:val="1001"/>
        </w:numPr>
        <w:pStyle w:val="Compact"/>
      </w:pPr>
      <w:r>
        <w:t xml:space="preserve">Objetivo a 12 meses: 24,1 USD.</w:t>
      </w:r>
    </w:p>
    <w:p>
      <w:pPr>
        <w:numPr>
          <w:ilvl w:val="0"/>
          <w:numId w:val="1001"/>
        </w:numPr>
        <w:pStyle w:val="Compact"/>
      </w:pPr>
      <w:r>
        <w:t xml:space="preserve">Rentabilidad ponderada: +1,5 %. Escenario base: +3,6 %. Bajista: −40,2 %. Alcista: +39,2 %.</w:t>
      </w:r>
    </w:p>
    <w:p>
      <w:pPr>
        <w:numPr>
          <w:ilvl w:val="0"/>
          <w:numId w:val="1001"/>
        </w:numPr>
        <w:pStyle w:val="Compact"/>
      </w:pPr>
      <w:r>
        <w:t xml:space="preserve">Compra hasta: 23,0 USD.</w:t>
      </w:r>
    </w:p>
    <w:p>
      <w:pPr>
        <w:numPr>
          <w:ilvl w:val="0"/>
          <w:numId w:val="1001"/>
        </w:numPr>
        <w:pStyle w:val="Compact"/>
      </w:pPr>
      <w:r>
        <w:t xml:space="preserve">Peso orientativo: no entra.</w:t>
      </w:r>
    </w:p>
    <w:p>
      <w:pPr>
        <w:numPr>
          <w:ilvl w:val="0"/>
          <w:numId w:val="1001"/>
        </w:numPr>
        <w:pStyle w:val="Compact"/>
      </w:pPr>
      <w:r>
        <w:rPr>
          <w:bCs/>
          <w:b/>
        </w:rPr>
        <w:t xml:space="preserve">Al precio actual</w:t>
      </w:r>
      <w:r>
        <w:t xml:space="preserve"> </w:t>
      </w:r>
      <w:r>
        <w:t xml:space="preserve">(23,16 USD, 14-oct a las 18:26 UTC, con el objetivo del informe fijo en 24,1): ponderada +4,1 % y base +6,2 %. Sigue por debajo del listón del 5 %: Mantener.</w:t>
      </w:r>
    </w:p>
    <w:p>
      <w:pPr>
        <w:numPr>
          <w:ilvl w:val="0"/>
          <w:numId w:val="1001"/>
        </w:numPr>
        <w:pStyle w:val="Compact"/>
      </w:pPr>
      <w:r>
        <w:rPr>
          <w:bCs/>
          <w:b/>
        </w:rPr>
        <w:t xml:space="preserve">Referencia v9</w:t>
      </w:r>
      <w:r>
        <w:t xml:space="preserve">: Comprar con convicción baja, ponderada +5,1 %, objetivo 25,0 USD, compra hasta 23,8 USD. La diferencia está en las ventas del escenario base: v9 usa las de la regla mecánica, 2.685 M USD; v11 usa las del informe, 2.570 M, que son menores y están en la zona del consenso y del objetivo de la empresa para 2028.</w:t>
      </w:r>
    </w:p>
    <w:p>
      <w:pPr>
        <w:numPr>
          <w:ilvl w:val="0"/>
          <w:numId w:val="1001"/>
        </w:numPr>
        <w:pStyle w:val="Compact"/>
      </w:pPr>
      <w:r>
        <w:rPr>
          <w:bCs/>
          <w:b/>
        </w:rPr>
        <w:t xml:space="preserve">Alertas de robustez del motor</w:t>
      </w:r>
      <w:r>
        <w:t xml:space="preserve"> </w:t>
      </w:r>
      <w:r>
        <w:t xml:space="preserve">(</w:t>
      </w:r>
      <w:r>
        <w:rPr>
          <w:rStyle w:val="VerbatimChar"/>
        </w:rPr>
        <w:t xml:space="preserve">calc.alertas</w:t>
      </w:r>
      <w:r>
        <w:t xml:space="preserve">): ninguna.</w:t>
      </w:r>
      <w:r>
        <w:t xml:space="preserve"> </w:t>
      </w:r>
      <w:r>
        <w:rPr>
          <w:bCs/>
          <w:b/>
        </w:rPr>
        <w:t xml:space="preserve">Prueba</w:t>
      </w:r>
      <w:r>
        <w:rPr>
          <w:bCs/>
          <w:b/>
        </w:rPr>
        <w:t xml:space="preserve"> </w:t>
      </w:r>
      <w:r>
        <w:rPr>
          <w:rStyle w:val="VerbatimChar"/>
          <w:bCs/>
          <w:b/>
        </w:rPr>
        <w:t xml:space="preserve">robustez-growth</w:t>
      </w:r>
      <w:r>
        <w:rPr>
          <w:bCs/>
          <w:b/>
        </w:rPr>
        <w:t xml:space="preserve">: FRÁGIL</w:t>
      </w:r>
      <w:r>
        <w:t xml:space="preserve">, señal robusta Mantener; solo la v7 antigua daría Comprar (sección 11).</w:t>
      </w:r>
    </w:p>
    <w:p>
      <w:pPr>
        <w:pStyle w:val="BlockText"/>
      </w:pPr>
      <w:r>
        <w:rPr>
          <w:bCs/>
          <w:b/>
        </w:rPr>
        <w:t xml:space="preserve">Lectura en una línea:</w:t>
      </w:r>
      <w:r>
        <w:t xml:space="preserve"> </w:t>
      </w:r>
      <w:r>
        <w:t xml:space="preserve">muy buen negocio que mejora deprisa (beneficio, caja, siete de ocho señales a favor), pero la acción ya ha subido un 60 % en un año y al precio de hoy el método no ve recorrido suficiente. Pasaría a Comprar por debajo de unos 22,9 USD.</w:t>
      </w:r>
    </w:p>
    <w:p>
      <w:pPr>
        <w:pStyle w:val="BlockText"/>
      </w:pPr>
      <w:r>
        <w:rPr>
          <w:bCs/>
          <w:b/>
        </w:rPr>
        <w:t xml:space="preserve">Valorada por EV/EBITDA de los 12 meses siguientes.</w:t>
      </w:r>
      <w:r>
        <w:t xml:space="preserve"> </w:t>
      </w:r>
      <w:r>
        <w:t xml:space="preserve">Remitly gana dinero de forma estable desde 2025: seis trimestres seguidos con beneficio operativo contable, EBITDA ajustado positivo desde 2023 y caja libre positiva y creciente desde 2024. Como la comisión media baja, los ingresos crecen menos que el volumen y el beneficio crece más que los ingresos, así que un múltiplo de beneficio describe mejor el negocio. Con EV/ingresos el resultado es el mismo: el motor aplica el margen de hoy a las ventas futuras (comprobado, +1,5 % en los dos casos).</w:t>
      </w:r>
    </w:p>
    <w:bookmarkStart w:id="20" w:name="la-tesis-en-cinco-líneas"/>
    <w:p>
      <w:pPr>
        <w:pStyle w:val="Heading2"/>
      </w:pPr>
      <w:r>
        <w:t xml:space="preserve">1. La tesis en cinco líneas</w:t>
      </w:r>
    </w:p>
    <w:p>
      <w:pPr>
        <w:numPr>
          <w:ilvl w:val="0"/>
          <w:numId w:val="1002"/>
        </w:numPr>
        <w:pStyle w:val="Compact"/>
      </w:pPr>
      <w:r>
        <w:t xml:space="preserve">Remitly es la aplicación de envío de dinero de los emigrantes: 10,2 millones de clientes activos mandan dinero desde EE. UU., Canadá, Reino Unido y Europa a India, México, Filipinas y otros 170 países. Mueve 23.500 M USD por trimestre (+27 %) [1].</w:t>
      </w:r>
    </w:p>
    <w:p>
      <w:pPr>
        <w:numPr>
          <w:ilvl w:val="0"/>
          <w:numId w:val="1002"/>
        </w:numPr>
        <w:pStyle w:val="Compact"/>
      </w:pPr>
      <w:r>
        <w:t xml:space="preserve">Ingresos de 12 meses: 1.810 M USD (+24 %). Ya es rentable: EBITDA ajustado de 366 M en 12 meses, caja libre de 375 M (21 % de los ingresos) y 676 M de caja sin deuda. Ha batido su propia guía todos los trimestres desde 2024 [1][3].</w:t>
      </w:r>
    </w:p>
    <w:p>
      <w:pPr>
        <w:numPr>
          <w:ilvl w:val="0"/>
          <w:numId w:val="1002"/>
        </w:numPr>
        <w:pStyle w:val="Compact"/>
      </w:pPr>
      <w:r>
        <w:t xml:space="preserve">La comisión media baja (ingresos por cada dólar enviado, del 2,23 % al 2,11 % en un año), pero el coste de cada envío baja casi igual: lo que le queda por dólar enviado tras el coste directo apenas se mueve (1,45 % a 1,42 %). Esto la diferencia de dLocal.</w:t>
      </w:r>
    </w:p>
    <w:p>
      <w:pPr>
        <w:numPr>
          <w:ilvl w:val="0"/>
          <w:numId w:val="1002"/>
        </w:numPr>
        <w:pStyle w:val="Compact"/>
      </w:pPr>
      <w:r>
        <w:t xml:space="preserve">Cotiza a 9,7 veces el EBITDA de los 12 meses siguientes, cerca de su mediana de 3 años (10,7x). Tras subir un 60 % en 12 meses, el método da +1,5 %: el precio ya recoge la mejora.</w:t>
      </w:r>
    </w:p>
    <w:p>
      <w:pPr>
        <w:numPr>
          <w:ilvl w:val="0"/>
          <w:numId w:val="1002"/>
        </w:numPr>
        <w:pStyle w:val="Compact"/>
      </w:pPr>
      <w:r>
        <w:t xml:space="preserve">Conclusión:</w:t>
      </w:r>
      <w:r>
        <w:t xml:space="preserve"> </w:t>
      </w:r>
      <w:r>
        <w:rPr>
          <w:bCs/>
          <w:b/>
        </w:rPr>
        <w:t xml:space="preserve">Mantener en vigilancia</w:t>
      </w:r>
      <w:r>
        <w:t xml:space="preserve">. No entra en el bolsillo growth, que está lleno, ni como suplente. Se revisa con los resultados del 3T (primeros de noviembre) o si baja de unos 22,9 USD.</w:t>
      </w:r>
    </w:p>
    <w:bookmarkEnd w:id="20"/>
    <w:bookmarkStart w:id="21" w:name="negocio-y-tecnología"/>
    <w:p>
      <w:pPr>
        <w:pStyle w:val="Heading2"/>
      </w:pPr>
      <w:r>
        <w:t xml:space="preserve">2. Negocio y tecnología</w:t>
      </w:r>
    </w:p>
    <w:p>
      <w:pPr>
        <w:numPr>
          <w:ilvl w:val="0"/>
          <w:numId w:val="1003"/>
        </w:numPr>
        <w:pStyle w:val="Compact"/>
      </w:pPr>
      <w:r>
        <w:rPr>
          <w:bCs/>
          <w:b/>
        </w:rPr>
        <w:t xml:space="preserve">Qué vende</w:t>
      </w:r>
      <w:r>
        <w:t xml:space="preserve">: envíos de dinero internacionales desde el móvil, con cobro por comisión fija y por margen en el tipo de cambio. El cliente paga con su cuenta o tarjeta y el receptor cobra en su banco, en un monedero móvil o en efectivo en uno de los 490.000 puntos de pago [2].</w:t>
      </w:r>
    </w:p>
    <w:p>
      <w:pPr>
        <w:numPr>
          <w:ilvl w:val="0"/>
          <w:numId w:val="1003"/>
        </w:numPr>
        <w:pStyle w:val="Compact"/>
      </w:pPr>
      <w:r>
        <w:rPr>
          <w:bCs/>
          <w:b/>
        </w:rPr>
        <w:t xml:space="preserve">A quién</w:t>
      </w:r>
      <w:r>
        <w:t xml:space="preserve">: sobre todo emigrantes que mandan dinero a su familia varias veces al mes. Es un gasto poco discrecional, que aguanta en las crisis. Ahora añade clientes que envían importes altos, pequeñas empresas (pagos a proveedores y empleados) y</w:t>
      </w:r>
      <w:r>
        <w:t xml:space="preserve"> </w:t>
      </w:r>
      <w:r>
        <w:rPr>
          <w:bCs/>
          <w:b/>
        </w:rPr>
        <w:t xml:space="preserve">Remitly One</w:t>
      </w:r>
      <w:r>
        <w:t xml:space="preserve">, una suscripción de 9,99 USD al mes con monedero multidivisa que permite guardar saldo en USDC, una</w:t>
      </w:r>
      <w:r>
        <w:t xml:space="preserve"> </w:t>
      </w:r>
      <w:r>
        <w:rPr>
          <w:iCs/>
          <w:i/>
        </w:rPr>
        <w:t xml:space="preserve">stablecoin</w:t>
      </w:r>
      <w:r>
        <w:t xml:space="preserve"> </w:t>
      </w:r>
      <w:r>
        <w:t xml:space="preserve">de dólar [2][4].</w:t>
      </w:r>
    </w:p>
    <w:p>
      <w:pPr>
        <w:numPr>
          <w:ilvl w:val="0"/>
          <w:numId w:val="1003"/>
        </w:numPr>
        <w:pStyle w:val="Compact"/>
      </w:pPr>
      <w:r>
        <w:rPr>
          <w:bCs/>
          <w:b/>
        </w:rPr>
        <w:t xml:space="preserve">Qué tiene de nuevo</w:t>
      </w:r>
      <w:r>
        <w:t xml:space="preserve">: no es tecnología difícil de copiar, sino una red difícil de montar: licencias en decenas de jurisdicciones, conexiones directas con bancos y pagadores en más de 5.700 corredores, modelos contra el fraude con diez años de datos y una marca de confianza (4,9 en la App Store con 4,5 millones de reseñas) [2].</w:t>
      </w:r>
    </w:p>
    <w:p>
      <w:pPr>
        <w:numPr>
          <w:ilvl w:val="0"/>
          <w:numId w:val="1003"/>
        </w:numPr>
        <w:pStyle w:val="Compact"/>
      </w:pPr>
      <w:r>
        <w:rPr>
          <w:bCs/>
          <w:b/>
        </w:rPr>
        <w:t xml:space="preserve">Tecnología 3/5</w:t>
      </w:r>
      <w:r>
        <w:t xml:space="preserve">: la red y el control del fraude son ventajas reales, pero Wise, Western Union digital, PayPal/Xoom y las</w:t>
      </w:r>
      <w:r>
        <w:t xml:space="preserve"> </w:t>
      </w:r>
      <w:r>
        <w:rPr>
          <w:iCs/>
          <w:i/>
        </w:rPr>
        <w:t xml:space="preserve">stablecoins</w:t>
      </w:r>
      <w:r>
        <w:t xml:space="preserve"> </w:t>
      </w:r>
      <w:r>
        <w:t xml:space="preserve">ofrecen alternativas.</w:t>
      </w:r>
    </w:p>
    <w:p>
      <w:pPr>
        <w:numPr>
          <w:ilvl w:val="0"/>
          <w:numId w:val="1003"/>
        </w:numPr>
        <w:pStyle w:val="Compact"/>
      </w:pPr>
      <w:r>
        <w:rPr>
          <w:bCs/>
          <w:b/>
        </w:rPr>
        <w:t xml:space="preserve">Posición 4/5</w:t>
      </w:r>
      <w:r>
        <w:t xml:space="preserve">: es la mayor especialista digital en remesas de EE. UU. y gana cuota a Western Union y MoneyGram, que dependen de agentes físicos. En pagos entre países para clientes con más dinero, el líder es Wise.</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Trimestre</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Volumen enviado (M USD)</w:t>
            </w:r>
          </w:p>
        </w:tc>
        <w:tc>
          <w:tcPr/>
          <w:p>
            <w:pPr>
              <w:pStyle w:val="Compact"/>
              <w:jc w:val="left"/>
            </w:pPr>
            <w:r>
              <w:t xml:space="preserve">Crec.</w:t>
            </w:r>
          </w:p>
        </w:tc>
        <w:tc>
          <w:tcPr/>
          <w:p>
            <w:pPr>
              <w:pStyle w:val="Compact"/>
              <w:jc w:val="left"/>
            </w:pPr>
            <w:r>
              <w:t xml:space="preserve">Ingresos / volumen</w:t>
            </w:r>
          </w:p>
        </w:tc>
        <w:tc>
          <w:tcPr/>
          <w:p>
            <w:pPr>
              <w:pStyle w:val="Compact"/>
              <w:jc w:val="left"/>
            </w:pPr>
            <w:r>
              <w:t xml:space="preserve">Margen de transacción / volumen</w:t>
            </w:r>
          </w:p>
        </w:tc>
      </w:tr>
      <w:tr>
        <w:tc>
          <w:tcPr/>
          <w:p>
            <w:pPr>
              <w:pStyle w:val="Compact"/>
              <w:jc w:val="left"/>
            </w:pPr>
            <w:r>
              <w:t xml:space="preserve">2T25</w:t>
            </w:r>
          </w:p>
        </w:tc>
        <w:tc>
          <w:tcPr/>
          <w:p>
            <w:pPr>
              <w:pStyle w:val="Compact"/>
              <w:jc w:val="left"/>
            </w:pPr>
            <w:r>
              <w:t xml:space="preserve">411,9</w:t>
            </w:r>
          </w:p>
        </w:tc>
        <w:tc>
          <w:tcPr/>
          <w:p>
            <w:pPr>
              <w:pStyle w:val="Compact"/>
              <w:jc w:val="left"/>
            </w:pPr>
            <w:r>
              <w:t xml:space="preserve">34,4 %</w:t>
            </w:r>
          </w:p>
        </w:tc>
        <w:tc>
          <w:tcPr/>
          <w:p>
            <w:pPr>
              <w:pStyle w:val="Compact"/>
              <w:jc w:val="left"/>
            </w:pPr>
            <w:r>
              <w:t xml:space="preserve">18.477</w:t>
            </w:r>
          </w:p>
        </w:tc>
        <w:tc>
          <w:tcPr/>
          <w:p>
            <w:pPr>
              <w:pStyle w:val="Compact"/>
              <w:jc w:val="left"/>
            </w:pPr>
            <w:r>
              <w:t xml:space="preserve">40 %</w:t>
            </w:r>
          </w:p>
        </w:tc>
        <w:tc>
          <w:tcPr/>
          <w:p>
            <w:pPr>
              <w:pStyle w:val="Compact"/>
              <w:jc w:val="left"/>
            </w:pPr>
            <w:r>
              <w:t xml:space="preserve">2,23 %</w:t>
            </w:r>
          </w:p>
        </w:tc>
        <w:tc>
          <w:tcPr/>
          <w:p>
            <w:pPr>
              <w:pStyle w:val="Compact"/>
              <w:jc w:val="left"/>
            </w:pPr>
            <w:r>
              <w:t xml:space="preserve">1,45 %</w:t>
            </w:r>
          </w:p>
        </w:tc>
      </w:tr>
      <w:tr>
        <w:tc>
          <w:tcPr/>
          <w:p>
            <w:pPr>
              <w:pStyle w:val="Compact"/>
              <w:jc w:val="left"/>
            </w:pPr>
            <w:r>
              <w:t xml:space="preserve">3T25</w:t>
            </w:r>
          </w:p>
        </w:tc>
        <w:tc>
          <w:tcPr/>
          <w:p>
            <w:pPr>
              <w:pStyle w:val="Compact"/>
              <w:jc w:val="left"/>
            </w:pPr>
            <w:r>
              <w:t xml:space="preserve">419,5</w:t>
            </w:r>
          </w:p>
        </w:tc>
        <w:tc>
          <w:tcPr/>
          <w:p>
            <w:pPr>
              <w:pStyle w:val="Compact"/>
              <w:jc w:val="left"/>
            </w:pPr>
            <w:r>
              <w:t xml:space="preserve">24,7 %</w:t>
            </w:r>
          </w:p>
        </w:tc>
        <w:tc>
          <w:tcPr/>
          <w:p>
            <w:pPr>
              <w:pStyle w:val="Compact"/>
              <w:jc w:val="left"/>
            </w:pPr>
            <w:r>
              <w:t xml:space="preserve">19.500</w:t>
            </w:r>
          </w:p>
        </w:tc>
        <w:tc>
          <w:tcPr/>
          <w:p>
            <w:pPr>
              <w:pStyle w:val="Compact"/>
              <w:jc w:val="left"/>
            </w:pPr>
            <w:r>
              <w:t xml:space="preserve">35 %</w:t>
            </w:r>
          </w:p>
        </w:tc>
        <w:tc>
          <w:tcPr/>
          <w:p>
            <w:pPr>
              <w:pStyle w:val="Compact"/>
              <w:jc w:val="left"/>
            </w:pPr>
            <w:r>
              <w:t xml:space="preserve">2,15 %</w:t>
            </w:r>
          </w:p>
        </w:tc>
        <w:tc>
          <w:tcPr/>
          <w:p>
            <w:pPr>
              <w:pStyle w:val="Compact"/>
              <w:jc w:val="left"/>
            </w:pPr>
            <w:r>
              <w:t xml:space="preserve">1,40 %</w:t>
            </w:r>
          </w:p>
        </w:tc>
      </w:tr>
      <w:tr>
        <w:tc>
          <w:tcPr/>
          <w:p>
            <w:pPr>
              <w:pStyle w:val="Compact"/>
              <w:jc w:val="left"/>
            </w:pPr>
            <w:r>
              <w:t xml:space="preserve">4T25</w:t>
            </w:r>
          </w:p>
        </w:tc>
        <w:tc>
          <w:tcPr/>
          <w:p>
            <w:pPr>
              <w:pStyle w:val="Compact"/>
              <w:jc w:val="left"/>
            </w:pPr>
            <w:r>
              <w:t xml:space="preserve">442,2</w:t>
            </w:r>
          </w:p>
        </w:tc>
        <w:tc>
          <w:tcPr/>
          <w:p>
            <w:pPr>
              <w:pStyle w:val="Compact"/>
              <w:jc w:val="left"/>
            </w:pPr>
            <w:r>
              <w:t xml:space="preserve">25,7 %</w:t>
            </w:r>
          </w:p>
        </w:tc>
        <w:tc>
          <w:tcPr/>
          <w:p>
            <w:pPr>
              <w:pStyle w:val="Compact"/>
              <w:jc w:val="left"/>
            </w:pPr>
            <w:r>
              <w:t xml:space="preserve">20.800</w:t>
            </w:r>
          </w:p>
        </w:tc>
        <w:tc>
          <w:tcPr/>
          <w:p>
            <w:pPr>
              <w:pStyle w:val="Compact"/>
              <w:jc w:val="left"/>
            </w:pPr>
            <w:r>
              <w:t xml:space="preserve">35 %</w:t>
            </w:r>
          </w:p>
        </w:tc>
        <w:tc>
          <w:tcPr/>
          <w:p>
            <w:pPr>
              <w:pStyle w:val="Compact"/>
              <w:jc w:val="left"/>
            </w:pPr>
            <w:r>
              <w:t xml:space="preserve">2,13 %</w:t>
            </w:r>
          </w:p>
        </w:tc>
        <w:tc>
          <w:tcPr/>
          <w:p>
            <w:pPr>
              <w:pStyle w:val="Compact"/>
              <w:jc w:val="left"/>
            </w:pPr>
            <w:r>
              <w:t xml:space="preserve">1,46 %</w:t>
            </w:r>
          </w:p>
        </w:tc>
      </w:tr>
      <w:tr>
        <w:tc>
          <w:tcPr/>
          <w:p>
            <w:pPr>
              <w:pStyle w:val="Compact"/>
              <w:jc w:val="left"/>
            </w:pPr>
            <w:r>
              <w:t xml:space="preserve">1T26</w:t>
            </w:r>
          </w:p>
        </w:tc>
        <w:tc>
          <w:tcPr/>
          <w:p>
            <w:pPr>
              <w:pStyle w:val="Compact"/>
              <w:jc w:val="left"/>
            </w:pPr>
            <w:r>
              <w:t xml:space="preserve">452,8</w:t>
            </w:r>
          </w:p>
        </w:tc>
        <w:tc>
          <w:tcPr/>
          <w:p>
            <w:pPr>
              <w:pStyle w:val="Compact"/>
              <w:jc w:val="left"/>
            </w:pPr>
            <w:r>
              <w:t xml:space="preserve">25,2 %</w:t>
            </w:r>
          </w:p>
        </w:tc>
        <w:tc>
          <w:tcPr/>
          <w:p>
            <w:pPr>
              <w:pStyle w:val="Compact"/>
              <w:jc w:val="left"/>
            </w:pPr>
            <w:r>
              <w:t xml:space="preserve">22.100</w:t>
            </w:r>
          </w:p>
        </w:tc>
        <w:tc>
          <w:tcPr/>
          <w:p>
            <w:pPr>
              <w:pStyle w:val="Compact"/>
              <w:jc w:val="left"/>
            </w:pPr>
            <w:r>
              <w:t xml:space="preserve">37 %</w:t>
            </w:r>
          </w:p>
        </w:tc>
        <w:tc>
          <w:tcPr/>
          <w:p>
            <w:pPr>
              <w:pStyle w:val="Compact"/>
              <w:jc w:val="left"/>
            </w:pPr>
            <w:r>
              <w:t xml:space="preserve">2,05 %</w:t>
            </w:r>
          </w:p>
        </w:tc>
        <w:tc>
          <w:tcPr/>
          <w:p>
            <w:pPr>
              <w:pStyle w:val="Compact"/>
              <w:jc w:val="left"/>
            </w:pPr>
            <w:r>
              <w:t xml:space="preserve">1,39 %</w:t>
            </w:r>
          </w:p>
        </w:tc>
      </w:tr>
      <w:tr>
        <w:tc>
          <w:tcPr/>
          <w:p>
            <w:pPr>
              <w:pStyle w:val="Compact"/>
              <w:jc w:val="left"/>
            </w:pPr>
            <w:r>
              <w:t xml:space="preserve">2T26</w:t>
            </w:r>
          </w:p>
        </w:tc>
        <w:tc>
          <w:tcPr/>
          <w:p>
            <w:pPr>
              <w:pStyle w:val="Compact"/>
              <w:jc w:val="left"/>
            </w:pPr>
            <w:r>
              <w:t xml:space="preserve">495,2</w:t>
            </w:r>
          </w:p>
        </w:tc>
        <w:tc>
          <w:tcPr/>
          <w:p>
            <w:pPr>
              <w:pStyle w:val="Compact"/>
              <w:jc w:val="left"/>
            </w:pPr>
            <w:r>
              <w:t xml:space="preserve">20,2 %</w:t>
            </w:r>
          </w:p>
        </w:tc>
        <w:tc>
          <w:tcPr/>
          <w:p>
            <w:pPr>
              <w:pStyle w:val="Compact"/>
              <w:jc w:val="left"/>
            </w:pPr>
            <w:r>
              <w:t xml:space="preserve">23.514</w:t>
            </w:r>
          </w:p>
        </w:tc>
        <w:tc>
          <w:tcPr/>
          <w:p>
            <w:pPr>
              <w:pStyle w:val="Compact"/>
              <w:jc w:val="left"/>
            </w:pPr>
            <w:r>
              <w:t xml:space="preserve">27 %</w:t>
            </w:r>
          </w:p>
        </w:tc>
        <w:tc>
          <w:tcPr/>
          <w:p>
            <w:pPr>
              <w:pStyle w:val="Compact"/>
              <w:jc w:val="left"/>
            </w:pPr>
            <w:r>
              <w:t xml:space="preserve">2,11 %</w:t>
            </w:r>
          </w:p>
        </w:tc>
        <w:tc>
          <w:tcPr/>
          <w:p>
            <w:pPr>
              <w:pStyle w:val="Compact"/>
              <w:jc w:val="left"/>
            </w:pPr>
            <w:r>
              <w:t xml:space="preserve">1,42 %</w:t>
            </w:r>
          </w:p>
        </w:tc>
      </w:tr>
      <w:tr>
        <w:tc>
          <w:tcPr/>
          <w:p>
            <w:pPr>
              <w:pStyle w:val="Compact"/>
              <w:jc w:val="left"/>
            </w:pPr>
            <w:r>
              <w:t xml:space="preserve">3T26 (guía)</w:t>
            </w:r>
          </w:p>
        </w:tc>
        <w:tc>
          <w:tcPr/>
          <w:p>
            <w:pPr>
              <w:pStyle w:val="Compact"/>
              <w:jc w:val="left"/>
            </w:pPr>
            <w:r>
              <w:t xml:space="preserve">506</w:t>
            </w:r>
          </w:p>
        </w:tc>
        <w:tc>
          <w:tcPr/>
          <w:p>
            <w:pPr>
              <w:pStyle w:val="Compact"/>
              <w:jc w:val="left"/>
            </w:pPr>
            <w:r>
              <w:t xml:space="preserve">20,6 %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Ejercicio</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EBITDA ajustado</w:t>
            </w:r>
          </w:p>
        </w:tc>
        <w:tc>
          <w:tcPr/>
          <w:p>
            <w:pPr>
              <w:pStyle w:val="Compact"/>
              <w:jc w:val="left"/>
            </w:pPr>
            <w:r>
              <w:t xml:space="preserve">Beneficio operativo</w:t>
            </w:r>
          </w:p>
        </w:tc>
        <w:tc>
          <w:tcPr/>
          <w:p>
            <w:pPr>
              <w:pStyle w:val="Compact"/>
              <w:jc w:val="left"/>
            </w:pPr>
            <w:r>
              <w:t xml:space="preserve">Caja libre</w:t>
            </w:r>
          </w:p>
        </w:tc>
      </w:tr>
      <w:tr>
        <w:tc>
          <w:tcPr/>
          <w:p>
            <w:pPr>
              <w:pStyle w:val="Compact"/>
              <w:jc w:val="left"/>
            </w:pPr>
            <w:r>
              <w:t xml:space="preserve">2023</w:t>
            </w:r>
          </w:p>
        </w:tc>
        <w:tc>
          <w:tcPr/>
          <w:p>
            <w:pPr>
              <w:pStyle w:val="Compact"/>
              <w:jc w:val="left"/>
            </w:pPr>
            <w:r>
              <w:t xml:space="preserve">944,3</w:t>
            </w:r>
          </w:p>
        </w:tc>
        <w:tc>
          <w:tcPr/>
          <w:p>
            <w:pPr>
              <w:pStyle w:val="Compact"/>
              <w:jc w:val="left"/>
            </w:pPr>
            <w:r>
              <w:t xml:space="preserve">—</w:t>
            </w:r>
          </w:p>
        </w:tc>
        <w:tc>
          <w:tcPr/>
          <w:p>
            <w:pPr>
              <w:pStyle w:val="Compact"/>
              <w:jc w:val="left"/>
            </w:pPr>
            <w:r>
              <w:t xml:space="preserve">44,5</w:t>
            </w:r>
          </w:p>
        </w:tc>
        <w:tc>
          <w:tcPr/>
          <w:p>
            <w:pPr>
              <w:pStyle w:val="Compact"/>
              <w:jc w:val="left"/>
            </w:pPr>
            <w:r>
              <w:t xml:space="preserve">negativo</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1.264,0</w:t>
            </w:r>
          </w:p>
        </w:tc>
        <w:tc>
          <w:tcPr/>
          <w:p>
            <w:pPr>
              <w:pStyle w:val="Compact"/>
              <w:jc w:val="left"/>
            </w:pPr>
            <w:r>
              <w:t xml:space="preserve">34 %</w:t>
            </w:r>
          </w:p>
        </w:tc>
        <w:tc>
          <w:tcPr/>
          <w:p>
            <w:pPr>
              <w:pStyle w:val="Compact"/>
              <w:jc w:val="left"/>
            </w:pPr>
            <w:r>
              <w:t xml:space="preserve">141,2</w:t>
            </w:r>
          </w:p>
        </w:tc>
        <w:tc>
          <w:tcPr/>
          <w:p>
            <w:pPr>
              <w:pStyle w:val="Compact"/>
              <w:jc w:val="left"/>
            </w:pPr>
            <w:r>
              <w:t xml:space="preserve">−39,1</w:t>
            </w:r>
          </w:p>
        </w:tc>
        <w:tc>
          <w:tcPr/>
          <w:p>
            <w:pPr>
              <w:pStyle w:val="Compact"/>
              <w:jc w:val="left"/>
            </w:pPr>
            <w:r>
              <w:t xml:space="preserve">93,9</w:t>
            </w:r>
          </w:p>
        </w:tc>
      </w:tr>
      <w:tr>
        <w:tc>
          <w:tcPr/>
          <w:p>
            <w:pPr>
              <w:pStyle w:val="Compact"/>
              <w:jc w:val="left"/>
            </w:pPr>
            <w:r>
              <w:t xml:space="preserve">2025</w:t>
            </w:r>
          </w:p>
        </w:tc>
        <w:tc>
          <w:tcPr/>
          <w:p>
            <w:pPr>
              <w:pStyle w:val="Compact"/>
              <w:jc w:val="left"/>
            </w:pPr>
            <w:r>
              <w:t xml:space="preserve">1.635,1</w:t>
            </w:r>
          </w:p>
        </w:tc>
        <w:tc>
          <w:tcPr/>
          <w:p>
            <w:pPr>
              <w:pStyle w:val="Compact"/>
              <w:jc w:val="left"/>
            </w:pPr>
            <w:r>
              <w:t xml:space="preserve">29 %</w:t>
            </w:r>
          </w:p>
        </w:tc>
        <w:tc>
          <w:tcPr/>
          <w:p>
            <w:pPr>
              <w:pStyle w:val="Compact"/>
              <w:jc w:val="left"/>
            </w:pPr>
            <w:r>
              <w:t xml:space="preserve">272,2</w:t>
            </w:r>
          </w:p>
        </w:tc>
        <w:tc>
          <w:tcPr/>
          <w:p>
            <w:pPr>
              <w:pStyle w:val="Compact"/>
              <w:jc w:val="left"/>
            </w:pPr>
            <w:r>
              <w:t xml:space="preserve">77,5</w:t>
            </w:r>
          </w:p>
        </w:tc>
        <w:tc>
          <w:tcPr/>
          <w:p>
            <w:pPr>
              <w:pStyle w:val="Compact"/>
              <w:jc w:val="left"/>
            </w:pPr>
            <w:r>
              <w:t xml:space="preserve">283,3</w:t>
            </w:r>
          </w:p>
        </w:tc>
      </w:tr>
      <w:tr>
        <w:tc>
          <w:tcPr/>
          <w:p>
            <w:pPr>
              <w:pStyle w:val="Compact"/>
              <w:jc w:val="left"/>
            </w:pPr>
            <w:r>
              <w:t xml:space="preserve">2026 (guía, punto medio)</w:t>
            </w:r>
          </w:p>
        </w:tc>
        <w:tc>
          <w:tcPr/>
          <w:p>
            <w:pPr>
              <w:pStyle w:val="Compact"/>
              <w:jc w:val="left"/>
            </w:pPr>
            <w:r>
              <w:t xml:space="preserve">1.983</w:t>
            </w:r>
          </w:p>
        </w:tc>
        <w:tc>
          <w:tcPr/>
          <w:p>
            <w:pPr>
              <w:pStyle w:val="Compact"/>
              <w:jc w:val="left"/>
            </w:pPr>
            <w:r>
              <w:t xml:space="preserve">21 %</w:t>
            </w:r>
          </w:p>
        </w:tc>
        <w:tc>
          <w:tcPr/>
          <w:p>
            <w:pPr>
              <w:pStyle w:val="Compact"/>
              <w:jc w:val="left"/>
            </w:pPr>
            <w:r>
              <w:t xml:space="preserve">412,5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2028 (objetivo de la empresa)</w:t>
            </w:r>
          </w:p>
        </w:tc>
        <w:tc>
          <w:tcPr/>
          <w:p>
            <w:pPr>
              <w:pStyle w:val="Compact"/>
              <w:jc w:val="left"/>
            </w:pPr>
            <w:r>
              <w:t xml:space="preserve">2.600-3.000</w:t>
            </w:r>
          </w:p>
        </w:tc>
        <w:tc>
          <w:tcPr/>
          <w:p>
            <w:pPr>
              <w:pStyle w:val="Compact"/>
              <w:jc w:val="left"/>
            </w:pPr>
            <w:r>
              <w:t xml:space="preserve">—</w:t>
            </w:r>
          </w:p>
        </w:tc>
        <w:tc>
          <w:tcPr/>
          <w:p>
            <w:pPr>
              <w:pStyle w:val="Compact"/>
              <w:jc w:val="left"/>
            </w:pPr>
            <w:r>
              <w:t xml:space="preserve">575-600</w:t>
            </w:r>
          </w:p>
        </w:tc>
        <w:tc>
          <w:tcPr/>
          <w:p>
            <w:pPr>
              <w:pStyle w:val="Compact"/>
              <w:jc w:val="left"/>
            </w:pPr>
            <w:r>
              <w:t xml:space="preserve">—</w:t>
            </w:r>
          </w:p>
        </w:tc>
        <w:tc>
          <w:tcPr/>
          <w:p>
            <w:pPr>
              <w:pStyle w:val="Compact"/>
              <w:jc w:val="left"/>
            </w:pPr>
            <w:r>
              <w:t xml:space="preserve">—</w:t>
            </w:r>
          </w:p>
        </w:tc>
      </w:tr>
    </w:tbl>
    <w:p>
      <w:pPr>
        <w:pStyle w:val="BodyText"/>
      </w:pPr>
      <w:r>
        <w:t xml:space="preserve">Fuentes: [1][2][3][4]. Margen de transacción = ingresos menos gastos de transacción (pagos a procesadores y pagadores, pérdidas por fraude).</w:t>
      </w:r>
    </w:p>
    <w:p>
      <w:pPr>
        <w:numPr>
          <w:ilvl w:val="0"/>
          <w:numId w:val="1004"/>
        </w:numPr>
        <w:pStyle w:val="Compact"/>
      </w:pPr>
      <w:r>
        <w:rPr>
          <w:bCs/>
          <w:b/>
        </w:rPr>
        <w:t xml:space="preserve">Últimos 12 meses</w:t>
      </w:r>
      <w:r>
        <w:t xml:space="preserve"> </w:t>
      </w:r>
      <w:r>
        <w:t xml:space="preserve">(3T25-2T26):</w:t>
      </w:r>
      <w:r>
        <w:t xml:space="preserve"> </w:t>
      </w:r>
      <w:r>
        <w:rPr>
          <w:bCs/>
          <w:b/>
        </w:rPr>
        <w:t xml:space="preserve">1.810 M USD, +23,8 %</w:t>
      </w:r>
      <w:r>
        <w:t xml:space="preserve">.</w:t>
      </w:r>
      <w:r>
        <w:t xml:space="preserve"> </w:t>
      </w:r>
      <w:r>
        <w:rPr>
          <w:bCs/>
          <w:b/>
        </w:rPr>
        <w:t xml:space="preserve">Crecimiento medio a 2 años: 29,3 %</w:t>
      </w:r>
      <w:r>
        <w:t xml:space="preserve">.</w:t>
      </w:r>
    </w:p>
    <w:p>
      <w:pPr>
        <w:numPr>
          <w:ilvl w:val="0"/>
          <w:numId w:val="1004"/>
        </w:numPr>
        <w:pStyle w:val="Compact"/>
      </w:pPr>
      <w:r>
        <w:rPr>
          <w:bCs/>
          <w:b/>
        </w:rPr>
        <w:t xml:space="preserve">Frena</w:t>
      </w:r>
      <w:r>
        <w:t xml:space="preserve">: el 2T26 creció un 20,2 %, frente a una media del 27,5 % en los cuatro trimestres anteriores (</w:t>
      </w:r>
      <w:r>
        <w:rPr>
          <w:bCs/>
          <w:b/>
        </w:rPr>
        <w:t xml:space="preserve">−7,3 puntos</w:t>
      </w:r>
      <w:r>
        <w:t xml:space="preserve">). El volumen pasó de +37 % en el 1T a +27 % en el 2T. La guía del 3T (+20-21 %) confirma el nuevo ritmo.</w:t>
      </w:r>
    </w:p>
    <w:p>
      <w:pPr>
        <w:numPr>
          <w:ilvl w:val="0"/>
          <w:numId w:val="1004"/>
        </w:numPr>
        <w:pStyle w:val="Compact"/>
      </w:pPr>
      <w:r>
        <w:rPr>
          <w:bCs/>
          <w:b/>
        </w:rPr>
        <w:t xml:space="preserve">Guía</w:t>
      </w:r>
      <w:r>
        <w:t xml:space="preserve">: 2026 entre 1.978 y 1.988 M (+21-22 %), subida dos veces en el año. El segundo semestre implícito crece un</w:t>
      </w:r>
      <w:r>
        <w:t xml:space="preserve"> </w:t>
      </w:r>
      <w:r>
        <w:rPr>
          <w:bCs/>
          <w:b/>
        </w:rPr>
        <w:t xml:space="preserve">20,1 %</w:t>
      </w:r>
      <w:r>
        <w:t xml:space="preserve">. Remitly bate su guía trimestral de media en</w:t>
      </w:r>
      <w:r>
        <w:t xml:space="preserve"> </w:t>
      </w:r>
      <w:r>
        <w:rPr>
          <w:bCs/>
          <w:b/>
        </w:rPr>
        <w:t xml:space="preserve">3,5 puntos</w:t>
      </w:r>
      <w:r>
        <w:t xml:space="preserve"> </w:t>
      </w:r>
      <w:r>
        <w:t xml:space="preserve">(último año). Objetivo de 2028 del Investor Day de diciembre: 2.600-3.000 M de ingresos, un 20 % anual desde 2025 [3][4].</w:t>
      </w:r>
    </w:p>
    <w:p>
      <w:pPr>
        <w:numPr>
          <w:ilvl w:val="0"/>
          <w:numId w:val="1004"/>
        </w:numPr>
        <w:pStyle w:val="Compact"/>
      </w:pPr>
      <w:r>
        <w:rPr>
          <w:bCs/>
          <w:b/>
        </w:rPr>
        <w:t xml:space="preserve">Retención</w:t>
      </w:r>
      <w:r>
        <w:t xml:space="preserve">: no publica retención neta (null). Dice que la mayoría de sus clientes envía varias veces al mes.</w:t>
      </w:r>
    </w:p>
    <w:bookmarkEnd w:id="22"/>
    <w:bookmarkStart w:id="23" w:name="mercado-y-competencia"/>
    <w:p>
      <w:pPr>
        <w:pStyle w:val="Heading2"/>
      </w:pPr>
      <w:r>
        <w:t xml:space="preserve">4. Mercado y competencia</w:t>
      </w:r>
    </w:p>
    <w:p>
      <w:pPr>
        <w:numPr>
          <w:ilvl w:val="0"/>
          <w:numId w:val="1005"/>
        </w:numPr>
        <w:pStyle w:val="Compact"/>
      </w:pPr>
      <w:r>
        <w:rPr>
          <w:bCs/>
          <w:b/>
        </w:rPr>
        <w:t xml:space="preserve">Mercado alcanzable: ~35.000 M USD de ingresos</w:t>
      </w:r>
      <w:r>
        <w:t xml:space="preserve"> </w:t>
      </w:r>
      <w:r>
        <w:t xml:space="preserve">(estimación propia [15]). El Banco Mundial cifra las remesas en unos 905.000 M USD al año con un coste medio cercano al 6 %. Sumando envíos de importe alto y de pymes desde países ricos y descontando lo que se mueve en efectivo con agentes, sale esa cifra.</w:t>
      </w:r>
      <w:r>
        <w:t xml:space="preserve"> </w:t>
      </w:r>
      <w:r>
        <w:rPr>
          <w:bCs/>
          <w:b/>
        </w:rPr>
        <w:t xml:space="preserve">Penetración: 5,2 %</w:t>
      </w:r>
      <w:r>
        <w:t xml:space="preserve">.</w:t>
      </w:r>
    </w:p>
    <w:p>
      <w:pPr>
        <w:numPr>
          <w:ilvl w:val="0"/>
          <w:numId w:val="1005"/>
        </w:numPr>
        <w:pStyle w:val="Compact"/>
      </w:pPr>
      <w:r>
        <w:rPr>
          <w:bCs/>
          <w:b/>
        </w:rPr>
        <w:t xml:space="preserve">Rivales</w:t>
      </w:r>
      <w:r>
        <w:t xml:space="preserve">: Western Union y MoneyGram (agentes físicos, en declive), Wise (más barato, cliente con más dinero y pymes), PayPal/Xoom, Revolut, los bancos y, cada vez más, los monederos con</w:t>
      </w:r>
      <w:r>
        <w:t xml:space="preserve"> </w:t>
      </w:r>
      <w:r>
        <w:rPr>
          <w:iCs/>
          <w:i/>
        </w:rPr>
        <w:t xml:space="preserve">stablecoins</w:t>
      </w:r>
      <w:r>
        <w:t xml:space="preserve">.</w:t>
      </w:r>
    </w:p>
    <w:p>
      <w:pPr>
        <w:numPr>
          <w:ilvl w:val="0"/>
          <w:numId w:val="1005"/>
        </w:numPr>
        <w:pStyle w:val="Compact"/>
      </w:pPr>
      <w:r>
        <w:rPr>
          <w:bCs/>
          <w:b/>
        </w:rPr>
        <w:t xml:space="preserve">Por qué gana</w:t>
      </w:r>
      <w:r>
        <w:t xml:space="preserve">: es digital desde el origen, con precio más bajo que los agentes y un producto pensado para el emigrante (pago en efectivo en destino, atención en su idioma, garantía de entrega). Su gasto en marketing es eficiente: los clientes nuevos crecen un 20 % con el marketing estable en el 21 % de los ingresos [2].</w:t>
      </w:r>
    </w:p>
    <w:p>
      <w:pPr>
        <w:pStyle w:val="FirstParagraph"/>
      </w:pPr>
      <w:r>
        <w:rPr>
          <w:bCs/>
          <w:b/>
        </w:rPr>
        <w:t xml:space="preserve">Frente a Wise y dLocal</w:t>
      </w:r>
      <w:r>
        <w:t xml:space="preserve"> </w:t>
      </w:r>
      <w:r>
        <w:t xml:space="preserve">(informes del mismo día):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Remitly</w:t>
            </w:r>
          </w:p>
        </w:tc>
        <w:tc>
          <w:tcPr/>
          <w:p>
            <w:pPr>
              <w:pStyle w:val="Compact"/>
              <w:jc w:val="left"/>
            </w:pPr>
            <w:r>
              <w:t xml:space="preserve">Wise</w:t>
            </w:r>
          </w:p>
        </w:tc>
        <w:tc>
          <w:tcPr/>
          <w:p>
            <w:pPr>
              <w:pStyle w:val="Compact"/>
              <w:jc w:val="left"/>
            </w:pPr>
            <w:r>
              <w:t xml:space="preserve">dLocal</w:t>
            </w:r>
          </w:p>
        </w:tc>
      </w:tr>
      <w:tr>
        <w:tc>
          <w:tcPr/>
          <w:p>
            <w:pPr>
              <w:pStyle w:val="Compact"/>
              <w:jc w:val="left"/>
            </w:pPr>
            <w:r>
              <w:t xml:space="preserve">Qué hace</w:t>
            </w:r>
          </w:p>
        </w:tc>
        <w:tc>
          <w:tcPr/>
          <w:p>
            <w:pPr>
              <w:pStyle w:val="Compact"/>
              <w:jc w:val="left"/>
            </w:pPr>
            <w:r>
              <w:t xml:space="preserve">Remesas de emigrantes</w:t>
            </w:r>
          </w:p>
        </w:tc>
        <w:tc>
          <w:tcPr/>
          <w:p>
            <w:pPr>
              <w:pStyle w:val="Compact"/>
              <w:jc w:val="left"/>
            </w:pPr>
            <w:r>
              <w:t xml:space="preserve">Cuenta multidivisa y transferencias para personas y pymes</w:t>
            </w:r>
          </w:p>
        </w:tc>
        <w:tc>
          <w:tcPr/>
          <w:p>
            <w:pPr>
              <w:pStyle w:val="Compact"/>
              <w:jc w:val="left"/>
            </w:pPr>
            <w:r>
              <w:t xml:space="preserve">Cobros y pagos de grandes empresas en países emergentes</w:t>
            </w:r>
          </w:p>
        </w:tc>
      </w:tr>
      <w:tr>
        <w:tc>
          <w:tcPr/>
          <w:p>
            <w:pPr>
              <w:pStyle w:val="Compact"/>
              <w:jc w:val="left"/>
            </w:pPr>
            <w:r>
              <w:t xml:space="preserve">Crecimiento de ingresos en 12 meses</w:t>
            </w:r>
          </w:p>
        </w:tc>
        <w:tc>
          <w:tcPr/>
          <w:p>
            <w:pPr>
              <w:pStyle w:val="Compact"/>
              <w:jc w:val="left"/>
            </w:pPr>
            <w:r>
              <w:t xml:space="preserve">+24 %</w:t>
            </w:r>
          </w:p>
        </w:tc>
        <w:tc>
          <w:tcPr/>
          <w:p>
            <w:pPr>
              <w:pStyle w:val="Compact"/>
              <w:jc w:val="left"/>
            </w:pPr>
            <w:r>
              <w:t xml:space="preserve">+22 %</w:t>
            </w:r>
          </w:p>
        </w:tc>
        <w:tc>
          <w:tcPr/>
          <w:p>
            <w:pPr>
              <w:pStyle w:val="Compact"/>
              <w:jc w:val="left"/>
            </w:pPr>
            <w:r>
              <w:t xml:space="preserve">+57 %</w:t>
            </w:r>
          </w:p>
        </w:tc>
      </w:tr>
      <w:tr>
        <w:tc>
          <w:tcPr/>
          <w:p>
            <w:pPr>
              <w:pStyle w:val="Compact"/>
              <w:jc w:val="left"/>
            </w:pPr>
            <w:r>
              <w:t xml:space="preserve">Comisión media sobre volumen</w:t>
            </w:r>
          </w:p>
        </w:tc>
        <w:tc>
          <w:tcPr/>
          <w:p>
            <w:pPr>
              <w:pStyle w:val="Compact"/>
              <w:jc w:val="left"/>
            </w:pPr>
            <w:r>
              <w:t xml:space="preserve">2,11 % y baja</w:t>
            </w:r>
          </w:p>
        </w:tc>
        <w:tc>
          <w:tcPr/>
          <w:p>
            <w:pPr>
              <w:pStyle w:val="Compact"/>
              <w:jc w:val="left"/>
            </w:pPr>
            <w:r>
              <w:t xml:space="preserve">0,50 % y baja a propósito</w:t>
            </w:r>
          </w:p>
        </w:tc>
        <w:tc>
          <w:tcPr/>
          <w:p>
            <w:pPr>
              <w:pStyle w:val="Compact"/>
              <w:jc w:val="left"/>
            </w:pPr>
            <w:r>
              <w:t xml:space="preserve">~2,3 % de ingresos; margen bruto sobre volumen 0,72 %</w:t>
            </w:r>
          </w:p>
        </w:tc>
      </w:tr>
      <w:tr>
        <w:tc>
          <w:tcPr/>
          <w:p>
            <w:pPr>
              <w:pStyle w:val="Compact"/>
              <w:jc w:val="left"/>
            </w:pPr>
            <w:r>
              <w:t xml:space="preserve">Lo que queda por volumen tras el coste directo</w:t>
            </w:r>
          </w:p>
        </w:tc>
        <w:tc>
          <w:tcPr/>
          <w:p>
            <w:pPr>
              <w:pStyle w:val="Compact"/>
              <w:jc w:val="left"/>
            </w:pPr>
            <w:r>
              <w:t xml:space="preserve">Estable (1,45 % a 1,42 % en un año)</w:t>
            </w:r>
          </w:p>
        </w:tc>
        <w:tc>
          <w:tcPr/>
          <w:p>
            <w:pPr>
              <w:pStyle w:val="Compact"/>
              <w:jc w:val="left"/>
            </w:pPr>
            <w:r>
              <w:t xml:space="preserve">Estable en torno al 0,40 %</w:t>
            </w:r>
          </w:p>
        </w:tc>
        <w:tc>
          <w:tcPr/>
          <w:p>
            <w:pPr>
              <w:pStyle w:val="Compact"/>
              <w:jc w:val="left"/>
            </w:pPr>
            <w:r>
              <w:t xml:space="preserve">Cae con fuerza (1,07 % a 0,72 %)</w:t>
            </w:r>
          </w:p>
        </w:tc>
      </w:tr>
      <w:tr>
        <w:tc>
          <w:tcPr/>
          <w:p>
            <w:pPr>
              <w:pStyle w:val="Compact"/>
              <w:jc w:val="left"/>
            </w:pPr>
            <w:r>
              <w:t xml:space="preserve">Valoración</w:t>
            </w:r>
          </w:p>
        </w:tc>
        <w:tc>
          <w:tcPr/>
          <w:p>
            <w:pPr>
              <w:pStyle w:val="Compact"/>
              <w:jc w:val="left"/>
            </w:pPr>
            <w:r>
              <w:t xml:space="preserve">9,7x EBITDA NTM</w:t>
            </w:r>
          </w:p>
        </w:tc>
        <w:tc>
          <w:tcPr/>
          <w:p>
            <w:pPr>
              <w:pStyle w:val="Compact"/>
              <w:jc w:val="left"/>
            </w:pPr>
            <w:r>
              <w:t xml:space="preserve">3,4x ingresos NTM</w:t>
            </w:r>
          </w:p>
        </w:tc>
        <w:tc>
          <w:tcPr/>
          <w:p>
            <w:pPr>
              <w:pStyle w:val="Compact"/>
              <w:jc w:val="left"/>
            </w:pPr>
            <w:r>
              <w:t xml:space="preserve">10,3x EBITDA NTM</w:t>
            </w:r>
          </w:p>
        </w:tc>
      </w:tr>
      <w:tr>
        <w:tc>
          <w:tcPr/>
          <w:p>
            <w:pPr>
              <w:pStyle w:val="Compact"/>
              <w:jc w:val="left"/>
            </w:pPr>
            <w:r>
              <w:t xml:space="preserve">Señal v11</w:t>
            </w:r>
          </w:p>
        </w:tc>
        <w:tc>
          <w:tcPr/>
          <w:p>
            <w:pPr>
              <w:pStyle w:val="Compact"/>
              <w:jc w:val="left"/>
            </w:pPr>
            <w:r>
              <w:t xml:space="preserve">Mantener (vigilancia), +1,5 %</w:t>
            </w:r>
          </w:p>
        </w:tc>
        <w:tc>
          <w:tcPr/>
          <w:p>
            <w:pPr>
              <w:pStyle w:val="Compact"/>
              <w:jc w:val="left"/>
            </w:pPr>
            <w:r>
              <w:t xml:space="preserve">Mantener (vigilancia), +3,9 %</w:t>
            </w:r>
          </w:p>
        </w:tc>
        <w:tc>
          <w:tcPr/>
          <w:p>
            <w:pPr>
              <w:pStyle w:val="Compact"/>
              <w:jc w:val="left"/>
            </w:pPr>
            <w:r>
              <w:t xml:space="preserve">Comprar baja, +14,8 %</w:t>
            </w:r>
          </w:p>
        </w:tc>
      </w:tr>
    </w:tbl>
    <w:p>
      <w:pPr>
        <w:pStyle w:val="BodyText"/>
      </w:pPr>
      <w:r>
        <w:t xml:space="preserve">Remitly tiene la comisión más alta de las tres, y por tanto más margen que perder si los precios bajan. Su ventaja frente a dLocal es que, hasta ahora, la baja de comisión la paga el coste y no el beneficio. Su desventaja frente a dLocal es el precio: dLocal sube un 6 % en un año y Remitly un 60 %.</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Guía de 2026 subida dos veces (ingresos de 1.950 a 1.983 M; EBITDA de 350 a 412,5 M). Tras el 2T, subidas de precio objetivo de KeyBanc, Citizens, Cantor y Wolfe. Matiz: el BPA de 2027 baja por el fin de un efecto fiscal y Zacks rebajó a Mantener (5-oct).</w:t>
            </w:r>
          </w:p>
        </w:tc>
        <w:tc>
          <w:tcPr/>
          <w:p>
            <w:pPr>
              <w:pStyle w:val="Compact"/>
              <w:jc w:val="left"/>
            </w:pPr>
            <w:r>
              <w:t xml:space="preserve">[1][9][10]</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23,76 USD frente a una media de 19,83 que sube.</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+37 % frente a +20 % del Nasdaq-100.</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De 6,4x EBITDA (dic-25 y mar-26) a 9,7x: +50 %.</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EBITDA del 2T del 23,2 % (15,5 % un año antes); margen operativo del 13,5 % (3,6 %).</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Del informe bajista de Spruce Point y el mínimo de 12 USD (nov-25) a artículos favorables y StockTwits claramente alcista. Sin euforia.</w:t>
            </w:r>
          </w:p>
        </w:tc>
        <w:tc>
          <w:tcPr/>
          <w:p>
            <w:pPr>
              <w:pStyle w:val="Compact"/>
              <w:jc w:val="left"/>
            </w:pPr>
            <w:r>
              <w:t xml:space="preserve">[11][13][14]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de directivos y consejeros desde abril; ninguna compra.</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a primeros de noviembre; Remitly One, monedero con USDC y cuentas de empresa.</w:t>
            </w:r>
          </w:p>
        </w:tc>
        <w:tc>
          <w:tcPr/>
          <w:p>
            <w:pPr>
              <w:pStyle w:val="Compact"/>
              <w:jc w:val="left"/>
            </w:pPr>
            <w:r>
              <w:t xml:space="preserve">[4][8]</w:t>
            </w:r>
          </w:p>
        </w:tc>
      </w:tr>
    </w:tbl>
    <w:p>
      <w:pPr>
        <w:pStyle w:val="BodyText"/>
      </w:pPr>
      <w:r>
        <w:rPr>
          <w:bCs/>
          <w:b/>
        </w:rPr>
        <w:t xml:space="preserve">Euforia: no.</w:t>
      </w:r>
      <w:r>
        <w:t xml:space="preserve"> </w:t>
      </w:r>
      <w:r>
        <w:t xml:space="preserve">Sube un 60 % en 12 meses, lejos del 150 % de la regla, y el EV/beneficio bruto es de 3,1x.</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 (margen de transacción) 67,4 %</w:t>
      </w:r>
      <w:r>
        <w:t xml:space="preserve"> </w:t>
      </w:r>
      <w:r>
        <w:t xml:space="preserve">en 12 meses, frente al 65,9 % de 2024 [1][3].</w:t>
      </w:r>
    </w:p>
    <w:p>
      <w:pPr>
        <w:numPr>
          <w:ilvl w:val="0"/>
          <w:numId w:val="1006"/>
        </w:numPr>
        <w:pStyle w:val="Compact"/>
      </w:pPr>
      <w:r>
        <w:rPr>
          <w:bCs/>
          <w:b/>
        </w:rPr>
        <w:t xml:space="preserve">Caja libre 375 M USD, 20,7 % de los ingresos</w:t>
      </w:r>
      <w:r>
        <w:t xml:space="preserve">, y creciente: 94 M en 2024, 283 M en 2025. Ojo: suma los pagos en acciones. Restándolos, quedaría en un 12,8 %.</w:t>
      </w:r>
    </w:p>
    <w:p>
      <w:pPr>
        <w:numPr>
          <w:ilvl w:val="0"/>
          <w:numId w:val="1006"/>
        </w:numPr>
        <w:pStyle w:val="Compact"/>
      </w:pPr>
      <w:r>
        <w:rPr>
          <w:bCs/>
          <w:b/>
        </w:rPr>
        <w:t xml:space="preserve">Regla del 40</w:t>
      </w:r>
      <w:r>
        <w:t xml:space="preserve">: 23,8 + 20,7 =</w:t>
      </w:r>
      <w:r>
        <w:t xml:space="preserve"> </w:t>
      </w:r>
      <w:r>
        <w:rPr>
          <w:bCs/>
          <w:b/>
        </w:rPr>
        <w:t xml:space="preserve">44,5</w:t>
      </w:r>
      <w:r>
        <w:t xml:space="preserve">.</w:t>
      </w:r>
    </w:p>
    <w:p>
      <w:pPr>
        <w:numPr>
          <w:ilvl w:val="0"/>
          <w:numId w:val="1006"/>
        </w:numPr>
        <w:pStyle w:val="Compact"/>
      </w:pPr>
      <w:r>
        <w:rPr>
          <w:bCs/>
          <w:b/>
        </w:rPr>
        <w:t xml:space="preserve">Apalancamiento operativo</w:t>
      </w:r>
      <w:r>
        <w:t xml:space="preserve">: en el 2T los gastos de tecnología bajaron un 4 % y los generales un 6 %, con los ingresos subiendo un 20 %. La empresa lo atribuye en parte al uso de IA. El marketing se mantiene en el 21 % de los ingresos.</w:t>
      </w:r>
    </w:p>
    <w:p>
      <w:pPr>
        <w:numPr>
          <w:ilvl w:val="0"/>
          <w:numId w:val="1006"/>
        </w:numPr>
        <w:pStyle w:val="Compact"/>
      </w:pPr>
      <w:r>
        <w:rPr>
          <w:bCs/>
          <w:b/>
        </w:rPr>
        <w:t xml:space="preserve">Comisión media (take rate)</w:t>
      </w:r>
      <w:r>
        <w:t xml:space="preserve">: los ingresos por dólar enviado bajan cada año (2,39 % en 2023, 2,32 % en 2024, 2,18 % en 2025 y 2,11 % en el 2T26). Hay dos causas: más envíos de importe alto, que pagan menos en porcentaje, y precios más bajos para ganar cuota. Lo importante es que el coste directo por dólar baja casi al mismo ritmo, así que el margen de transacción por dólar enviado se mantiene en torno al 1,4 %. Si eso cambiara, el negocio crecería en volumen pero no en beneficio, como le pasa a dLocal.</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 676 M USD</w:t>
      </w:r>
      <w:r>
        <w:t xml:space="preserve"> </w:t>
      </w:r>
      <w:r>
        <w:t xml:space="preserve">y</w:t>
      </w:r>
      <w:r>
        <w:t xml:space="preserve"> </w:t>
      </w:r>
      <w:r>
        <w:rPr>
          <w:bCs/>
          <w:b/>
        </w:rPr>
        <w:t xml:space="preserve">deuda 3 M</w:t>
      </w:r>
      <w:r>
        <w:t xml:space="preserve"> </w:t>
      </w:r>
      <w:r>
        <w:t xml:space="preserve">a 30-jun-2026. La línea de crédito de 550 M se usa unos cuatro días de media para prefinanciar envíos y estaba a cero [2].</w:t>
      </w:r>
    </w:p>
    <w:p>
      <w:pPr>
        <w:numPr>
          <w:ilvl w:val="0"/>
          <w:numId w:val="1007"/>
        </w:numPr>
        <w:pStyle w:val="Compact"/>
      </w:pPr>
      <w:r>
        <w:rPr>
          <w:bCs/>
          <w:b/>
        </w:rPr>
        <w:t xml:space="preserve">Pista</w:t>
      </w:r>
      <w:r>
        <w:t xml:space="preserve">: caja libre positiva, sin quema.</w:t>
      </w:r>
    </w:p>
    <w:p>
      <w:pPr>
        <w:numPr>
          <w:ilvl w:val="0"/>
          <w:numId w:val="1007"/>
        </w:numPr>
        <w:pStyle w:val="Compact"/>
      </w:pPr>
      <w:r>
        <w:rPr>
          <w:bCs/>
          <w:b/>
        </w:rPr>
        <w:t xml:space="preserve">Pagos en acciones: 143 M en 12 meses, 7,9 % de los ingresos.</w:t>
      </w:r>
      <w:r>
        <w:t xml:space="preserve"> </w:t>
      </w:r>
      <w:r>
        <w:t xml:space="preserve">Bajan (eran el 12 % en 2024), pero siguen siendo altos para una empresa que ya gana dinero, y el EBITDA ajustado no los resta.</w:t>
      </w:r>
    </w:p>
    <w:p>
      <w:pPr>
        <w:numPr>
          <w:ilvl w:val="0"/>
          <w:numId w:val="1007"/>
        </w:numPr>
        <w:pStyle w:val="Compact"/>
      </w:pPr>
      <w:r>
        <w:rPr>
          <w:bCs/>
          <w:b/>
        </w:rPr>
        <w:t xml:space="preserve">Dilución: 2,7 % al año.</w:t>
      </w:r>
      <w:r>
        <w:t xml:space="preserve"> </w:t>
      </w:r>
      <w:r>
        <w:t xml:space="preserve">Las acciones en circulación pasan de 206,2 M (ago-25) a 211,7 M (ago-26), a pesar de recomprar 3,9 M de acciones por 65,6 M en el 1S26. Quedan 110,5 M del programa de recompra. Uso 221 M de acciones diluidas [2].</w:t>
      </w:r>
    </w:p>
    <w:p>
      <w:pPr>
        <w:numPr>
          <w:ilvl w:val="0"/>
          <w:numId w:val="1007"/>
        </w:numPr>
        <w:pStyle w:val="Compact"/>
      </w:pPr>
      <w:r>
        <w:rPr>
          <w:bCs/>
          <w:b/>
        </w:rPr>
        <w:t xml:space="preserve">Efecto fiscal</w:t>
      </w:r>
      <w:r>
        <w:t xml:space="preserve">: el beneficio neto del 2T (205,9 M) incluye 140,6 M que no se repiten, por activar créditos fiscales en EE. UU. Por eso el BPA de 2027 del consenso baja.</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Historial (5/5)</w:t>
      </w:r>
      <w:r>
        <w:t xml:space="preserve">: ha batido su guía de ingresos y de EBITDA en los ocho últimos trimestres y ha subido la guía anual en casi todos ellos [3].</w:t>
      </w:r>
    </w:p>
    <w:p>
      <w:pPr>
        <w:numPr>
          <w:ilvl w:val="0"/>
          <w:numId w:val="1008"/>
        </w:numPr>
        <w:pStyle w:val="Compact"/>
      </w:pPr>
      <w:r>
        <w:rPr>
          <w:bCs/>
          <w:b/>
        </w:rPr>
        <w:t xml:space="preserve">Dirección (3/5)</w:t>
      </w:r>
      <w:r>
        <w:t xml:space="preserve">: el cofundador Matt Oppenheimer dejó el cargo de consejero delegado en febrero de 2026 y sigue como presidente. Le sustituye Sebastian Gunningham (ex Amazon y Santander Consumer Finance) [5]. La asignación de capital es sensata (recompras con caja libre, sin compras caras). Restan las ventas continuas de directivos y consejeros (ninguna compra en 2026) y los pagos en acciones todavía altos [7].</w:t>
      </w:r>
    </w:p>
    <w:bookmarkEnd w:id="27"/>
    <w:bookmarkStart w:id="28" w:name="valoración"/>
    <w:p>
      <w:pPr>
        <w:pStyle w:val="Heading2"/>
      </w:pPr>
      <w:r>
        <w:t xml:space="preserve">9. Valoración</w:t>
      </w:r>
    </w:p>
    <w:p>
      <w:pPr>
        <w:pStyle w:val="FirstParagraph"/>
      </w:pPr>
      <w:r>
        <w:rPr>
          <w:bCs/>
          <w:b/>
        </w:rPr>
        <w:t xml:space="preserve">Ejercicio objetivo</w:t>
      </w:r>
      <w:r>
        <w:t xml:space="preserve">: los 12 meses a junio de 2028.</w:t>
      </w:r>
      <w:r>
        <w:t xml:space="preserve"> </w:t>
      </w:r>
      <w:r>
        <w:rPr>
          <w:bCs/>
          <w:b/>
        </w:rPr>
        <w:t xml:space="preserve">Métrica: EV/EBITDA ajustado de los 12 meses siguientes</w:t>
      </w:r>
      <w:r>
        <w:t xml:space="preserve">.</w:t>
      </w:r>
    </w:p>
    <w:p>
      <w:pPr>
        <w:numPr>
          <w:ilvl w:val="0"/>
          <w:numId w:val="1009"/>
        </w:numPr>
        <w:pStyle w:val="Compact"/>
      </w:pPr>
      <w:r>
        <w:rPr>
          <w:bCs/>
          <w:b/>
        </w:rPr>
        <w:t xml:space="preserve">EV de hoy</w:t>
      </w:r>
      <w:r>
        <w:t xml:space="preserve">: 23,76 × 221 − 676 + 3 =</w:t>
      </w:r>
      <w:r>
        <w:t xml:space="preserve"> </w:t>
      </w:r>
      <w:r>
        <w:rPr>
          <w:bCs/>
          <w:b/>
        </w:rPr>
        <w:t xml:space="preserve">4.578 M USD</w:t>
      </w:r>
      <w:r>
        <w:t xml:space="preserve">.</w:t>
      </w:r>
      <w:r>
        <w:t xml:space="preserve"> </w:t>
      </w:r>
      <w:r>
        <w:rPr>
          <w:bCs/>
          <w:b/>
        </w:rPr>
        <w:t xml:space="preserve">EBITDA de los 12 meses siguientes: ~470 M</w:t>
      </w:r>
      <w:r>
        <w:t xml:space="preserve"> </w:t>
      </w:r>
      <w:r>
        <w:t xml:space="preserve">(estimación propia: guía del 2S26 más el primer semestre de 2027 un 25 % por encima).</w:t>
      </w:r>
      <w:r>
        <w:t xml:space="preserve"> </w:t>
      </w:r>
      <w:r>
        <w:rPr>
          <w:bCs/>
          <w:b/>
        </w:rPr>
        <w:t xml:space="preserve">EV/EBITDA 9,7x</w:t>
      </w:r>
      <w:r>
        <w:t xml:space="preserve">; EV/ingresos 2,1x; EV/beneficio bruto 3,1x.</w:t>
      </w:r>
    </w:p>
    <w:p>
      <w:pPr>
        <w:numPr>
          <w:ilvl w:val="0"/>
          <w:numId w:val="1009"/>
        </w:numPr>
        <w:pStyle w:val="Compact"/>
      </w:pPr>
      <w:r>
        <w:rPr>
          <w:bCs/>
          <w:b/>
        </w:rPr>
        <w:t xml:space="preserve">Historia (cálculo propio [12])</w:t>
      </w:r>
      <w:r>
        <w:t xml:space="preserve">: mediana de 3 años de 10,7x y mínimo de 6,4x. Ojo: los primeros puntos (44,6x en sep-2023) están inflados porque entonces apenas ganaba dinero; sin ellos, la mediana sería de 9,4x.</w:t>
      </w:r>
    </w:p>
    <w:p>
      <w:pPr>
        <w:numPr>
          <w:ilvl w:val="0"/>
          <w:numId w:val="1009"/>
        </w:numPr>
        <w:pStyle w:val="Compact"/>
      </w:pPr>
      <w:r>
        <w:rPr>
          <w:bCs/>
          <w:b/>
        </w:rPr>
        <w:t xml:space="preserve">Comparables</w:t>
      </w:r>
      <w:r>
        <w:t xml:space="preserve">: dLocal 10,3x, Wise ~11x, Flywire ~12x, Payoneer ~8x, Euronet ~7x, Western Union ~5x (de memoria salvo dLocal [15]). Mediana ~9x.</w:t>
      </w:r>
    </w:p>
    <w:p>
      <w:pPr>
        <w:numPr>
          <w:ilvl w:val="0"/>
          <w:numId w:val="1009"/>
        </w:numPr>
        <w:pStyle w:val="Compact"/>
      </w:pPr>
      <w:r>
        <w:rPr>
          <w:bCs/>
          <w:b/>
        </w:rPr>
        <w:t xml:space="preserve">Ventas del año objetivo</w:t>
      </w:r>
      <w:r>
        <w:t xml:space="preserve">: la regla mecánica parte de un 23,6 % (la guía del 2S más lo que suele batirla) y llega a 2.685 M en el base. La proyección del informe es de 2.250 / 2.570 / 2.750 M: la base está en la zona del consenso (2026 1.990 M, 2027 2.370 M; 2028 no publicado) y del objetivo de la empresa para 2028. v11 toma la menor de las dos en cada escenario.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a jun-2028 (M USD)</w:t>
            </w:r>
          </w:p>
        </w:tc>
        <w:tc>
          <w:tcPr/>
          <w:p>
            <w:pPr>
              <w:pStyle w:val="Compact"/>
              <w:jc w:val="left"/>
            </w:pPr>
            <w:r>
              <w:t xml:space="preserve">Múltiplo EV/EBITDA</w:t>
            </w:r>
          </w:p>
        </w:tc>
        <w:tc>
          <w:tcPr/>
          <w:p>
            <w:pPr>
              <w:pStyle w:val="Compact"/>
              <w:jc w:val="left"/>
            </w:pPr>
            <w:r>
              <w:t xml:space="preserve">Precio 12 m (USD)</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2.226</w:t>
            </w:r>
          </w:p>
        </w:tc>
        <w:tc>
          <w:tcPr/>
          <w:p>
            <w:pPr>
              <w:pStyle w:val="Compact"/>
              <w:jc w:val="left"/>
            </w:pPr>
            <w:r>
              <w:t xml:space="preserve">5,3x</w:t>
            </w:r>
          </w:p>
        </w:tc>
        <w:tc>
          <w:tcPr/>
          <w:p>
            <w:pPr>
              <w:pStyle w:val="Compact"/>
              <w:jc w:val="left"/>
            </w:pPr>
            <w:r>
              <w:t xml:space="preserve">14,2</w:t>
            </w:r>
          </w:p>
        </w:tc>
        <w:tc>
          <w:tcPr/>
          <w:p>
            <w:pPr>
              <w:pStyle w:val="Compact"/>
              <w:jc w:val="left"/>
            </w:pPr>
            <w:r>
              <w:t xml:space="preserve">−40,2 %</w:t>
            </w:r>
          </w:p>
        </w:tc>
      </w:tr>
      <w:tr>
        <w:tc>
          <w:tcPr/>
          <w:p>
            <w:pPr>
              <w:pStyle w:val="Compact"/>
              <w:jc w:val="left"/>
            </w:pPr>
            <w:r>
              <w:t xml:space="preserve">Base (50 %)</w:t>
            </w:r>
          </w:p>
        </w:tc>
        <w:tc>
          <w:tcPr/>
          <w:p>
            <w:pPr>
              <w:pStyle w:val="Compact"/>
              <w:jc w:val="left"/>
            </w:pPr>
            <w:r>
              <w:t xml:space="preserve">2.570</w:t>
            </w:r>
          </w:p>
        </w:tc>
        <w:tc>
          <w:tcPr/>
          <w:p>
            <w:pPr>
              <w:pStyle w:val="Compact"/>
              <w:jc w:val="left"/>
            </w:pPr>
            <w:r>
              <w:t xml:space="preserve">8,8x</w:t>
            </w:r>
          </w:p>
        </w:tc>
        <w:tc>
          <w:tcPr/>
          <w:p>
            <w:pPr>
              <w:pStyle w:val="Compact"/>
              <w:jc w:val="left"/>
            </w:pPr>
            <w:r>
              <w:t xml:space="preserve">24,6</w:t>
            </w:r>
          </w:p>
        </w:tc>
        <w:tc>
          <w:tcPr/>
          <w:p>
            <w:pPr>
              <w:pStyle w:val="Compact"/>
              <w:jc w:val="left"/>
            </w:pPr>
            <w:r>
              <w:t xml:space="preserve">+3,6 %</w:t>
            </w:r>
          </w:p>
        </w:tc>
      </w:tr>
      <w:tr>
        <w:tc>
          <w:tcPr/>
          <w:p>
            <w:pPr>
              <w:pStyle w:val="Compact"/>
              <w:jc w:val="left"/>
            </w:pPr>
            <w:r>
              <w:t xml:space="preserve">Alcista (25 %)</w:t>
            </w:r>
          </w:p>
        </w:tc>
        <w:tc>
          <w:tcPr/>
          <w:p>
            <w:pPr>
              <w:pStyle w:val="Compact"/>
              <w:jc w:val="left"/>
            </w:pPr>
            <w:r>
              <w:t xml:space="preserve">2.750</w:t>
            </w:r>
          </w:p>
        </w:tc>
        <w:tc>
          <w:tcPr/>
          <w:p>
            <w:pPr>
              <w:pStyle w:val="Compact"/>
              <w:jc w:val="left"/>
            </w:pPr>
            <w:r>
              <w:t xml:space="preserve">11,5x</w:t>
            </w:r>
          </w:p>
        </w:tc>
        <w:tc>
          <w:tcPr/>
          <w:p>
            <w:pPr>
              <w:pStyle w:val="Compact"/>
              <w:jc w:val="left"/>
            </w:pPr>
            <w:r>
              <w:t xml:space="preserve">33,1</w:t>
            </w:r>
          </w:p>
        </w:tc>
        <w:tc>
          <w:tcPr/>
          <w:p>
            <w:pPr>
              <w:pStyle w:val="Compact"/>
              <w:jc w:val="left"/>
            </w:pPr>
            <w:r>
              <w:t xml:space="preserve">+39,2 %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24,1</w:t>
            </w:r>
          </w:p>
        </w:tc>
        <w:tc>
          <w:tcPr/>
          <w:p>
            <w:pPr>
              <w:pStyle w:val="Compact"/>
              <w:jc w:val="left"/>
            </w:pPr>
            <w:r>
              <w:rPr>
                <w:bCs/>
                <w:b/>
              </w:rPr>
              <w:t xml:space="preserve">+1,5 %</w:t>
            </w:r>
          </w:p>
        </w:tc>
      </w:tr>
    </w:tbl>
    <w:p>
      <w:pPr>
        <w:pStyle w:val="BodyText"/>
      </w:pPr>
      <w:r>
        <w:t xml:space="preserve">Margen EBITDA implícito del 21,6 % en los tres casos (el objetivo de la empresa para 2028 es el mismo, 20-22 %). Asimetría 1,0.</w:t>
      </w:r>
      <w:r>
        <w:t xml:space="preserve"> </w:t>
      </w:r>
      <w:r>
        <w:rPr>
          <w:bCs/>
          <w:b/>
        </w:rPr>
        <w:t xml:space="preserve">Precio máximo de compra: 23,0 USD</w:t>
      </w:r>
      <w:r>
        <w:t xml:space="preserve">. Con el objetivo fijo en 24,1, el listón del 5 % está en</w:t>
      </w:r>
      <w:r>
        <w:t xml:space="preserve"> </w:t>
      </w:r>
      <w:r>
        <w:rPr>
          <w:bCs/>
          <w:b/>
        </w:rPr>
        <w:t xml:space="preserve">22,9 USD</w:t>
      </w:r>
      <w:r>
        <w:t xml:space="preserve">.</w:t>
      </w:r>
    </w:p>
    <w:p>
      <w:pPr>
        <w:pStyle w:val="BodyText"/>
      </w:pPr>
      <w:r>
        <w:rPr>
          <w:bCs/>
          <w:b/>
        </w:rPr>
        <w:t xml:space="preserve">Contrastes (no entran en la regla):</w:t>
      </w:r>
      <w:r>
        <w:t xml:space="preserve"> </w:t>
      </w:r>
      <w:r>
        <w:t xml:space="preserve">-</w:t>
      </w:r>
      <w:r>
        <w:t xml:space="preserve"> </w:t>
      </w:r>
      <w:r>
        <w:rPr>
          <w:bCs/>
          <w:b/>
        </w:rPr>
        <w:t xml:space="preserve">v9</w:t>
      </w:r>
      <w:r>
        <w:t xml:space="preserve"> </w:t>
      </w:r>
      <w:r>
        <w:t xml:space="preserve">(ventas mecánicas, 2.685 M en el base): Comprar con convicción baja, +5,1 %, por una décima.</w:t>
      </w:r>
      <w:r>
        <w:t xml:space="preserve"> </w:t>
      </w:r>
      <w:r>
        <w:rPr>
          <w:bCs/>
          <w:b/>
        </w:rPr>
        <w:t xml:space="preserve">v7</w:t>
      </w:r>
      <w:r>
        <w:t xml:space="preserve">: Comprar, +8,1 %.</w:t>
      </w:r>
      <w:r>
        <w:t xml:space="preserve"> </w:t>
      </w:r>
      <w:r>
        <w:t xml:space="preserve">-</w:t>
      </w:r>
      <w:r>
        <w:t xml:space="preserve"> </w:t>
      </w:r>
      <w:r>
        <w:rPr>
          <w:bCs/>
          <w:b/>
        </w:rPr>
        <w:t xml:space="preserve">Con EV/ingresos</w:t>
      </w:r>
      <w:r>
        <w:t xml:space="preserve"> </w:t>
      </w:r>
      <w:r>
        <w:t xml:space="preserve">en vez de EV/EBITDA: el mismo +1,5 %.</w:t>
      </w:r>
      <w:r>
        <w:t xml:space="preserve"> </w:t>
      </w:r>
      <w:r>
        <w:t xml:space="preserve">-</w:t>
      </w:r>
      <w:r>
        <w:t xml:space="preserve"> </w:t>
      </w:r>
      <w:r>
        <w:rPr>
          <w:bCs/>
          <w:b/>
        </w:rPr>
        <w:t xml:space="preserve">Consenso</w:t>
      </w:r>
      <w:r>
        <w:t xml:space="preserve">: precio objetivo de 32,11 USD (StockAnalysis, 10 analistas) o 27,78 USD (MarketBeat, 12). Muy por encima del objetivo del método, porque los analistas suponen que el múltiplo se mantiene con más EBITDA y el método rebaja el múltiplo por la desaceleración.</w:t>
      </w:r>
      <w:r>
        <w:t xml:space="preserve"> </w:t>
      </w:r>
      <w:r>
        <w:t xml:space="preserve">-</w:t>
      </w:r>
      <w:r>
        <w:t xml:space="preserve"> </w:t>
      </w:r>
      <w:r>
        <w:rPr>
          <w:bCs/>
          <w:b/>
        </w:rPr>
        <w:t xml:space="preserve">DCF inverso</w:t>
      </w:r>
      <w:r>
        <w:t xml:space="preserve">: con un coste de capital del 10 % y un crecimiento final del 3 %, el precio descuenta crecer un</w:t>
      </w:r>
      <w:r>
        <w:t xml:space="preserve"> </w:t>
      </w:r>
      <w:r>
        <w:rPr>
          <w:bCs/>
          <w:b/>
        </w:rPr>
        <w:t xml:space="preserve">~9 % anual durante 10 años</w:t>
      </w:r>
      <w:r>
        <w:t xml:space="preserve"> </w:t>
      </w:r>
      <w:r>
        <w:t xml:space="preserve">si se restan los pagos en acciones de la caja libre (un ~2 % si no se restan). Es poco para una empresa que crece al 20 %: el negocio no está caro. Lo que limita la rentabilidad a 12 meses es que el múltiplo ya ha vuelto a su media.</w:t>
      </w:r>
    </w:p>
    <w:bookmarkEnd w:id="28"/>
    <w:bookmarkStart w:id="29" w:name="foros-y-sentimiento"/>
    <w:p>
      <w:pPr>
        <w:pStyle w:val="Heading2"/>
      </w:pPr>
      <w:r>
        <w:t xml:space="preserve">10. Foros y sentimiento</w:t>
      </w:r>
    </w:p>
    <w:p>
      <w:pPr>
        <w:numPr>
          <w:ilvl w:val="0"/>
          <w:numId w:val="1010"/>
        </w:numPr>
        <w:pStyle w:val="Compact"/>
      </w:pPr>
      <w:r>
        <w:rPr>
          <w:bCs/>
          <w:b/>
        </w:rPr>
        <w:t xml:space="preserve">StockTwits ($RELY, 1.888 seguidores)</w:t>
      </w:r>
      <w:r>
        <w:t xml:space="preserve">: de los 30 últimos mensajes (ago-oct), 12 alcistas y 1 bajista. Hablan de máximos, de la ruptura de los 27,5 USD y de rotación hacia fintech (Wise, dLocal, Flywire). Hay entusiasmo de corto plazo, pero no euforia [13].</w:t>
      </w:r>
    </w:p>
    <w:p>
      <w:pPr>
        <w:numPr>
          <w:ilvl w:val="0"/>
          <w:numId w:val="1010"/>
        </w:numPr>
        <w:pStyle w:val="Compact"/>
      </w:pPr>
      <w:r>
        <w:rPr>
          <w:bCs/>
          <w:b/>
        </w:rPr>
        <w:t xml:space="preserve">Prensa y Seeking Alpha / Motley Fool</w:t>
      </w:r>
      <w:r>
        <w:t xml:space="preserve">: el tono cambió en 2026. «Por qué Remitly rebotó un 39,7 % en abril», «Remitly podría ser el compounder oculto de los pagos internacionales» (jun). El tema bajista recurrente son las</w:t>
      </w:r>
      <w:r>
        <w:t xml:space="preserve"> </w:t>
      </w:r>
      <w:r>
        <w:rPr>
          <w:iCs/>
          <w:i/>
        </w:rPr>
        <w:t xml:space="preserve">stablecoins</w:t>
      </w:r>
      <w:r>
        <w:t xml:space="preserve"> </w:t>
      </w:r>
      <w:r>
        <w:t xml:space="preserve">(«Stablecoins are coming for cross-border payments», jun) y la baja de comisión, que ya señalaba Spruce Point en 2025 [11][14].</w:t>
      </w:r>
    </w:p>
    <w:p>
      <w:pPr>
        <w:numPr>
          <w:ilvl w:val="0"/>
          <w:numId w:val="1010"/>
        </w:numPr>
        <w:pStyle w:val="Compact"/>
      </w:pPr>
      <w:r>
        <w:rPr>
          <w:bCs/>
          <w:b/>
        </w:rPr>
        <w:t xml:space="preserve">Analistas</w:t>
      </w:r>
      <w:r>
        <w:t xml:space="preserve">: 10 de 10 recomiendan comprar en StockAnalysis; en MarketBeat, 10 de 12. Zacks rebajó a Mantener el 5-oct [9][10].</w:t>
      </w:r>
    </w:p>
    <w:p>
      <w:pPr>
        <w:numPr>
          <w:ilvl w:val="0"/>
          <w:numId w:val="1010"/>
        </w:numPr>
        <w:pStyle w:val="Compact"/>
      </w:pPr>
      <w:r>
        <w:rPr>
          <w:bCs/>
          <w:b/>
        </w:rPr>
        <w:t xml:space="preserve">Reddit, Rankia e Investing.com</w:t>
      </w:r>
      <w:r>
        <w:t xml:space="preserve">: sin hilos recientes indexados.</w:t>
      </w:r>
      <w:r>
        <w:t xml:space="preserve"> </w:t>
      </w:r>
      <w:r>
        <w:rPr>
          <w:bCs/>
          <w:b/>
        </w:rPr>
        <w:t xml:space="preserve">Laguna.</w:t>
      </w:r>
    </w:p>
    <w:p>
      <w:pPr>
        <w:numPr>
          <w:ilvl w:val="0"/>
          <w:numId w:val="1010"/>
        </w:numPr>
        <w:pStyle w:val="Compact"/>
      </w:pPr>
      <w:r>
        <w:rPr>
          <w:bCs/>
          <w:b/>
        </w:rPr>
        <w:t xml:space="preserve">Contraste con los datos</w:t>
      </w:r>
      <w:r>
        <w:t xml:space="preserve">: el sentimiento ha ido detrás del negocio, que mejora de verdad (beneficio y caja). El riesgo es el contrario al de Wise: la percepción ya es buena y el crecimiento frena (20 % en el 3T frente a 34 % hace un año).</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 ninguna.</w:t>
      </w:r>
      <w:r>
        <w:t xml:space="preserve"> </w:t>
      </w:r>
      <w:r>
        <w:t xml:space="preserve">Repaso de las que podían saltar:</w:t>
      </w:r>
      <w:r>
        <w:t xml:space="preserve"> </w:t>
      </w:r>
      <w:r>
        <w:t xml:space="preserve">- Proyección mecánica frente a la del informe: 2.685 frente a 2.570 M, 1,04 veces (alerta a partir de 1,2). v11 usa la del informe.</w:t>
      </w:r>
      <w:r>
        <w:t xml:space="preserve"> </w:t>
      </w:r>
      <w:r>
        <w:t xml:space="preserve">- Múltiplo de hoy frente a su mediana: 9,7x frente a 10,7x (alerta a partir de 2 veces).</w:t>
      </w:r>
      <w:r>
        <w:t xml:space="preserve"> </w:t>
      </w:r>
      <w:r>
        <w:t xml:space="preserve">- Guía anual: la hay (2S implícito del 20,1 %) y el exceso sobre ella es de 3,5 puntos (alerta a partir de 10).</w:t>
      </w:r>
      <w:r>
        <w:t xml:space="preserve"> </w:t>
      </w:r>
      <w:r>
        <w:t xml:space="preserve">- EBITDA de 12 meses: informado (470 M) y coherente con el margen implícito.</w:t>
      </w:r>
      <w:r>
        <w:t xml:space="preserve"> </w:t>
      </w:r>
      <w:r>
        <w:t xml:space="preserve">- Pagos en acciones: 7,9 % de los ingresos (alerta a partir del 15 %). Clientes: sin concentración.</w:t>
      </w:r>
    </w:p>
    <w:p>
      <w:pPr>
        <w:pStyle w:val="BodyText"/>
      </w:pPr>
      <w:r>
        <w:rPr>
          <w:bCs/>
          <w:b/>
        </w:rPr>
        <w:t xml:space="preserve">Prueba</w:t>
      </w:r>
      <w:r>
        <w:rPr>
          <w:bCs/>
          <w:b/>
        </w:rPr>
        <w:t xml:space="preserve"> </w:t>
      </w:r>
      <w:r>
        <w:rPr>
          <w:rStyle w:val="VerbatimChar"/>
          <w:bCs/>
          <w:b/>
        </w:rPr>
        <w:t xml:space="preserve">robustez-growth</w:t>
      </w:r>
      <w:r>
        <w:rPr>
          <w:bCs/>
          <w:b/>
        </w:rPr>
        <w:t xml:space="preserve"> </w:t>
      </w:r>
      <w:r>
        <w:rPr>
          <w:bCs/>
          <w:b/>
        </w:rPr>
        <w:t xml:space="preserve">(con precios): FRÁGIL; señal robusta Mantener.</w:t>
      </w:r>
      <w:r>
        <w:t xml:space="preserve"> </w:t>
      </w:r>
      <w:r>
        <w:t xml:space="preserve">- Todas las variantes razonables dan Mantener: v11 +1,5 %, ventas del informe +1,7 %, pesos 25/50/25 +1,5 % y pesos 35/50/15 −6,4 %. Al precio de hoy con el objetivo fijo, +4,1 %: también Mantener.</w:t>
      </w:r>
      <w:r>
        <w:t xml:space="preserve"> </w:t>
      </w:r>
      <w:r>
        <w:t xml:space="preserve">-</w:t>
      </w:r>
      <w:r>
        <w:t xml:space="preserve"> </w:t>
      </w:r>
      <w:r>
        <w:rPr>
          <w:bCs/>
          <w:b/>
        </w:rPr>
        <w:t xml:space="preserve">Solo la v7</w:t>
      </w:r>
      <w:r>
        <w:t xml:space="preserve"> </w:t>
      </w:r>
      <w:r>
        <w:t xml:space="preserve">da Comprar (+8,1 %), porque proyecta el crecimiento pasado sin recortarlo por la guía. Por eso el veredicto es «frágil», pero la señal que se comunica es la más prudente, Mantener, y es la misma que da la versión vigente.</w:t>
      </w:r>
      <w:r>
        <w:t xml:space="preserve"> </w:t>
      </w:r>
      <w:r>
        <w:t xml:space="preserve">- [G2 AVISO] El objetivo se mueve con el precio: al revisar precios se deja fijo el objetivo de 24,1 USD.</w:t>
      </w:r>
      <w:r>
        <w:t xml:space="preserve"> </w:t>
      </w:r>
      <w:r>
        <w:t xml:space="preserve">- [G6 AVISO] Bajista del −40 %: si algún día entra, en tramos y con el peso más bajo.</w:t>
      </w:r>
    </w:p>
    <w:p>
      <w:pPr>
        <w:pStyle w:val="BodyText"/>
      </w:pPr>
      <w:r>
        <w:rPr>
          <w:bCs/>
          <w:b/>
        </w:rPr>
        <w:t xml:space="preserve">Riesgos del negocio:</w:t>
      </w:r>
      <w:r>
        <w:t xml:space="preserve"> </w:t>
      </w:r>
      <w:r>
        <w:t xml:space="preserve">1.</w:t>
      </w:r>
      <w:r>
        <w:t xml:space="preserve"> </w:t>
      </w:r>
      <w:r>
        <w:rPr>
          <w:bCs/>
          <w:b/>
        </w:rPr>
        <w:t xml:space="preserve">Comisión que baja (take rate)</w:t>
      </w:r>
      <w:r>
        <w:t xml:space="preserve">: es el riesgo central. Si la competencia obliga a bajar precios más deprisa de lo que baja el coste, el volumen seguiría creciendo y el beneficio no. Se vigila el margen de transacción por dólar enviado (hoy ~1,4 %).</w:t>
      </w:r>
      <w:r>
        <w:t xml:space="preserve"> </w:t>
      </w:r>
      <w:r>
        <w:t xml:space="preserve">2.</w:t>
      </w:r>
      <w:r>
        <w:t xml:space="preserve"> </w:t>
      </w:r>
      <w:r>
        <w:rPr>
          <w:bCs/>
          <w:b/>
        </w:rPr>
        <w:t xml:space="preserve">Inmigración en EE. UU.</w:t>
      </w:r>
      <w:r>
        <w:t xml:space="preserve">: deportaciones y cambios legales pueden reducir el número de emisores. La empresa lo cita como riesgo. El impuesto del 1 % a las remesas en efectivo (ley OBBBA, desde 2026) no le afecta apenas, porque sus envíos no son en efectivo, y de hecho perjudica a los rivales con agentes [2].</w:t>
      </w:r>
      <w:r>
        <w:t xml:space="preserve"> </w:t>
      </w:r>
      <w:r>
        <w:t xml:space="preserve">3.</w:t>
      </w:r>
      <w:r>
        <w:t xml:space="preserve"> </w:t>
      </w:r>
      <w:r>
        <w:rPr>
          <w:bCs/>
          <w:b/>
        </w:rPr>
        <w:t xml:space="preserve">Stablecoins (riesgo medio, sobre todo de precio)</w:t>
      </w:r>
      <w:r>
        <w:t xml:space="preserve">. Razones: abaratan la parte del medio del envío (mover dólares entre países), que es justo donde cobra el margen de cambio, y facilitan que monederos y bancos ofrezcan envíos casi gratis. Pero el receptor sigue necesitando cobrar en moneda local, en efectivo o en su banco, con licencias y control del fraude en cada país, y eso es lo que tiene Remitly. Además, Remitly usa ya las</w:t>
      </w:r>
      <w:r>
        <w:t xml:space="preserve"> </w:t>
      </w:r>
      <w:r>
        <w:rPr>
          <w:iCs/>
          <w:i/>
        </w:rPr>
        <w:t xml:space="preserve">stablecoins</w:t>
      </w:r>
      <w:r>
        <w:t xml:space="preserve"> </w:t>
      </w:r>
      <w:r>
        <w:t xml:space="preserve">para abaratar su propio coste (monedero con USDC de Circle, pagos en Nigeria y Argentina con Bridge de Stripe) [4][11]. Conclusión: más presión sobre la comisión, no desaparición del negocio en dos años.</w:t>
      </w:r>
      <w:r>
        <w:t xml:space="preserve"> </w:t>
      </w:r>
      <w:r>
        <w:t xml:space="preserve">4.</w:t>
      </w:r>
      <w:r>
        <w:t xml:space="preserve"> </w:t>
      </w:r>
      <w:r>
        <w:rPr>
          <w:bCs/>
          <w:b/>
        </w:rPr>
        <w:t xml:space="preserve">IA (riesgo bajo; hoy juega a favor)</w:t>
      </w:r>
      <w:r>
        <w:t xml:space="preserve">. Razones: la IA no sustituye licencias, socios pagadores ni el cumplimiento normativo, y ya le está bajando costes (tecnología −4 % y generales −6 % en el 2T, con más ingresos). El riesgo que veo es indirecto: asistentes de IA que comparen precios por el cliente y le lleven siempre al envío más barato, lo que también presionaría la comisión.</w:t>
      </w:r>
      <w:r>
        <w:t xml:space="preserve"> </w:t>
      </w:r>
      <w:r>
        <w:t xml:space="preserve">5.</w:t>
      </w:r>
      <w:r>
        <w:t xml:space="preserve"> </w:t>
      </w:r>
      <w:r>
        <w:rPr>
          <w:bCs/>
          <w:b/>
        </w:rPr>
        <w:t xml:space="preserve">Frenazo del crecimiento</w:t>
      </w:r>
      <w:r>
        <w:t xml:space="preserve">: de +34 % a +20 % en un año. Si baja del 15 %, el múltiplo bajaría.</w:t>
      </w:r>
      <w:r>
        <w:t xml:space="preserve"> </w:t>
      </w:r>
      <w:r>
        <w:t xml:space="preserve">6.</w:t>
      </w:r>
      <w:r>
        <w:t xml:space="preserve"> </w:t>
      </w:r>
      <w:r>
        <w:rPr>
          <w:bCs/>
          <w:b/>
        </w:rPr>
        <w:t xml:space="preserve">Pagos en acciones y ventas de directivos</w:t>
      </w:r>
      <w:r>
        <w:t xml:space="preserve">: el 7,9 % de los ingresos y ninguna compra de directivos.</w:t>
      </w:r>
    </w:p>
    <w:p>
      <w:pPr>
        <w:pStyle w:val="BodyText"/>
      </w:pPr>
      <w:r>
        <w:rPr>
          <w:bCs/>
          <w:b/>
        </w:rPr>
        <w:t xml:space="preserve">Señales de venta concretas</w:t>
      </w:r>
      <w:r>
        <w:t xml:space="preserve"> </w:t>
      </w:r>
      <w:r>
        <w:t xml:space="preserve">(si se tuviera):</w:t>
      </w:r>
      <w:r>
        <w:t xml:space="preserve"> </w:t>
      </w:r>
      <w:r>
        <w:t xml:space="preserve">- Ingresos por debajo del 15 % dos trimestres seguidos, o volumen por debajo del 18 %.</w:t>
      </w:r>
      <w:r>
        <w:t xml:space="preserve"> </w:t>
      </w:r>
      <w:r>
        <w:t xml:space="preserve">- Margen de transacción por dólar enviado por debajo del 1,3 % dos trimestres seguidos.</w:t>
      </w:r>
      <w:r>
        <w:t xml:space="preserve"> </w:t>
      </w:r>
      <w:r>
        <w:t xml:space="preserve">- Recorte de la guía anual o pérdida de un corredor grande (India, México, Filipinas) por regulación.</w:t>
      </w:r>
    </w:p>
    <w:p>
      <w:pPr>
        <w:pStyle w:val="BodyText"/>
      </w:pPr>
      <w:r>
        <w:t xml:space="preserve">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Primeros de nov-2026 (3-nov según un agregador, sin confirmar)</w:t>
            </w:r>
          </w:p>
        </w:tc>
        <w:tc>
          <w:tcPr/>
          <w:p>
            <w:pPr>
              <w:pStyle w:val="Compact"/>
              <w:jc w:val="left"/>
            </w:pPr>
            <w:r>
              <w:t xml:space="preserve">Resultados del 3T26: guía 505-507 M de ingresos y 92-94 M de EBITDA; primera guía de 2027 en febrero</w:t>
            </w:r>
          </w:p>
        </w:tc>
        <w:tc>
          <w:tcPr/>
          <w:p>
            <w:pPr>
              <w:pStyle w:val="Compact"/>
              <w:jc w:val="left"/>
            </w:pPr>
            <w:r>
              <w:t xml:space="preserve">+/−</w:t>
            </w:r>
          </w:p>
        </w:tc>
      </w:tr>
      <w:tr>
        <w:tc>
          <w:tcPr/>
          <w:p>
            <w:pPr>
              <w:pStyle w:val="Compact"/>
              <w:jc w:val="left"/>
            </w:pPr>
            <w:r>
              <w:t xml:space="preserve">4T26</w:t>
            </w:r>
          </w:p>
        </w:tc>
        <w:tc>
          <w:tcPr/>
          <w:p>
            <w:pPr>
              <w:pStyle w:val="Compact"/>
              <w:jc w:val="left"/>
            </w:pPr>
            <w:r>
              <w:t xml:space="preserve">Temporada de Navidad, el trimestre más fuerte en envíos</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 2026 y guía de 2027</w:t>
            </w:r>
          </w:p>
        </w:tc>
        <w:tc>
          <w:tcPr/>
          <w:p>
            <w:pPr>
              <w:pStyle w:val="Compact"/>
              <w:jc w:val="left"/>
            </w:pPr>
            <w:r>
              <w:t xml:space="preserve">+/−</w:t>
            </w:r>
          </w:p>
        </w:tc>
      </w:tr>
      <w:tr>
        <w:tc>
          <w:tcPr/>
          <w:p>
            <w:pPr>
              <w:pStyle w:val="Compact"/>
              <w:jc w:val="left"/>
            </w:pPr>
            <w:r>
              <w:t xml:space="preserve">Sin fecha</w:t>
            </w:r>
          </w:p>
        </w:tc>
        <w:tc>
          <w:tcPr/>
          <w:p>
            <w:pPr>
              <w:pStyle w:val="Compact"/>
              <w:jc w:val="left"/>
            </w:pPr>
            <w:r>
              <w:t xml:space="preserve">Ampliación de Remitly One y del monedero a más países</w:t>
            </w:r>
          </w:p>
        </w:tc>
        <w:tc>
          <w:tcPr/>
          <w:p>
            <w:pPr>
              <w:pStyle w:val="Compact"/>
              <w:jc w:val="left"/>
            </w:pPr>
            <w:r>
              <w:t xml:space="preserve">+</w:t>
            </w:r>
          </w:p>
        </w:tc>
      </w:tr>
      <w:tr>
        <w:tc>
          <w:tcPr/>
          <w:p>
            <w:pPr>
              <w:pStyle w:val="Compact"/>
              <w:jc w:val="left"/>
            </w:pPr>
            <w:r>
              <w:t xml:space="preserve">Sin fecha</w:t>
            </w:r>
          </w:p>
        </w:tc>
        <w:tc>
          <w:tcPr/>
          <w:p>
            <w:pPr>
              <w:pStyle w:val="Compact"/>
              <w:jc w:val="left"/>
            </w:pPr>
            <w:r>
              <w:t xml:space="preserve">Política migratoria de EE. UU.</w:t>
            </w:r>
          </w:p>
        </w:tc>
        <w:tc>
          <w:tcPr/>
          <w:p>
            <w:pPr>
              <w:pStyle w:val="Compact"/>
              <w:jc w:val="left"/>
            </w:pPr>
            <w:r>
              <w:t xml:space="preserve">−</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w:t>
      </w:r>
      <w:r>
        <w:t xml:space="preserve"> </w:t>
      </w:r>
      <w:r>
        <w:rPr>
          <w:rStyle w:val="VerbatimChar"/>
        </w:rPr>
        <w:t xml:space="preserve">informes-growth/cartera-growth.md</w:t>
      </w:r>
      <w:r>
        <w:t xml:space="preserve">): Nu +20 %, Axon +37 %, Shopify +18 %, Snowflake +14 % y Samsara +17 %, con v11 y al precio actual. Liquidez ≈ 27 EUR: solo cabe sustituir. Ninguna orden se emite sin que el usuario la pida y la confirme.</w:t>
      </w:r>
    </w:p>
    <w:p>
      <w:pPr>
        <w:numPr>
          <w:ilvl w:val="0"/>
          <w:numId w:val="1011"/>
        </w:numPr>
        <w:pStyle w:val="Compact"/>
      </w:pPr>
      <w:r>
        <w:rPr>
          <w:bCs/>
          <w:b/>
        </w:rPr>
        <w:t xml:space="preserve">Remitly no entra ni sustituye a ninguna</w:t>
      </w:r>
      <w:r>
        <w:t xml:space="preserve">: su ponderada al precio de hoy (+4,1 %) es menor que la de las cinco y no pasa el listón de compra del 5 %.</w:t>
      </w:r>
    </w:p>
    <w:p>
      <w:pPr>
        <w:numPr>
          <w:ilvl w:val="0"/>
          <w:numId w:val="1011"/>
        </w:numPr>
        <w:pStyle w:val="Compact"/>
      </w:pPr>
      <w:r>
        <w:rPr>
          <w:bCs/>
          <w:b/>
        </w:rPr>
        <w:t xml:space="preserve">Tampoco entra en la lista de suplentes</w:t>
      </w:r>
      <w:r>
        <w:t xml:space="preserve"> </w:t>
      </w:r>
      <w:r>
        <w:t xml:space="preserve">(MongoDB, Toast, Zscaler, dLocal, Dexcom, Datadog, argenx, Natera, Saab), porque esa lista es de empresas en Comprar. Queda en</w:t>
      </w:r>
      <w:r>
        <w:t xml:space="preserve"> </w:t>
      </w:r>
      <w:r>
        <w:rPr>
          <w:bCs/>
          <w:b/>
        </w:rPr>
        <w:t xml:space="preserve">Mantener, en vigilancia</w:t>
      </w:r>
      <w:r>
        <w:t xml:space="preserve">, junto a Wise. Si cayera por debajo de unos</w:t>
      </w:r>
      <w:r>
        <w:t xml:space="preserve"> </w:t>
      </w:r>
      <w:r>
        <w:rPr>
          <w:bCs/>
          <w:b/>
        </w:rPr>
        <w:t xml:space="preserve">22,9 USD</w:t>
      </w:r>
      <w:r>
        <w:t xml:space="preserve"> </w:t>
      </w:r>
      <w:r>
        <w:t xml:space="preserve">pasaría a Comprar con convicción baja y quedaría la última de suplentes, detrás de Saab (+6 %).</w:t>
      </w:r>
    </w:p>
    <w:p>
      <w:pPr>
        <w:numPr>
          <w:ilvl w:val="0"/>
          <w:numId w:val="1011"/>
        </w:numPr>
        <w:pStyle w:val="Compact"/>
      </w:pPr>
      <w:r>
        <w:rPr>
          <w:bCs/>
          <w:b/>
        </w:rPr>
        <w:t xml:space="preserve">Frente a dLocal</w:t>
      </w:r>
      <w:r>
        <w:t xml:space="preserve">, la suplente de su sector: dLocal da más rentabilidad (+15 % frente a +2 %) pero su margen por volumen cae con fuerza. Remitly tiene un negocio más estable y más caro. Entre las dos, por el método, dLocal.</w:t>
      </w:r>
    </w:p>
    <w:p>
      <w:pPr>
        <w:numPr>
          <w:ilvl w:val="0"/>
          <w:numId w:val="1011"/>
        </w:numPr>
        <w:pStyle w:val="Compact"/>
      </w:pPr>
      <w:r>
        <w:rPr>
          <w:bCs/>
          <w:b/>
        </w:rPr>
        <w:t xml:space="preserve">Solapamiento</w:t>
      </w:r>
      <w:r>
        <w:t xml:space="preserve">: añadiría más fintech de pagos a Nu y Shopify. No es una apuesta por la IA (la venta de Alphabet de mañana no cambia este encaje). No es juego ni comercio minorista.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c>
          <w:tcPr/>
          <w:p>
            <w:pPr>
              <w:pStyle w:val="Compact"/>
              <w:jc w:val="left"/>
            </w:pPr>
            <w:r>
              <w:t xml:space="preserve">Ventas 12 m +23,8 % (3), crecimiento a 2 años 29,3 % (3), frenazo de −7,3 puntos (1)</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5,2 % (3), tecnología 3, posición 4</w:t>
            </w:r>
          </w:p>
        </w:tc>
      </w:tr>
      <w:tr>
        <w:tc>
          <w:tcPr/>
          <w:p>
            <w:pPr>
              <w:pStyle w:val="Compact"/>
              <w:jc w:val="left"/>
            </w:pPr>
            <w:r>
              <w:t xml:space="preserve">C. Cambio de tendencia</w:t>
            </w:r>
          </w:p>
        </w:tc>
        <w:tc>
          <w:tcPr/>
          <w:p>
            <w:pPr>
              <w:pStyle w:val="Compact"/>
              <w:jc w:val="left"/>
            </w:pPr>
            <w:r>
              <w:t xml:space="preserve">17,5</w:t>
            </w:r>
          </w:p>
        </w:tc>
        <w:tc>
          <w:tcPr/>
          <w:p>
            <w:pPr>
              <w:pStyle w:val="Compact"/>
              <w:jc w:val="left"/>
            </w:pPr>
            <w:r>
              <w:t xml:space="preserve">20</w:t>
            </w:r>
          </w:p>
        </w:tc>
        <w:tc>
          <w:tcPr/>
          <w:p>
            <w:pPr>
              <w:pStyle w:val="Compact"/>
              <w:jc w:val="left"/>
            </w:pPr>
            <w:r>
              <w:t xml:space="preserve">7/8 señales, sin euforia</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c>
          <w:tcPr/>
          <w:p>
            <w:pPr>
              <w:pStyle w:val="Compact"/>
              <w:jc w:val="left"/>
            </w:pPr>
            <w:r>
              <w:t xml:space="preserve">Margen bruto 67,4 % (4), regla del 40 = 44,5 (3), caja libre creciente (5)</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Caja libre positiva (5), dilución 2,7 % (3)</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5, dirección 3</w:t>
            </w:r>
          </w:p>
        </w:tc>
      </w:tr>
      <w:tr>
        <w:tc>
          <w:tcPr/>
          <w:p>
            <w:pPr>
              <w:pStyle w:val="Compact"/>
              <w:jc w:val="left"/>
            </w:pPr>
            <w:r>
              <w:rPr>
                <w:bCs/>
                <w:b/>
              </w:rPr>
              <w:t xml:space="preserve">Total</w:t>
            </w:r>
          </w:p>
        </w:tc>
        <w:tc>
          <w:tcPr/>
          <w:p>
            <w:pPr>
              <w:pStyle w:val="Compact"/>
              <w:jc w:val="left"/>
            </w:pPr>
            <w:r>
              <w:rPr>
                <w:bCs/>
                <w:b/>
              </w:rPr>
              <w:t xml:space="preserve">70,5</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Mantener, en vigilancia</w:t>
            </w:r>
            <w:r>
              <w:t xml:space="preserve"> </w:t>
            </w:r>
            <w:r>
              <w:t xml:space="preserve">(ponderada por debajo del 5 %)</w:t>
            </w:r>
          </w:p>
        </w:tc>
      </w:tr>
    </w:tbl>
    <w:p>
      <w:pPr>
        <w:pStyle w:val="BodyText"/>
      </w:pPr>
      <w:r>
        <w:rPr>
          <w:bCs/>
          <w:b/>
        </w:rPr>
        <w:t xml:space="preserve">Mejoras del método propuestas</w:t>
      </w:r>
      <w:r>
        <w:t xml:space="preserve"> </w:t>
      </w:r>
      <w:r>
        <w:t xml:space="preserve">(no toco el código; quedan para el backtest):</w:t>
      </w:r>
      <w:r>
        <w:t xml:space="preserve"> </w:t>
      </w:r>
      <w:r>
        <w:t xml:space="preserve">1.</w:t>
      </w:r>
      <w:r>
        <w:t xml:space="preserve"> </w:t>
      </w:r>
      <w:r>
        <w:rPr>
          <w:bCs/>
          <w:b/>
        </w:rPr>
        <w:t xml:space="preserve">Comisión y margen por volumen en las empresas de pagos</w:t>
      </w:r>
      <w:r>
        <w:t xml:space="preserve"> </w:t>
      </w:r>
      <w:r>
        <w:t xml:space="preserve">(Remitly, Wise, dLocal, Adyen): añadir a</w:t>
      </w:r>
      <w:r>
        <w:t xml:space="preserve"> </w:t>
      </w:r>
      <w:r>
        <w:rPr>
          <w:rStyle w:val="VerbatimChar"/>
        </w:rPr>
        <w:t xml:space="preserve">datos.json</w:t>
      </w:r>
      <w:r>
        <w:t xml:space="preserve"> </w:t>
      </w:r>
      <w:r>
        <w:t xml:space="preserve">el volumen, los ingresos por volumen y el margen de transacción por volumen, y una alerta cuando el margen por volumen baje más de un 10 % en un año. Es lo que separa a Remitly (estable) de dLocal (−33 %), y hoy el método no lo ve.</w:t>
      </w:r>
      <w:r>
        <w:t xml:space="preserve"> </w:t>
      </w:r>
      <w:r>
        <w:t xml:space="preserve">2.</w:t>
      </w:r>
      <w:r>
        <w:t xml:space="preserve"> </w:t>
      </w:r>
      <w:r>
        <w:rPr>
          <w:bCs/>
          <w:b/>
        </w:rPr>
        <w:t xml:space="preserve">Mediana histórica del EV/EBITDA solo desde que el margen pasa del 10 %</w:t>
      </w:r>
      <w:r>
        <w:t xml:space="preserve">: en las que acaban de empezar a ganar dinero, los primeros puntos inflan la mediana (44,6x en 2023 aquí) y suben el alcista sin motivo.</w:t>
      </w:r>
      <w:r>
        <w:t xml:space="preserve"> </w:t>
      </w:r>
      <w:r>
        <w:t xml:space="preserve">3.</w:t>
      </w:r>
      <w:r>
        <w:t xml:space="preserve"> </w:t>
      </w:r>
      <w:r>
        <w:rPr>
          <w:bCs/>
          <w:b/>
        </w:rPr>
        <w:t xml:space="preserve">Dilución con las acciones en circulación cuando las diluidas medias la esconden</w:t>
      </w:r>
      <w:r>
        <w:t xml:space="preserve">: aquí las diluidas medias suben un 0,9 % y las acciones en circulación un 2,7 % a pesar de la recompra. Usar la mayor de las dos.</w:t>
      </w:r>
    </w:p>
    <w:bookmarkEnd w:id="33"/>
    <w:bookmarkStart w:id="34" w:name="fuentes"/>
    <w:p>
      <w:pPr>
        <w:pStyle w:val="Heading2"/>
      </w:pPr>
      <w:r>
        <w:t xml:space="preserve">Fuentes</w:t>
      </w:r>
    </w:p>
    <w:p>
      <w:pPr>
        <w:pStyle w:val="FirstParagraph"/>
      </w:pPr>
      <w:r>
        <w:t xml:space="preserve">[1] Remitly Global, 8-K del 5-ago-2026 (SEC): resultados del 2T26, balance, flujo de caja, conciliaciones y guía 2026 y 3T26.</w:t>
      </w:r>
      <w:r>
        <w:t xml:space="preserve"> </w:t>
      </w:r>
      <w:r>
        <w:t xml:space="preserve">[2] Remitly, 10-Q del 2T26 (5-ago-2026) y datos XBRL: serie trimestral de ingresos, pagos en acciones, acciones, recompra, línea de crédito, negocio, riesgos e impuesto OBBBA.</w:t>
      </w:r>
      <w:r>
        <w:t xml:space="preserve"> </w:t>
      </w:r>
      <w:r>
        <w:t xml:space="preserve">[3] Remitly, 8-K de resultados del 4T24, 1T25, 2T25, 3T25, 4T25 y 1T26 (guías trimestrales y anuales, cifras de 2024 y 2025).</w:t>
      </w:r>
      <w:r>
        <w:t xml:space="preserve"> </w:t>
      </w:r>
      <w:r>
        <w:t xml:space="preserve">[4] FXC Intelligence, «Remitly Investor Day 2025» (dic-2025): objetivos de 2028; PaymentsJournal y Sacra: Remitly One, monedero con USDC y pagos con</w:t>
      </w:r>
      <w:r>
        <w:t xml:space="preserve"> </w:t>
      </w:r>
      <w:r>
        <w:rPr>
          <w:iCs/>
          <w:i/>
        </w:rPr>
        <w:t xml:space="preserve">stablecoins</w:t>
      </w:r>
      <w:r>
        <w:t xml:space="preserve">.</w:t>
      </w:r>
      <w:r>
        <w:t xml:space="preserve"> </w:t>
      </w:r>
      <w:r>
        <w:t xml:space="preserve">[5] Remitly, 8-K del 18-feb-2026; GeekWire y FinTech Futures: relevo del consejero delegado.</w:t>
      </w:r>
      <w:r>
        <w:t xml:space="preserve"> </w:t>
      </w:r>
      <w:r>
        <w:t xml:space="preserve">[6] Yahoo Finance (chart API) y Nasdaq.com: cierres de RELY, Nasdaq-100 y dLocal; cierre del 13-oct de 23,76 USD en ambas; 23,16 USD el 14-oct a las 18:26 UTC; media de 200 sesiones calculada.</w:t>
      </w:r>
      <w:r>
        <w:t xml:space="preserve"> </w:t>
      </w:r>
      <w:r>
        <w:t xml:space="preserve">[7] SEC: formularios 4 y 144 de abril a octubre de 2026.</w:t>
      </w:r>
      <w:r>
        <w:t xml:space="preserve"> </w:t>
      </w:r>
      <w:r>
        <w:t xml:space="preserve">[8] Bullstory: fecha estimada de resultados del 3T26 (sin confirmar por la empresa).</w:t>
      </w:r>
      <w:r>
        <w:t xml:space="preserve"> </w:t>
      </w:r>
      <w:r>
        <w:t xml:space="preserve">[9] StockAnalysis (RELY, 14-oct-2026): precio objetivo, recomendaciones y estimaciones de ventas y BPA.</w:t>
      </w:r>
      <w:r>
        <w:t xml:space="preserve"> </w:t>
      </w:r>
      <w:r>
        <w:t xml:space="preserve">[10] MarketBeat (RELY, 14-oct-2026): precio objetivo, recomendaciones y cambios de los analistas.</w:t>
      </w:r>
      <w:r>
        <w:t xml:space="preserve"> </w:t>
      </w:r>
      <w:r>
        <w:t xml:space="preserve">[11] Spruce Point Capital, informe bajista sobre Remitly (mar-2025).</w:t>
      </w:r>
      <w:r>
        <w:t xml:space="preserve"> </w:t>
      </w:r>
      <w:r>
        <w:t xml:space="preserve">[12] Cálculo propio de EV/EBITDA y EV/ingresos de los 12 meses siguientes, sep-2023 a jun-2026.</w:t>
      </w:r>
      <w:r>
        <w:t xml:space="preserve"> </w:t>
      </w:r>
      <w:r>
        <w:t xml:space="preserve">[13] StockTwits $RELY (ago-oct 2026).</w:t>
      </w:r>
      <w:r>
        <w:t xml:space="preserve"> </w:t>
      </w:r>
      <w:r>
        <w:t xml:space="preserve">[14] Motley Fool, Yahoo Finance y Nasdaq (2026), TIKR y Walnut Invest; búsquedas sin resultados en Reddit, Rankia e Investing.com.</w:t>
      </w:r>
      <w:r>
        <w:t xml:space="preserve"> </w:t>
      </w:r>
      <w:r>
        <w:t xml:space="preserve">[15]</w:t>
      </w:r>
      <w:r>
        <w:t xml:space="preserve"> </w:t>
      </w:r>
      <w:r>
        <w:rPr>
          <w:bCs/>
          <w:b/>
        </w:rPr>
        <w:t xml:space="preserve">De memoria, sin verificar en esta sesión</w:t>
      </w:r>
      <w:r>
        <w:t xml:space="preserve">: múltiplos de Wise, Flywire, Payoneer, Euronet y Western Union; tamaño del mercado de remesas del Banco Mundial; mercado alcanzable (estimación propia).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2026-10-14T18:29:19Z</dcterms:created>
  <dcterms:modified xsi:type="dcterms:W3CDTF">2026-10-14T18:29:19Z</dcterms:modified>
</cp:coreProperties>
</file>

<file path=docProps/custom.xml><?xml version="1.0" encoding="utf-8"?>
<Properties xmlns="http://schemas.openxmlformats.org/officeDocument/2006/custom-properties" xmlns:vt="http://schemas.openxmlformats.org/officeDocument/2006/docPropsVTypes"/>
</file>