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Lennox International Inc.</w:t>
      </w:r>
    </w:p>
    <w:p>
      <w:pPr>
        <w:spacing w:after="60"/>
        <w:rPr>
          <w:color w:val="52514E"/>
          <w:sz w:val="22"/>
          <w:szCs w:val="22"/>
        </w:rPr>
      </w:pPr>
      <w:r>
        <w:rPr>
          <w:color w:val="52514E"/>
          <w:sz w:val="22"/>
          <w:szCs w:val="22"/>
        </w:rPr>
        <w:t xml:space="preserve">LII · Bolsa de Nueva York (NYSE) · ISIN US5261071071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332,64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409,56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+24,7 % (base +20,8 %)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345,33 USD · mercado 406,04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11.413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Lennox International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LII / US5261071071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 y refrigeración)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Richardson (Texas) · 1895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https://www.lennox.com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332,64 (28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325,70 – 587,27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11.413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215 M USD/día (3 meses; 0,56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409,56 USD</w:t>
      </w:r>
      <w:r>
        <w:t xml:space="preserve"> frente a 332,64 · Rentabilidad a 12 meses </w:t>
      </w:r>
      <w:r>
        <w:rPr>
          <w:b/>
          <w:bCs/>
        </w:rPr>
        <w:t xml:space="preserve">+24,7 % (base +20,8 %)</w:t>
      </w:r>
      <w:r>
        <w:t xml:space="preserve"> · Valor intrínseco 345,33 USD · con la prima implícita del mercado: 406,04 (+22,1 %) · Alcista / bajista +6,3 % / -32,5 %</w:t>
      </w:r>
    </w:p>
    <w:p>
      <w:pPr>
        <w:spacing w:after="100"/>
      </w:pPr>
      <w:r>
        <w:rPr>
          <w:b/>
        </w:rPr>
        <w:t xml:space="preserve">La recomendación y por qué.</w:t>
      </w:r>
      <w:r>
        <w:t xml:space="preserve"> Comprar, con convicción baja. El objetivo a 12 meses da un +24,7 % ponderado y un +20,8 % en el caso base sobre el cierre del 28-oct (332,64 USD), con el valor intrínseco (345,33 USD) algo por encima del precio. No es una compra robusta: con la historia del PER al cierre (v2) la rentabilidad baja al +13,1 % y con un BPA un 10 % peor al +12,4 %, las dos en Mantener. La calidad es completa (ROIC del 40,4 % frente a un WACC del 10,1 %; crecimiento sostenible). La convicción es baja porque las dos reglas del valor intrínseco discrepan: con nuestro WACC sale Mantener y con la prima del mercado, Comprar.</w:t>
      </w:r>
    </w:p>
    <w:p>
      <w:pPr>
        <w:spacing w:after="100"/>
      </w:pPr>
      <w:r>
        <w:rPr>
          <w:b/>
        </w:rPr>
        <w:t xml:space="preserve">Qué ha pasado.</w:t>
      </w:r>
      <w:r>
        <w:t xml:space="preserve"> El 28-oct publicó el 3T26: ventas de 1.572 M USD (+10 %, +4 % orgánico) y BPA ajustado de 6,84 USD frente a 7,33 esperado. El residencial creció un 3 % (volumen orgánico −3 %, con los envíos del sector al alza: pierde cuota) y su margen cayó 4,9 puntos, al 18,7 %, por bajadas de precio para recuperarla, inflación y aranceles [B]; el comercial creció un 24 % con un margen del 26,2 % [A]. Recortó por tercera vez la guía de BPA ajustado de 2026, a 21,00-21,50 USD (23,50-25,00 en enero), y la de flujo libre, a 700-750 M [A, C]. La acción cayó un 10,6 % ese día y un 43 % desde el máximo de julio [D].</w:t>
      </w:r>
    </w:p>
    <w:p>
      <w:pPr>
        <w:spacing w:after="100"/>
      </w:pPr>
      <w:r>
        <w:rPr>
          <w:b/>
        </w:rPr>
        <w:t xml:space="preserve">El negocio.</w:t>
      </w:r>
      <w:r>
        <w:t xml:space="preserve"> Climatización y refrigeración en Norteamérica, con ventas de 5.448 M USD en los últimos 12 meses, margen EBITDA del 21 % y ROIC del 40 % [A]. Vende con red propia de tiendas al instalador y reparte la caja en recompras y dividendo, con deuda neta de 1,4 veces el EBITDA [A].</w:t>
      </w:r>
    </w:p>
    <w:p>
      <w:pPr>
        <w:spacing w:after="100"/>
      </w:pPr>
      <w:r>
        <w:rPr>
          <w:b/>
        </w:rPr>
        <w:t xml:space="preserve">Valoración.</w:t>
      </w:r>
      <w:r>
        <w:t xml:space="preserve"> DCF de 310,06 USD (WACC del 10,12 %); escenarios de 224,52 a 353,45 USD. Cotiza a 14,5 veces el BPA de 2027e, el PER más bajo desde 2022 y muy por debajo de su mediana adelantada de 5 años (22,9) y de los comparables (22,5) [D]. Nuestro BPA de 2027e es un 11 % menor que el consenso, que aún no recoge la guía nueva.</w:t>
      </w:r>
    </w:p>
    <w:p>
      <w:pPr>
        <w:spacing w:after="100"/>
      </w:pPr>
      <w:r>
        <w:rPr>
          <w:b/>
        </w:rPr>
        <w:t xml:space="preserve">Qué cambiaría la decisión.</w:t>
      </w:r>
      <w:r>
        <w:t xml:space="preserve"> La compra robusta (las dos versiones y un BPA un 10 % peor) pide un precio por debajo de 323,62 USD. Para quien la tiene, venta por encima de 377,17 USD (filtro de mantener); la banda Vender de la regla empieza en 460,98. La señal de alarma: el margen residencial sin mejorar en el 4T26 y una guía de 2027 por debajo de 22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409,56 USD</w:t>
      </w:r>
      <w:r>
        <w:t xml:space="preserve"> (rentabilidad +24,7 % (base +20,8 %)) · Valor intrínseco: 345,33 USD (+3,8 % sobre 332,64) · con la prima implícita del mercado: 406,04 (+22,1 %)</w:t>
      </w:r>
    </w:p>
    <w:p>
      <w:pPr>
        <w:spacing w:after="100"/>
      </w:pPr>
      <w:r>
        <w:t xml:space="preserve">Lennox es la climatizadora más rentable de Norteamérica, en mínimos de valoración tras recortar tres veces la guía de 2026 por una guerra de precios en residencial que ella misma ha empezado para recuperar cuota. Si el margen se estabiliza, el precio de hoy paga 14,5 veces un beneficio que ya está en la parte baja del ciclo.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20,71 = 265,09 · 16,0x × 24,79 = 396,64 · 21,5x × 26,97 = 579,86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 /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438,07 (nuestro base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 -32,5 %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frente a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345,33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345,33 y 460,98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460,98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323,62 USD sería compra robusta (aguanta la v2 y un BPA un 10 % peor); hasta 340,08 USD es compra de nivel B1 (calidad completa, números aflojados).</w:t>
      </w:r>
    </w:p>
    <w:p>
      <w:pPr>
        <w:pStyle w:val="ListParagraph"/>
        <w:numPr>
          <w:ilvl w:val="0"/>
          <w:numId w:val="2"/>
        </w:numPr>
        <w:spacing w:after="60"/>
      </w:pPr>
      <w:r>
        <w:t xml:space="preserve">Por encima de 345,33 USD el valor intrínseco queda por debajo del precio y pasa a Mantener; para quien la tiene, venta por encima de 377,17 USD (filtro de mantener). La banda Vender de la regla (ponderada ≤ −10 %) empieza en 460,98.</w:t>
      </w:r>
    </w:p>
    <w:p>
      <w:pPr>
        <w:pStyle w:val="ListParagraph"/>
        <w:numPr>
          <w:ilvl w:val="0"/>
          <w:numId w:val="2"/>
        </w:numPr>
        <w:spacing w:after="60"/>
      </w:pPr>
      <w:r>
        <w:t xml:space="preserve">Un margen residencial sin mejorar en el 4T26 y una guía de 2027 por debajo de 22 USD llevarían el caso base hacia 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PER de 14,5 veces, como si el margen perdido en 2026 no volviera; con nuestro WACC, el DCF inverso pide un crecimiento del 5,5 % anual [D].</w:t>
      </w:r>
    </w:p>
    <w:p>
      <w:pPr>
        <w:keepNext/>
        <w:spacing w:after="100"/>
      </w:pPr>
      <w:r>
        <w:rPr>
          <w:b/>
          <w:bCs/>
        </w:rPr>
        <w:t xml:space="preserve">Lo que creemos nosotros.</w:t>
      </w:r>
    </w:p>
    <w:p>
      <w:pPr>
        <w:spacing w:after="100"/>
      </w:pPr>
      <w:r>
        <w:t xml:space="preserve">BPA de 2028e de 24,79 USD, un 7 % por encima del de 2025, con recuperación parcial del margen residencial y el comercial creciendo.</w:t>
      </w:r>
    </w:p>
    <w:p>
      <w:pPr>
        <w:keepNext/>
        <w:spacing w:after="100"/>
      </w:pPr>
      <w:r>
        <w:rPr>
          <w:b/>
          <w:bCs/>
        </w:rPr>
        <w:t xml:space="preserve">Por qué podemos tener razón.</w:t>
      </w:r>
    </w:p>
    <w:p>
      <w:pPr>
        <w:spacing w:after="100"/>
      </w:pPr>
      <w:r>
        <w:t xml:space="preserve">El problema es de cuota y de precio, no de mercado: los envíos de la AHRI suben un 6,2 % en el año y el residencial de Watsco un 7 %, mientras el volumen orgánico residencial de Lennox cae un 3 % [B]. Si las bajadas de precio recuperan la cuota en 2027, el margen se estabiliza sobre una base de volumen mayor; si no, gana el bajista.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32,6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40 %</w:t>
      </w:r>
      <w:r>
        <w:t xml:space="preserve">, el más alto del sector [A].</w:t>
      </w:r>
    </w:p>
    <w:p>
      <w:pPr>
        <w:pStyle w:val="ListParagraph"/>
        <w:numPr>
          <w:ilvl w:val="0"/>
          <w:numId w:val="2"/>
        </w:numPr>
        <w:spacing w:after="60"/>
      </w:pPr>
      <w:r>
        <w:rPr>
          <w:b/>
        </w:rPr>
        <w:t xml:space="preserve">PER de 14,5 veces</w:t>
      </w:r>
      <w:r>
        <w:t xml:space="preserve">, muy por debajo de su historia (22,9) y de los rivales (22,5) [D].</w:t>
      </w:r>
    </w:p>
    <w:p>
      <w:pPr>
        <w:pStyle w:val="ListParagraph"/>
        <w:numPr>
          <w:ilvl w:val="0"/>
          <w:numId w:val="2"/>
        </w:numPr>
        <w:spacing w:after="60"/>
      </w:pPr>
      <w:r>
        <w:rPr>
          <w:b/>
        </w:rPr>
        <w:t xml:space="preserve">Comercial creciendo al 24 %</w:t>
      </w:r>
      <w:r>
        <w:t xml:space="preserve"> con un margen del 26,2 % [A].</w:t>
      </w:r>
    </w:p>
    <w:p>
      <w:pPr>
        <w:pStyle w:val="ListParagraph"/>
        <w:numPr>
          <w:ilvl w:val="0"/>
          <w:numId w:val="2"/>
        </w:numPr>
        <w:spacing w:after="60"/>
      </w:pPr>
      <w:r>
        <w:rPr>
          <w:b/>
        </w:rPr>
        <w:t xml:space="preserve">Deuda baja</w:t>
      </w:r>
      <w:r>
        <w:t xml:space="preserve">: 1,4 veces el EBITDA [A].</w:t>
      </w:r>
    </w:p>
    <w:p>
      <w:pPr>
        <w:pStyle w:val="Heading2"/>
      </w:pPr>
      <w:r>
        <w:t xml:space="preserve">En contra</w:t>
      </w:r>
    </w:p>
    <w:p>
      <w:pPr>
        <w:pStyle w:val="ListParagraph"/>
        <w:numPr>
          <w:ilvl w:val="0"/>
          <w:numId w:val="2"/>
        </w:numPr>
        <w:spacing w:after="60"/>
      </w:pPr>
      <w:r>
        <w:rPr>
          <w:b/>
        </w:rPr>
        <w:t xml:space="preserve">Tres recortes de guía en 2026</w:t>
      </w:r>
      <w:r>
        <w:t xml:space="preserve">: la credibilidad baja [C].</w:t>
      </w:r>
    </w:p>
    <w:p>
      <w:pPr>
        <w:pStyle w:val="ListParagraph"/>
        <w:numPr>
          <w:ilvl w:val="0"/>
          <w:numId w:val="2"/>
        </w:numPr>
        <w:spacing w:after="60"/>
      </w:pPr>
      <w:r>
        <w:rPr>
          <w:b/>
        </w:rPr>
        <w:t xml:space="preserve">Margen residencial −4,9 puntos</w:t>
      </w:r>
      <w:r>
        <w:t xml:space="preserve"> por precio: puede no volver [A].</w:t>
      </w:r>
    </w:p>
    <w:p>
      <w:pPr>
        <w:pStyle w:val="ListParagraph"/>
        <w:numPr>
          <w:ilvl w:val="0"/>
          <w:numId w:val="2"/>
        </w:numPr>
        <w:spacing w:after="60"/>
      </w:pPr>
      <w:r>
        <w:rPr>
          <w:b/>
        </w:rPr>
        <w:t xml:space="preserve">Demanda antimonopolio</w:t>
      </w:r>
      <w:r>
        <w:t xml:space="preserve"> sin estimación de pérdida [C].</w:t>
      </w:r>
    </w:p>
    <w:p>
      <w:pPr>
        <w:pStyle w:val="ListParagraph"/>
        <w:numPr>
          <w:ilvl w:val="0"/>
          <w:numId w:val="2"/>
        </w:numPr>
        <w:spacing w:after="60"/>
      </w:pPr>
      <w:r>
        <w:rPr>
          <w:b/>
        </w:rPr>
        <w:t xml:space="preserve">Pierde cuota en residencial</w:t>
      </w:r>
      <w:r>
        <w:t xml:space="preserve"> con el mercado al alza (AHRI +6,2 % en el año; volumen orgánico de Lennox −3 %) [B].</w:t>
      </w:r>
    </w:p>
    <w:p>
      <w:pPr>
        <w:pStyle w:val="ListParagraph"/>
        <w:numPr>
          <w:ilvl w:val="0"/>
          <w:numId w:val="2"/>
        </w:numPr>
        <w:spacing w:after="60"/>
      </w:pPr>
      <w:r>
        <w:rPr>
          <w:b/>
        </w:rPr>
        <w:t xml:space="preserve">Tendencia bajista</w:t>
      </w:r>
      <w:r>
        <w:t xml:space="preserve"> y consenso aún por revisar a la baja [D].</w:t>
      </w:r>
    </w:p>
    <w:p>
      <w:pPr>
        <w:pStyle w:val="Heading2"/>
      </w:pPr>
      <w:r>
        <w:t xml:space="preserve">Qué tiene que pasar para que la tesis funcione</w:t>
      </w:r>
    </w:p>
    <w:p>
      <w:pPr>
        <w:spacing w:after="100"/>
      </w:pPr>
      <w:r>
        <w:t xml:space="preserve">El margen residencial (18,7 % en el 3T26), los envíos de la AHRI, la revisión del consenso y la guía de 2027 (finales de enero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residencial (HCS)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guerra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comercial (BCS)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 el residencial.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de 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21,00-21,50 USD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 USD para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objetivo a 12 meses.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15,4x / 13,1x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Dave Lennox fundó la empresa en 1895 en Marshalltown (Iowa) con una caldera de carbón de acero remachado que patentó [1]. Durante el siglo XX creció como fabricante de calefacción y aire acondicionado residencial con venta directa al instalador, el canal que aún hoy explica el 76 % de las ventas residenciales [1]. Salió a bolsa en Nueva York en 1999. La etapa actual empieza con la llegada de Alok Maskara como consejero delegado en mayo de 2022 [1]: venta de Europa en el 4T23, reorganización en dos segmentos (Home Comfort Solutions y Building Climate Solutions), compras de piezas y recambios (AES en 2023, Duro Dyne y Supco en 2025 por 545 M USD) y de Heat Controller en 2026 (215 M USD) para llegar al distribuidor pequeño [1, 4]. El cambio de refrigerante de 2025 y la pérdida de cuota en obra nueva residencial marcan 2025-2026 [3,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Lennox funda la empresa en Marshalltown (Iowa) y patenta una caldera de carbón de acero remachado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Nueva York (LII).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Alok Maskara, procedente de Luxfer, llega como consejero delegado (mayo) y lanza un plan de transformación en tres fases: crecimiento diferenciado, márgenes resistentes y gestión de la ejecución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AES (servicio y recambios para comercio ligero, octubre) y venta de las operaciones europeas (4T); desde entonces todas las ventas están en EE. UU. y Canadá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segmentación en Home Comfort Solutions y Building Climate Solutions; récord de envíos del sector (9,68 millones de equipos centrales de aire acondicionado y bomba de calor en EE. UU.) antes del cambio de refrigerante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el límite de 700 de potencial de calentamiento para los equipos residenciales nuevos (R-454B): los envíos del sector caen un 20,0 % y Lennox vende un 13 % menos de volumen con un 9 % más de precio y mezcla [1, 17,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Duro Dyne y Supco (piezas y consumibles) por 545 M USD en octubre; empresas conjuntas al 49,9 % con Samsung (equipos sin conductos) y Ariston (calentadores de agua)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Heat Controller (13-jul, 215 M USD) para servir a distribuidores pequeños; recortes de guía en julio y el 28-oct (BPA ajustado de 21,00-21,50 USD frente a 23-24) por la pérdida de cuota en obra nueva residencial, las rebajas de precio para defenderla y los aranceles [3, 4, 32].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Lennox diseña, fabrica y distribuye equipos de calefacción, aire acondicionado y refrigeración para EE. UU. (92,8 % de las ventas de 2025) y Canadá (7,2 %) [1]. </w:t>
      </w:r>
      <w:r>
        <w:rPr>
          <w:b/>
        </w:rPr>
        <w:t xml:space="preserve">Home Comfort Solutions</w:t>
      </w:r>
      <w:r>
        <w:t xml:space="preserve"> (3.343 M USD, 64 % en 2025) vende calderas de aire, aires acondicionados, bombas de calor, equipos compactos, calidad del aire, termostatos y recambios para reposición y obra nueva residencial; el 76 % se vende directamente a instaladores independientes y a través de las tiendas Lennox, y el resto a distribuidores con las marcas Allied, Armstrong Air, Ducane, AirEase, ADP y, desde 2026, Heat Controller [1, 4]. </w:t>
      </w:r>
      <w:r>
        <w:rPr>
          <w:b/>
        </w:rPr>
        <w:t xml:space="preserve">Building Climate Solutions</w:t>
      </w:r>
      <w:r>
        <w:t xml:space="preserve"> (1.852 M USD, 36 %) fabrica equipos de cubierta de 2 a 30 toneladas para comercio ligero (tiendas, restaurantes, escuelas), presta servicio a cuentas nacionales (NAS, AES), vende refrigeración comercial Heatcraft (también para refrigeración de procesos y centros de datos) y piezas Duro Dyne [1]. Fabrica en EE. UU. y México y emplea a unas 12.900 personas [1].</w:t>
      </w:r>
    </w:p>
    <w:p>
      <w:pPr>
        <w:pStyle w:val="Heading2"/>
      </w:pPr>
      <w:r>
        <w:t xml:space="preserve">Cómo gana dinero</w:t>
      </w:r>
    </w:p>
    <w:p>
      <w:pPr>
        <w:spacing w:after="100"/>
      </w:pPr>
      <w:r>
        <w:t xml:space="preserve">Gana dinero sobre todo con la reposición: un equipo que se estropea en verano o en invierno se cambia sin esperar, y la mayor parte de las ventas de cada segmento es reposición [1]. El margen depende de tres palancas: el precio (en 2025 el precio y la mezcla sumaron un 9 % a las ventas con un 13 % menos de volumen, gracias al cambio de refrigerante), el coste de compresores, motores, acero, aluminio y cobre (con coberturas en futuros y, desde 2025, aranceles) y la absorción de las fábricas, muy sensible al volumen [1, 4]. La venta directa al instalador añade el margen del mayorista y arrastra recambios de alto margen en las tiendas Lennox [1]. La estacionalidad es fuerte: el sector envía el doble de equipos en junio que en diciembre, y el 2T y 3T concentran el beneficio y el 3T y 4T la caja [1]. El apalancamiento operativo funciona en los dos sentidos: en el 3T26 un 3 % menos de volumen orgánico y 32 M USD de inflación de costes y aranceles bajaron el margen residencial del 23,6 % al 18,7 %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Home Comfort Solutions (residencial)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Building Climate Solutions (comercial y refrigeración)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Europa (vendida en el 4T23)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Home Comfort Solutions (residencial)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Building Climate Solutions (comercial y refrigeración)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Europa (vendida en el 4T23)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llega al 10 % de las ventas en 2023-2025 [1]. En residencial el 76 % de las ventas de 2025 fue venta directa a instaladores independientes y a través de las tiendas Lennox (74 % en 2024, 75 % en 2023); el resto, a distribuidores independientes [1]. En comercial pesan las cuentas nacionales (cadenas de tiendas y restaurantes) con contratos de servicio y reposición planificada [1]. El poder de precios se vio en 2025: precio y mezcla aportaron 356 M USD al resultado de segmentos frente a 80 M de inflación de costes [9]. En 2026 se ha debilitado: en el 3T26 la dirección bajó precios en algunos segmentos residenciales «para defender y recuperar cuota» y el precio y la mezcla solo aportaron 13 M en residencial frente a 32 M de inflación de costes y aranceles [3]. En el 2T26 la dirección dijo que el mercado de obra nueva residencial «sigue siendo extremadamente competitivo» y que abandonó cuentas con márgenes «no aceptables»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Home Comfort Solutions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912,9 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937,2 M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precio y mezcla +2 %, compras +4 %; en nueve meses −5 % con volumen −12 %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Building Climate Solutions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 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 M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+15 % (volumen +13 %, precio +2 %), compras +9 %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 de Home Comfort Solutions (9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18,7 % (−4,9 puntos); los nueve meses incluyen 25 M USD de devolución de aranceles IEEPA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 de Building Climate Solutions (9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26,2 % (−1,1 puntos frente al récord del 3T25)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total de segmentos tras gastos centrales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 M USD de inflación de producto, aranceles y menor absorción; 15 M de combustible y gastos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 (9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M USD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M USD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 reducción de inventario; la guía anual baja a 700-750 M USD (antes 750-850 M)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en residencial (% de HCS)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a distribuidores independientes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de acciones (9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M USD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M USD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M en el 3T26; quedan 707,7 M del programa a 30-sep-2026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climatización residencial y comercial ligera de EE. UU. y Canadá: calderas de aire, aires acondicionados centrales, bombas de calor, equipos de cubierta, recambios y servicio, más la refrigeración comercial de Heatcraft. El dato más fiable es el volumen: los envíos de AHRI de aire acondicionado central y bomba de calor a EE. UU., de sus socios (más del 90 % del sector), que son la serie de abajo en miles de unidades [17, 18, 19]; falta 2022 porque su informe anual no se pudo descargar. En valor no hay estadística oficial: usamos MarketsandMarkets (sistemas de climatización de Norteamérica, 42.200 M USD en 2025), cuyo perímetro es más amplio que el de Lennox porque incluye enfriadoras, torres y calderas de agua [20], y lo contrastamos con ResearchAndMarkets (equipos en EE. UU., 22.440 M USD en 2024, sin servicio ni recambios) [21] y Ken Research (residencial de EE. UU., ≈15.000 M USD en 2024) [22]. El crecimiento histórico es en unidades y el previsto, en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≈42.200 M USD en 2025 (sistemas de climatización de Norteamérica) y 57.600 M USD en 2030, +6,4 % anual [20]; equipos en EE. UU., 22.440 M USD en 2024 y 41.220 M USD en 2033, +7,0 % anual [21]; residencial de EE. UU. ≈15.000 M USD en 2024 [22]. En volumen: 7,75 millones de equipos centrales de aire acondicionado y bomba de calor enviados en EE. UU. en 2025 (−20,0 %) y 6,39 millones hasta agosto de 2026 (+6,2 %) [17,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unidades (envíos de aire acondicionado central y bomba de calor a EE. UU., AHRI; sin 2022))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 la base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parte de las ventas de cada segmento de Lennox es reposición [1]; el sector envía entre 7,7 y 10,2 millones de equipos al año en 2019-2025 sin caer por debajo de 7,7 ni en 2025 [17, 19]. La dirección planifica 2027 con «demanda de reposición resistente»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residencial y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Viviendas iniciadas en septiembre de 2026: 1,221 millones en tasa anual (−7,4 % interanual), unifamiliares 859.000 (−4,6 % frente a agosto) [31]. Lennox habla de asequibilidad, hipotecas caras y confianza baja, y es en obra nueva donde ha perdido cuota [32,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refrigerante (R-410A a R-454B) y normas de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1-ene-2025 los equipos residenciales nuevos deben usar refrigerantes de potencial de calentamiento ≤ 700 [29]: los envíos cayeron un 20,0 % en 2025 tras el adelanto de compras de 2024 (+11,8 %) [17], y Lennox subió precio y mezcla un 9 % [1]. La revisión de la EPA (26-may-2026) deja instalar sin plazo los equipos con componentes fabricados antes de 2025, lo que alarga la venta de existencias de R-410A [29,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 inflación de costes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232 sobre acero, cobre, aluminio y sus derivados y 301 sobre equipos importados; el Supremo anuló los IEEPA en febrero de 2026 [4]. En el 3T26 la inflación de costes con aranceles y la menor absorción restaron 45 M USD al beneficio de los segmentos [3] y la dirección no pudo aplicar la subida de mitad de año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bombas de calor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bombas de calor pasaron del 42,6 % de los envíos en 2024 al 47,0 % en 2025 y al 45,5 % hasta agosto de 2026 [17, 18]; en agosto de 2026 eran el 44,7 % frente al 31 % de agosto de 2016 [39]. Valen más por unidad que un aire acondicionado y sustituyen a la caldera de gas, que crece menos (−5,0 % hasta agosto)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Centros de datos y climatización comercial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2T26 los pedidos de climatización comercial de Trane en América subieron un 50 % y su cartera llegó a 12.100 M USD (+70 %) [25]; los pedidos de centros de datos de Carrier, más del 300 % [24]; la marca BASX de AAON, +216 % en ventas [26]. Lennox crece un 15 % orgánico en comercial, pero la dirección no incluye los centros de datos en su plan de 2027 [3, 32].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grandes fabricantes en residencial (Carrier, Trane, Daikin-Goodman, Paloma-Rheem, Bosch, Madison) más marcas extranjeras que entran con su propio nombre [1, 32]. En 2026 la rivalidad volvió al precio: Lennox recortó precios en el 3T para defender cuota y bajó la realización de precio [32], y Watsco habla de subidas de los fabricantes más tardías y pequeñas que en 2025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instalador es pequeño y está fragmentado (Lennox vende directo el 76 % de su residencial) y el propietario cambia el equipo con urgencia, sin comparar mucho [1]. Pero el distribuidor gana peso: Watsco, el mayor, tiene 804 puntos de venta y 7.239 M USD de ventas en 2025 en un negocio de distribución de 74.000 M USD [23, 35], y en comercial las cuentas nacionales negocian precios con contrato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motores y controles son las compras clave y algunas tienen proveedor único; acero, aluminio y cobre pesan en la materia prima [1]. Lennox tiene una participación minoritaria en un fabricante de compresores y cubre metales con futuros (86,4 millones de libras) [1]. Los aranceles 232 encarecieron la cadena en 2026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escala fabril, certificación, redes de distribución y rediseños costosos con cada norma (eficiencia en 2023, refrigerante en 2025) [1]. La barrera es menor en recambios, distribución y servicio [1] y en equipos sin conductos, donde los fabricantes asiáticos venden con su marca; la dirección cita a «fabricantes extranjeros» como la competencia que más aprieta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equipo de climatización; el cambio es entre tecnologías que Lennox también vende: bomba de calor frente a caldera de gas (47,0 % de los envíos en 2025 [17]) y sin conductos frente a sistema central, donde Lennox entra con la empresa conjunta con Samsung [1].</w:t>
            </w:r>
          </w:p>
        </w:tc>
      </w:tr>
    </w:tbl>
    <w:p>
      <w:pPr>
        <w:spacing w:after="160" w:before="0"/>
      </w:pPr>
    </w:p>
    <w:p>
      <w:pPr>
        <w:pStyle w:val="Heading2"/>
      </w:pPr>
      <w:r>
        <w:t xml:space="preserve">Ciclo</w:t>
      </w:r>
    </w:p>
    <w:p>
      <w:pPr>
        <w:spacing w:after="100"/>
      </w:pPr>
      <w:r>
        <w:t xml:space="preserve">Los envíos de AHRI tocaron fondo en 2025 (−20,0 %, 7,75 millones) tras el adelanto de compras de 2024; en 2026 suman siete meses seguidos de subida y +6,2 % hasta agosto [17, 18, 39]. Watsco ve el residencial estabilizado (unidades +5 % en el 3T26) [23]; Lennox aún no ve una recuperación amplia de la demanda [32]. En 2020 los envíos subieron un 10,1 % y en 2021 un 9,3 % (trabajo en casa) [19]; en 2022-2023 la normalización llevó de 10,2 a 8,7 millones [17, 19]. No tenemos la serie de 2008-09 en fuente primaria.</w:t>
      </w:r>
    </w:p>
    <w:p>
      <w:pPr>
        <w:pStyle w:val="Heading2"/>
      </w:pPr>
      <w:r>
        <w:t xml:space="preserve">Regulación</w:t>
      </w:r>
    </w:p>
    <w:p>
      <w:pPr>
        <w:spacing w:after="100"/>
      </w:pPr>
      <w:r>
        <w:t xml:space="preserve">La ley AIM de 2020 reduce la producción de HFC al 60 % de la base desde 2024 y al 30 % en 2029 [30]. La norma de transición tecnológica obliga desde el 1-ene-2025 a usar refrigerantes de potencial ≤ 700 en los equipos residenciales y comerciales ligeros nuevos; la revisión de la EPA del 26-may-2026 suprimió el plazo de instalación de los equipos con componentes anteriores a 2025 y retrasó a 2027-2032 parte de la refrigeración comercial [29, 30]. El Departamento de Energía revisa la eficiencia mínima (última subida en 2023) [1]. Aranceles: el Supremo anuló los IEEPA (feb-2026); siguen los 232 sobre metales y derivados (cambios en abril y junio) y los 301, ahora del 10-12,5 % para 60 países salvo bienes del T-MEC, que se revisa en 2026 [4].</w:t>
      </w:r>
    </w:p>
    <w:p>
      <w:pPr>
        <w:pStyle w:val="Heading2"/>
      </w:pPr>
      <w:r>
        <w:t xml:space="preserve">Tendencias y disrupción</w:t>
      </w:r>
    </w:p>
    <w:p>
      <w:pPr>
        <w:spacing w:after="100"/>
      </w:pPr>
      <w:r>
        <w:t xml:space="preserve">Tres tendencias. Primera, la electrificación: la bomba de calor ya es casi la mitad de los envíos [17]; Lennox la tiene en catálogo y la cita como prioridad de inversión [1]. Segunda, la entrada de fabricantes asiáticos con marca propia en residencial y la consolidación de los grandes (Bosch compró el residencial de Johnson Controls e Hitachi por 8.100 M USD en 2025; Carrier compró Viessmann en 2024), que aprietan el precio justo cuando Lennox pierde cuota en obra nueva [32, 34, 40]. Tercera, el crecimiento se ha ido al comercial grande y a los centros de datos (Trane, Carrier, AAON), donde Lennox tiene poca presencia: su comercial es ligero y de reposición [1, 24, 25, 26]. Lennox gana con la primera y pierde con las otras dos.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seis grandes fabricantes de climatización residencial de Norteamérica y uno de los mayores mayoristas residenciales por su venta directa al instalador [1]; ≈12 % del mercado de sistemas de climatización de Norteamérica (estimación propia: 5.195 M USD de ventas de 2025 sobre 42.200 M) [1, 20]. En 2026 pierde cuota en obra nueva residencial y la gana en comercial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residencial en EE. UU. con Carrier, Bryant, Payne, Tempstar y Heil [1, 27]. En el 2T26 su residencial en América creció un 9 % orgánico y los pedidos de centros de datos más del 300 % [24]; compró Viessmann en 2024 [40]. Margen GAAP con amortización de compras.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Trane y American Standard en residencial [1, 28]; su fuerza es el comercial aplicado: en el 2T26 pedidos en América +44 % y cartera récord de 12.100 M USD; habla de «dinámica residencial que mejora»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 (Goodman, Amana)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6367</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mundial; en EE. UU. compite en precio con Goodman y Amana [1]. Ventas de 5,02 billones de JPY en el ejercicio a marzo de 2026 (≈33.400 M USD a 150 JPY/USD, estimación propia) y margen operativo del 8,3 %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su residencial y comercial ligero a Bosch en agosto de 2025 [34]; hoy compite en comercial aplicado, controles y centros de datos. Ejercicio a septiembre de 2025; margen = ventas − coste − gastos generales, antes de reestructuraciones (estimación propia)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 (distribuidor)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distribuidor de Norteamérica (Carrier, Rheem, Daikin y otros): es el canal que compite con la venta directa de Lennox [23, 35]. En el 3T26 su equipo residencial creció un 7 % (unidades +5 %, precio +2 %) mientras Lennox perdía un 3 % de volumen [4,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de cubierta a medida y refrigeración de centros de datos (BASX) [1, 36]. En el 2T26 duplicó ventas (+101 %) con BASX +216 % y cartera de 2.000 M USD; gana cuota en un comercial más flojo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Bosch (York, Luxaire, Coleman)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el residencial y comercial ligero de Johnson Controls e Hitachi por 8.100 M USD (cerrado el 1-ago-2025) [34]; competidor directo en residencial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Paloma (Rheem, Ruud)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 fabricante residencial y de calentadores de agua, no cotiza; también compite en comercial ligero y refrigeración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instaladores y tiendas Lennox crea una base instalada que arrastra recambios y servicio [1], pero no hay efecto de red en sentido estricto: el instalador puede cambiar de marca.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instalador que vende Lennox recibe formación, crédito y existencias de la empresa (76 % de venta directa) [1]; el propietario no tiene coste de cambio. En 2026 Lennox tuvo que bajar precios para no perder instaladores [20].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gama alta (Dave Lennox Signature) con 130 años; ninguna patente es material según la propia empresa [1]. La marca no impidió perder cuota en obra nueva en 2026 [20].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20,0 % en 2025 frente al 18,6 % de Trane, el 10,0 % de Carrier y el 8,3 % de Daikin [1, 15, 16, 26]: viene de la venta directa (se queda el margen del mayorista), fábricas en México y pocas compras con fondo de comercio. En el 3T26 el margen residencial bajó al 18,7 %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fabricantes con red nacional se reparten el residencial [1] y la red propia de distribución no se replica rápido; pero los distribuidores independientes (Watsco, 804 puntos) dan acceso al mercado a cualquier marca [11].</w:t>
            </w:r>
          </w:p>
        </w:tc>
      </w:tr>
    </w:tbl>
    <w:p>
      <w:pPr>
        <w:spacing w:after="160" w:before="0"/>
      </w:pPr>
    </w:p>
    <w:p>
      <w:pPr>
        <w:pStyle w:val="Heading2"/>
      </w:pPr>
      <w:r>
        <w:t xml:space="preserve">Amenazas</w:t>
      </w:r>
    </w:p>
    <w:p>
      <w:pPr>
        <w:spacing w:after="100"/>
      </w:pPr>
      <w:r>
        <w:t xml:space="preserve">La amenaza principal es la pérdida de cuota residencial: en el 3T26 el volumen orgánico de Lennox cayó un 3 % mientras el sector subía (envíos +11,4 % en agosto; Watsco +5 % en unidades) [3, 18, 23], y la dirección admite que defenderla ha costado precio [32]. Probabilidad alta de que el margen residencial no vuelva al 22-23 % de 2024-2025 en 2027. Segunda, fabricantes asiáticos con marca propia y existencias de R-410A que se pueden instalar sin plazo [29, 32]. Tercera, la consolidación: Bosch con York y Carrier con más escala compran cuota con precio [34, 40]. A favor, el comercial ligero sigue ganando cuota [32].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4,0 %</w:t>
      </w:r>
      <w:r>
        <w:t xml:space="preserve">, EBITDA </w:t>
      </w:r>
      <w:r>
        <w:rPr>
          <w:b/>
          <w:bCs/>
        </w:rPr>
        <w:t xml:space="preserve">9,8 %</w:t>
      </w:r>
      <w:r>
        <w:t xml:space="preserve">, BPA </w:t>
      </w:r>
      <w:r>
        <w:rPr>
          <w:b/>
          <w:bCs/>
        </w:rPr>
        <w:t xml:space="preserve">15,3 %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3.642 M USD en 2016 a 5.195 M en 2025 (TCAC del 4,0 %), casi todo orgánico: las compras hasta 2025 suman menos de 650 M USD y en 2023 se vendió Europa [1, 11]. El salto de márgenes vino en 2023-2024 con el cambio de normativa de eficiencia (SEER2) y de refrigerante: el margen EBIT pasó del 13,9 % de 2022 al 19,5 % de 2024 y el resultado de segmentos superó el 20 % de las ventas por primera vez en 2025 (20,4 %), con 356 M USD de precio y mezcla frente a 255 M de menor volumen [9]. 2025 bajó un 3 % en ventas por el desestocaje de los distribuidores tras el cambio al refrigerante R-454B. En los últimos doce meses a septiembre de 2026 las ventas suben a 5.448 M (+5 %), pero solo por compras y por comercial: el BPA publicado cae de 22,79 a 21,56 USD y el margen EBIT del 20,0 % al 18,8 %, porque residencial pierde volumen (−12 % en nueve meses) y en el 3T26 bajó precios para defender cuota [3, 4]. Los nueve meses de 2026 incluyen 30 M USD de devolución de aranceles IEEPA en el 2T26, que no se repetirá [6].</w:t>
      </w:r>
    </w:p>
    <w:p>
      <w:pPr>
        <w:pStyle w:val="Heading2"/>
      </w:pPr>
      <w:r>
        <w:t xml:space="preserve">Ajustes y partidas no recurrentes</w:t>
      </w:r>
    </w:p>
    <w:p>
      <w:pPr>
        <w:spacing w:after="100"/>
      </w:pPr>
      <w:r>
        <w:t xml:space="preserve">Lennox publica un BPA ajustado que excluye reestructuración, plusvalías y minusvalías de ventas anteriores, costes de compras y litigios especiales. Conciliación: 2025, BPA publicado 22,79 USD y ajustado 23,16 (reestructuración 0,14, costes de las compras de Duro Dyne y Supco 0,25, plusvalía −0,02); 2024, 22,66 y 22,70; 3T26, 6,41 y 6,84 (reestructuración 0,19, costes de compra 0,25, litigios 0,08, plusvalía −0,09); nueve meses de 2026, 17,47 y 17,89; últimos doce meses, 21,56 y 22,35 [3, 9]. En el EBIT los no recurrentes suman 52,2 M en 2023 (deterioro de 63,2 M por la venta de Europa menos 14,1 M de plusvalía, más 3,1 M de reestructuración), 16,2 M en 2025 y 27,4 M en los últimos doce meses; 2019 lleva un ingreso de 79,6 M de seguros por el tornado de Marshalltown y 2016 una liquidación de pensiones de 31,4 M [1, 11, 12, 13, 14]. No se cuentan como no recurrentes los gastos medioambientales y de litigios ordinarios (5-15 M al año), que se repiten. El cambio de LIFO a FIFO del 4T25 reexpresa 2023 y 2024 (beneficio +1,1 M y +4,2 M) y sube el de 2025 en 15,7 M (0,47 USD por acción); 2016-2022 siguen en LIFO, con existencias unos 140 M más bajas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3T26 (28-oct-2026, antes de la apertura).</w:t>
      </w:r>
      <w:r>
        <w:t xml:space="preserve"> BPA ajustado de 6,84 USD frente a 7,34 de consenso (MarketBeat, 23-oct) y ventas de 1.573 M, en línea con los 1.570 M esperados [3, 16]. La sorpresa es el margen: residencial pierde 4,9 puntos (18,7 %) por bajadas de precio selectivas «para defender y recuperar cuota», inflación y aranceles; el consejero delegado habla de «presión competitiva intensa» y de rehacer procesos para trasladar costes [3]. La guía de BPA ajustado 2026 baja a 21,00-21,50 USD (antes 23,00-24,00), la de flujo libre a 700-750 M (antes 750-850 M) y la de ventas a +6 % (antes +8 %), con un 5 % de compras [3, 5]. Implica un 4T26 de 3,11-3,61 USD de BPA ajustado frente a 4,45 en el 4T25 (estimación propia: guía menos 17,89 USD de nueve meses). </w:t>
      </w:r>
      <w:r>
        <w:rPr>
          <w:b/>
        </w:rPr>
        <w:t xml:space="preserve">2T26 (29-jul).</w:t>
      </w:r>
      <w:r>
        <w:t xml:space="preserve"> La dirección ya había recortado la guía (de 23,50-25,00 a 23,00-24,00), dio por normalizado el inventario de los distribuidores («no more destocking»), dijo que la confianza del canal tras la escasez de botellas de refrigerante A2L «ha vuelto por completo» y retrasó a 2027 la recuperación residencial [15]. Los analistas preguntaron sobre todo por las cuentas de obra nueva abandonadas, que la dirección no quiso cuantificar, y por el margen residencial del segundo semestre, sin respuesta trimestral [15]. La guía de enero (23,50-25,00 USD) se mantuvo en el 1T26 [7, 9]. Los crecimientos orgánicos del 1T26 y del 2T26 son estimación propia con el puente de ventas por segmento de los 10-Q [6, 8]; el 3T25 se publicó con 6,98 USD de BPA y pasa a 7,38 tras la reexpresión [1, 10]. No hemos podido leer la transcripción de la conferencia del 3T26.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Duro Dyne y Supco (553,6 M USD tras el ajuste final), consolidadas desde octubre de 2025: entran enteras en el balance y solo un trimestre en la cuenta.; 2023: Venta del negocio europeo en el 4T23 (247,6 M USD de ventas en 2023, deterioro de 63,2 M) y compra de AES (93,2 M USD) en octubre de 2023.).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sube de 1.148 M USD a cierre de 2024 a 1.388 M a cierre de 2025 y 1.621 M a 30-sep-2026, y la caja cae de 415 M a 43 M: las compras de Duro Dyne, Supco (546 M) y Heat Controller (215 M) y 784 M de recompras desde 2025 se han pagado con caja y papel comercial [1, 4]. El patrimonio fue negativo de 2018 a 2022 por las recompras; ahora es de 1.317 M. El inventario es el punto débil: 1.153 M a cierre de 2025 (853 M en 2024) por el cambio de refrigerante y el producto de emergencia, y 1.177 M a 30-sep-2026, un 19 % más que hace un año con compras incluidas [1, 4]. La deuda es corta (vida media de algo más de un año, estimación propia): 300 M de bonos al 1,70 % vencen en agosto de 2027 y el préstamo de 300 M en octubre de 2027, y se refinanciarán más caros (el papel comercial ya paga un 4,22 %). El gasto financiero de nueve meses casi se duplica (47,4 M frente a 25,0 M) [3,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4.160</w:t>
      </w:r>
      <w:r>
        <w:t xml:space="preserve">, conversión </w:t>
      </w:r>
      <w:r>
        <w:rPr>
          <w:b/>
          <w:bCs/>
        </w:rPr>
        <w:t xml:space="preserve">85 %</w:t>
      </w:r>
      <w:r>
        <w:t xml:space="preserve"> del beneficio neto; adquisiciones 638, dividendos 1.226, recompras 2.936.</w:t>
      </w:r>
    </w:p>
    <w:p>
      <w:pPr>
        <w:spacing w:after="100"/>
      </w:pPr>
      <w:r>
        <w:t xml:space="preserve">La conversión en caja es buena pero irregular por el inventario: el flujo libre (operativo menos inversión, definición de la empresa) fue de 785 M USD en 2024 (97 % del beneficio) y de 640 M en 2025 (79 %), cuando el inventario subió 228 M por el cambio de refrigerante [9]. En los nueve meses de 2026 el flujo libre es de 461 M frente a 263 M, porque el inventario bajó 26 M frente a una subida de 310 M un año antes, pero los clientes absorben 289 M (cobros más lentos y compras) [3]. La guía de 700-750 M para 2026 supone 239-289 M en el 4T26 frente a 377 M en el 4T25 (estimación propia). La inversión fue excepcional en 2023 (250 M, fábrica de Saltillo, México) y se queda en 119-164 M en 2024-2025; la guía de enero preveía 250 M para 2026 y en nueve meses van 124 M [1, 3, 9]. La empresa no separa mantenimiento y crecimiento; con amortizaciones de 112 M en 2025, la inversión de mantenimiento ronda los 100-110 M (estimación propia). Las desinversiones de 2018-2019 son ventas de negocios en Australia, Asia, Sudamérica y KysorWarren, y las de 2023-2024, la venta de Europa (cobro de 23,2 M y pago de 7,7 M de ajustes) [1, 14].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(desde 2025); KPMG LLP auditó hasta 2024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y el control interno a 31-dic-2025; asunto crítico de auditoría: la provisión de garantías de producto (167,2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ampliada: pruebas que pasa</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 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pruebas más (estabilidad del ROIC, caja, devengos, deuda, intereses, margen, dilución, Piotroski, Altman y ventas). Son informativas: en el backtest de 2012-2025 ninguna mejoró la rentabilidad de las compras con la calidad que ya exigimos; en el universo entero, pasar varias reduce algo las caídas fuertes. No cambian la señal ni el nivel.</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P1. ROIC estable: nunca por debajo del WACC en los últimos 5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ROIC mínimo 40,4 % frente a WACC 10,1 %</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P2. Conversión en caja: flujo libre de 3 años ≥ 0,8 × beneficio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P3. Devengos: beneficio − flujo operativo ≤ 5 % del activo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del activo</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P4. Deuda neta / EBITDA ≤ 3</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P5. Cobertura de intereses: EBIT ≥ 5 × gasto financiero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P6. Margen EBIT estable: rango de 5 años ≤ 10 puntos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rango 6,1 puntos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P7. Sin dilución: acciones diluidas ≤ +2 % anual en 3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 anual</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P8. Piotroski F ≥ 6</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pasa (informativo).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P9. Altman Z &gt; 1,81 (fuera de la zona de riesgo)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P10. Ventas que no encogen en 3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en 3 años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Dos cambios coinciden en 2025: auditor nuevo (EY sustituye a KPMG) y cambio de LIFO a FIFO en el 4T25, que la empresa justifica por comparabilidad con el sector [1]. El cambio sube el beneficio de 2025 en 15,7 M USD (0,47 USD por acción, un 2 %) y el patrimonio en 128 M, y vino con la corrección de errores inmateriales en la capitalización de desviaciones de inventario de los tres primeros trimestres de 2025 (el BPA del 3T25 pasa de 6,98 a 7,38 USD, 0,12 por el error y 0,28 por el cambio) [1]. El efecto en el beneficio es pequeño, pero con costes al alza FIFO da márgenes algo mayores que LIFO. La remuneración en acciones es baja (29 M en 2025, 3,6 % del beneficio) y no hay capitalización relevante de I+D. El BPA ajustado difiere poco del publicado (23,16 frente a 22,79 en 2025). El 2T26 lleva 30 M de devolución de aranceles IEEPA (unos 0,65 USD por acción después de impuestos, estimación propia) reconocidos de una vez en el coste de ventas: el 2T26 «en línea» no lo habría sido sin ella [6, 15]. El tipo impositivo sube del 18,9 % al 22,1 % en nueve meses [4]. El Altman, el Piotroski y el Beneish los calcula el motor; 2023 y 2025 llevan cambios de perímetro.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LIFO a FIFO en el primer año del auditor nuevo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BPA de 2025 en 0,47 USD y reexpresa 2023-2024; vino con correcciones de errores inmateriales en los trimestres de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Devolución de aranceles de 30 M USD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no recurrente dentro del coste de ventas y del resultado de segmentos; la empresa no lo ajusta en su BPA ajustado [6,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compra ajustados mayores después de impuestos que 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los costes de compra restan 3,8 M antes de impuestos en el EBIT, pero el ajuste del BPA suma 8,6 M después de impuestos; la nota de prensa no explica la diferencia (puede incluir partidas fuera del EBIT)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Cobros más lentos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de 881 M USD a 30-sep-2026 frente a 759 M un año antes (+16 % con ventas del trimestre +10 %) [2, 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497 M en 2025 (el 17 % del capital invertido medio); ha subido más de un 5 % en 2 de 9 años: compra única grande. ROIC publicado 40,4 %; sin fondo de comercio, 48,7 %.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43,4 % · </w:t>
      </w:r>
      <w:r>
        <w:rPr>
          <w:b/>
          <w:bCs/>
        </w:rPr>
        <w:t xml:space="preserve">WACC</w:t>
      </w:r>
      <w:r>
        <w:t xml:space="preserve">: 10,1 %.</w:t>
      </w:r>
    </w:p>
    <w:p>
      <w:pPr>
        <w:spacing w:after="100"/>
      </w:pPr>
      <w:r>
        <w:t xml:space="preserve">Lennox crea mucho valor: el ROIC fue del 50,4 % en 2024 y del 40,4 % en 2025 frente a un WACC del 10,1 %, y del 48,7 % sin el fondo de comercio de las compras; el ROIC incremental histórico es del 43,4 %. Lo mueve el margen (EBITDA del 21-22 %, el más alto del sector) y una rotación del capital alta, porque las fábricas están amortizadas. La caída de 2025 viene del capital: inventario del cambio de refrigerante y ≈770 M de fondo de comercio e intangibles de Duro Dyne y Supco [A]. Frente a sus rivales, el ROIC es muy superior al de Trane (23,9 %) y Carrier [D]. El ROE no sirve: el patrimonio está reducido por las recompras.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45,5 M USD a 30-sep-2026 y línea de crédito comprometida de 1.000 M USD (vence en mayo de 2030) sin disponer, de la que quedan 543,2 M libres tras respaldar 455,1 M de papel comercial (límite de 500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Baa1 (Moody's) y BBB (S&amp;P), perspectiva estable, a 31-dic-2025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deuda neta total / EBITDA de doce meses no superior a 3,5 veces (4,0 tras una compra relevante); a 30-sep-2026 la deuda bruta de 1.621 M menos 45,5 M de caja frente a 1.156 M de EBITDA de doce meses da unas 1,4 veces (estimación propia), con mucha holgura [4]. Garantías de producto: 176,6 M USD a 30-sep-2026 (167,2 M a cierre de 2025), el asunto crítico de auditoría de EY [1, 4]. Pensiones: 20,8 M de pasivo neto [4]. Arrendamientos operativos: 463,2 M de pasivo, que en US GAAP ya están en el EBITDA y no van a la deuda; los financieros (71,1 M) sí están dentro de la deuda [4]. Hay provisiones medioambientales y por litigios que cuestan 5-15 M al año [1]. Ajuste final de capital circulante de Heat Controller pendiente en el 4T26 [4]. Inspección fiscal federal abierta de 2021-2022 (operaciones transfronterizas) [4].</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compras complementarias, dividendo creciente y recompras con el resto [1]. El dividendo trimestral sube cada año: 1,15 USD en 2024, 1,30 USD desde el 2T25 y 1,36 USD desde el 2T26 (4,02 USD declarados en nueve meses) [4]. El consejo ha autorizado 5.000 M USD de recompras en total, con una ampliación de 1.000 M en mayo de 2025; quedan 707,7 M a 30-sep-2026 [4]. En 2025 se recompraron 482 M (0,9 millones de acciones) y en nueve meses de 2026, 302 M (0,65 millones) [1, 4]. No hubo recompras en 2023, el año de la fábrica de México y de la compra de AES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 Controller y Aitons (marca Comfort-Aire): equipos para distribuidores pequeños y medianos de Norteamérica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comercial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pronto: 29,5 M USD de ventas y 1,2 M de resultado de segmento desde el 13 de julio hasta el 30 de septiembre; la dirección espera que aumente el BPA en 2027 [4,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Duro Dyne y Supco: recambios, accesorios y consumibles de climatización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300 M USD, papel comercial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Contabilización cerrada en el 3T26 con 282,1 M de fondo de comercio y 235 M de intangibles; aportó 20 M USD de resultado de segmentos en el 3T26 junto con Heat Controller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 bancadas y adaptadores de cubierta y reciclaje de equipos comerciales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15 M USD de resultado de segmentos en 2024;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negocio europeo de climatización comercial y refrigeración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(cobro neto)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63,2 M USD por activos mantenidos para la venta y plusvalía de 14,1 M; salió un negocio de 248 M de ventas con pérdidas [1, 11].</w:t>
            </w:r>
          </w:p>
        </w:tc>
      </w:tr>
    </w:tbl>
    <w:p>
      <w:pPr>
        <w:spacing w:after="160" w:before="0"/>
      </w:pPr>
    </w:p>
    <w:p>
      <w:pPr>
        <w:spacing w:after="100"/>
      </w:pPr>
      <w:r>
        <w:t xml:space="preserve">De 2016 a 2025 Lennox devolvió 4.163 M USD: 2.936 M en recompras y 1.226 M en dividendos, frente a 638 M en compras de empresas [2]. Las acciones diluidas bajaron de 44,0 millones en 2016 a 34,5 en el 3T26 (−22 %), y el BPA creció más que el beneficio. La parte buena: las recompras de 2018-2022 se hicieron a precios bajos y el negocio europeo, de poco margen, se vendió. La parte discutible: en 2025-2026 se recompraron 784 M USD a precios muy superiores al actual (sobre 535 USD por acción en 2025, estimación propia: 482 M entre 0,9 millones de acciones) mientras se compraban empresas por 769 M, y la deuda subió de 1.148 M a 1.621 M con la caja casi a cero. Con la guía recortada y vencimientos de 600 M en 2027, el margen para seguir recomprando al ritmo de 2025 es menor. El ROIC y el ROIC incremental los calcula el motor.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Alok Maskara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cinco años consejero delegado de Luxfer y casi una década al frente de unidades de Pentair, tras GE y McKinsey [1]. Con él el margen de segmentos pasó del 14,1 % de 2022 (665,8 M USD sobre 4.718 M) al 20,4 % de 2025 (1.057,7 M sobre 5.195 M), vendió Europa y compró AES, Duro Dyne, Supco y Heat Controller [1, 4, 9, 54]. Pero 2026 es su peor año: dos recortes de la guía y un margen residencial que cae 490 puntos básicos en el 3T26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Quenzer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Lennox desde 2004: relaciones con inversores, planificación financiera y finanzas del segmento comercial; antes en Morningstar [1]. Director financiero desde enero de 2024, sin historial previo en el cargo fuera de la casa.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Sarah R. Martin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Home Comfort Solutions (residencial)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Trece años en Honeywell (presidenta de Sensing &amp; Safety Technologies) [1]. Dirige el residencial desde abril de 2025; en 2025 cobró el 80 % de su variable por quedar el segmento bajo objetivo [41], y en el 3T26 el margen del segmento cayó al 18,7 % (−490 pb) por bajadas de precio para recuperar cuota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 Nassab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Building Climate Solutions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Lennox desde 2010 (Allied Air), tras veinte años en GE [1]. El segmento comercial facturó 1.852 M USD en 2025 (+5 %) con un margen del 23,4 % [9], y en el 3T26 creció un 24 % (15 % orgánico) con margen del 26,2 % [3]: es la parte del negocio que sostiene las cuentas.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Todd J. Teske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presidente y consejero delegado de Briggs &amp; Stratton; consejero coordinador de 2015 a 2022 y presidente independiente desde 2022 [41]. Vendió 1.300 acciones (0,67 M USD) entre noviembre de 2025 y febrero de 2026 [45].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+5-10 %; BPA 13,40-14,40 USD (subido a 13,50-14,50 en febrero de 2022)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+13 %; BPA publicado 13,88 y ajustado 14,07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0 a +4 %; BPA 14,25-15,25 USD; FCF 250-350 M (14-dic-2022)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+6 %; BPA ajustado 17,96 (publicado 16,54)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≈+7 %; BPA ajustado 18,50-20,00 USD; FCF 500-600 M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+13 %; BPA ajustado 22,58; FCF 785 M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≈+2 %; BPA ajustado 22,00-23,50 USD; FCF 650-800 M [52]. Abril: 22,25-23,50 [51]; julio: subida a 23,25-24,25 [50]; octubre: recorte a 22,75-23,25 y FCF ≈550 M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BPA ajustado 23,16 (dentro de la guía inicial, por debajo de la subida de julio); FCF 640 M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+6-7 % (≈4 % por compras); BPA ajustado 23,50-25,00 USD; FCF 750-850 M (28-ene-2026)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29-abr: BPA mantenido, ventas ≈+8 % [7]; 29-jul: BPA a 23,00-24,00 [5]; 28-oct: BPA a 21,00-21,50, ventas ≈+6 % (5 % por compras, ≈1 % orgánico) y FCF 700-750 M [3]. Punto medio −12,4 % frente a la guía inicial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2026 (dic-2022)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núcleo de 5.000-5.500 M USD; margen EBIT del 18-20 %; FCF del 90-100 % del beneficio neto de media en 2023-2026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5.341 M en 2024 y 5.195 M en 2025 y margen de segmentos del 20,4 % en 2025: alcanzado antes de plazo y elevado en enero de 2024 [9,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Hasta 2024 la dirección de Maskara batió con holgura cada guía inicial: en 2023 y 2024 el BPA ajustado superó el extremo alto en un 18 % y un 13 %, y el plan a 2026 se cumplió dos años antes [52, 53, 56]. Desde 2025 el patrón se ha roto: en 2025 subió la guía en julio para recortarla en octubre, y en 2026 la ha recortado dos veces (julio y 28 de octubre), con el punto medio un 12,4 % por debajo del de enero [3, 5, 9, 10, 50]. El 3T26 admite «presión competitiva» y bajadas de precio para recuperar cuota en residencial [3]. El equipo es estable (consejero delegado y presidente desde 2022, financiero de la casa desde 2024) y el proxy declara un plan de sucesión anual del consejero delegado [41]. La credibilidad de la guía pasa de alta a media.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J. Teske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Auditoría (experto financiero)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Alok Maskara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Norris,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Remuneración (el consejo lo califica de independiente; aquí dominical por representar el 9,3 % de la familia fundadora)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H. Quintos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Shane D. Wall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Sherry L. Buck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 Vander Ark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(experto financiero);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Tracy A. Embree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y el control interno a 31-dic-2025; asunto crítico de auditoría: la provisión de garantías de producto (167,2 M USD)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Norris, III y fideicomisos y sociedad de la familia Norris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9,8 % en junio de 2025 (13D/A) y 9,3 % en marzo de 2026, por donaciones; plan 10b5-1 de agosto de 2026 para vender hasta 35.000 acciones desde el 19-nov-2026 [4, 41,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(13G de febrero de 2026)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declaración: 13G/A de febrero de 2025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declaración a 31-mar-2026 tras la separación de las gestoras de Vanguard; The Vanguard Group declara el 0 % (13G/A de 27-mar-2026), antes 11,2 % [48,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Viking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a 15-abr-2026 (13G de 22-abr-2026)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todo es la familia Norris; el consejero delegado tiene el 0,15 % [41]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 A. Kosel (director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Shane D. Wall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Todd J. Teske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 A. Kosel (director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Todd J. Teske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8,43 M USD en 2025 (9,91 M en 2024): 1,18 M de sueldo, 1,33 M de variable anual y 5,65 M en acciones y derechos de revalorización, 133 veces el empleado mediano [41]. El variable anual pesa beneficio núcleo (50 %), flujo de caja libre (30 %) y ventas ajustadas (20 %); en 2025 pagó el 90 % del objetivo [41]. El largo plazo es la mitad en acciones por objetivos a tres años con ROIC (50 %, sin pago si no supera el coste de capital y objetivo a unas tres veces él) y crecimiento del beneficio núcleo (50 %) [41]. El plan 2023-2025 pagó el 196 % con un ROIC medio del 47 % y un crecimiento del 17,2 % anual [41]. Hay recuperación por reexpresión (clawback), indemnización por cambio de control con doble condición y sin compensación de impuestos [41]. En septiembre de 2026 se cambió el calendario de consolidación de las concesiones a directivos [57]. El voto consultivo sobre la retribución tuvo un 96,5 % a favor en 2024, un 92,7 % en 2025 y un 98,1 % en 2026 sobre los votos presentes [42, 43, 44].</w:t>
      </w:r>
    </w:p>
    <w:p>
      <w:pPr>
        <w:pStyle w:val="Heading2"/>
      </w:pPr>
      <w:r>
        <w:t xml:space="preserve">Operaciones vinculadas, estructura de control y defensas</w:t>
      </w:r>
    </w:p>
    <w:p>
      <w:pPr>
        <w:spacing w:after="100"/>
      </w:pPr>
      <w:r>
        <w:t xml:space="preserve">No hay accionista de control: la familia Norris, fundadora, tiene el 9,3 % y un consejero (John W. Norris III, en el consejo desde 2001) [41]. Una sola clase de acciones, sin píldora venenosa y con elección por mayoría [41]. La defensa principal es el </w:t>
      </w:r>
      <w:r>
        <w:rPr>
          <w:b/>
        </w:rPr>
        <w:t xml:space="preserve">consejo escalonado</w:t>
      </w:r>
      <w:r>
        <w:t xml:space="preserve">: tres clases con mandatos de tres años, de modo que solo se renueva un tercio cada junta [41, 42]. El proxy no declara operaciones vinculadas relevantes [41]. Los bonos dan derecho a recompra al 101 % si un cambio de control baja el rating por debajo de grado de inversión [4]. Las indemnizaciones por cambio de control exigen doble condición y se recortaron en 2022 a dos veces sueldo y variable objetivo para los directivos distintos del consejero delegado [41]. Los institucionales se mueven: entran Capital (8,5 %) y Viking (5,2 %) en 2026 [41, 47].</w:t>
      </w:r>
    </w:p>
    <w:p>
      <w:pPr>
        <w:pStyle w:val="Heading2"/>
      </w:pPr>
      <w:r>
        <w:t xml:space="preserve">Señales de alerta</w:t>
      </w:r>
    </w:p>
    <w:p>
      <w:pPr>
        <w:pStyle w:val="ListParagraph"/>
        <w:numPr>
          <w:ilvl w:val="0"/>
          <w:numId w:val="2"/>
        </w:numPr>
        <w:spacing w:after="60"/>
      </w:pPr>
      <w:r>
        <w:t xml:space="preserve">Demanda colectiva antimonopolio: desde el 20-mar-2026 Lennox es una de siete fabricantes demandadas por presunto pacto de precios de equipos de climatización vendidos en EE. UU. desde 2020 (In re HVAC Equipment Antitrust Litigation, n.º 2:26-cv-10949, E.D. Michigan; demandas consolidadas y modificadas el 10-jul-2026). La empresa lo niega y no estima la pérdida posible; un fallo adverso «podría tener un efecto material» [4].</w:t>
      </w:r>
    </w:p>
    <w:p>
      <w:pPr>
        <w:pStyle w:val="ListParagraph"/>
        <w:numPr>
          <w:ilvl w:val="0"/>
          <w:numId w:val="2"/>
        </w:numPr>
        <w:spacing w:after="60"/>
      </w:pPr>
      <w:r>
        <w:t xml:space="preserve">Ningún consejero ni directivo ha comprado acciones en mercado en los últimos 12 meses pese a una caída hasta el mínimo de 52 semanas; ventas pequeñas (1,39 M USD), todas antes de la caída y ninguna con plan 10b5-1 [45].</w:t>
      </w:r>
    </w:p>
    <w:p>
      <w:pPr>
        <w:pStyle w:val="ListParagraph"/>
        <w:numPr>
          <w:ilvl w:val="0"/>
          <w:numId w:val="2"/>
        </w:numPr>
        <w:spacing w:after="60"/>
      </w:pPr>
      <w:r>
        <w:t xml:space="preserve">John W. Norris III adoptó el 20-ago-2026 un plan 10b5-1 para vender hasta 35.000 acciones entre el 19-nov-2026 y el 15-ago-2027 (≈1 % de lo que controla la familia) [4].</w:t>
      </w:r>
    </w:p>
    <w:p>
      <w:pPr>
        <w:pStyle w:val="ListParagraph"/>
        <w:numPr>
          <w:ilvl w:val="0"/>
          <w:numId w:val="2"/>
        </w:numPr>
        <w:spacing w:after="60"/>
      </w:pPr>
      <w:r>
        <w:t xml:space="preserve">Guía recortada dos veces en 2026 tras la subida y recorte de 2025: la dirección reconoce pérdida de cuota y bajadas de precio en residencial [3, 5, 10].</w:t>
      </w:r>
    </w:p>
    <w:p>
      <w:pPr>
        <w:pStyle w:val="ListParagraph"/>
        <w:numPr>
          <w:ilvl w:val="0"/>
          <w:numId w:val="2"/>
        </w:numPr>
        <w:spacing w:after="60"/>
      </w:pPr>
      <w:r>
        <w:t xml:space="preserve">Cambio de auditor en 2025: KPMG sustituida por Ernst &amp; Young, contratada el 12-mar-2025 tras un concurso [41].</w:t>
      </w:r>
    </w:p>
    <w:p>
      <w:pPr>
        <w:pStyle w:val="ListParagraph"/>
        <w:numPr>
          <w:ilvl w:val="0"/>
          <w:numId w:val="2"/>
        </w:numPr>
        <w:spacing w:after="60"/>
      </w:pPr>
      <w:r>
        <w:t xml:space="preserve">Consejo escalonado en tres clases con mandatos de tres años: dificulta un cambio de control no pactado [41].</w:t>
      </w:r>
    </w:p>
    <w:p>
      <w:pPr>
        <w:pStyle w:val="ListParagraph"/>
        <w:numPr>
          <w:ilvl w:val="0"/>
          <w:numId w:val="2"/>
        </w:numPr>
        <w:spacing w:after="60"/>
      </w:pPr>
      <w:r>
        <w:t xml:space="preserve">Dimisión del consejero Sivasankaran Somasundaram el 23-may-2026 por otras ocupaciones y «sin desacuerdo»; el consejo pasa de nueve a ocho miembros. En la junta de 2025 había recibido un 11,2 % de votos en contra [42, 43].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actualizada el 28-oct-2026 con el 3T26 (nota publicada antes de la apertura, a las 6:49 de Nueva York en EDGAR): ventas +≈6 % (5 puntos de compras: Duro Dyne, Supco y Heat Controller), BPA ajustado de 21,00-21,50 USD (antes 23,00-24,00) y flujo libre de 700-750 M USD (antes 750-850) [3]. Con 17,89 USD ajustados en nueve meses, la guía implica 3,11-3,61 USD en el 4T26, frente a 4,45 en el 4T25 [3, 9]. Es el segundo recorte del año: en enero la guía era de 23,50-25,00 USD [9] y el 29-jul se bajó a 23,00-24,00. La dirección atribuye el 3T a presión competitiva (bajadas de precio selectivas en residencial para recuperar cuota), inflación de costes y aranceles; residencial +3 % en ventas con margen −490 pb, comercial +24 % [3]. No hay guía de 2027 publicada.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18 analistas de BPA ajustado (1 de ventas), consultado el 29-oct-2026 a las 8:40 UTC: aún sin actualizar tras la guía de 21,00-21,50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18 analistas de BPA y 16 de ventas, 29-oct-2026, previo a las revisiones tras el 3T26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350,00 – 560,00</w:t>
            </w:r>
          </w:p>
        </w:tc>
      </w:tr>
    </w:tbl>
    <w:p>
      <w:pPr>
        <w:spacing w:after="160" w:before="0"/>
      </w:pPr>
    </w:p>
    <w:p>
      <w:pPr>
        <w:pStyle w:val="Heading2"/>
      </w:pPr>
      <w:r>
        <w:t xml:space="preserve">Revisiones de estimaciones</w:t>
      </w:r>
    </w:p>
    <w:p>
      <w:pPr>
        <w:spacing w:after="100"/>
      </w:pPr>
      <w:r>
        <w:t xml:space="preserve">Las cifras son anteriores a la revisión por los resultados del 28-oct: a las 8:40 UTC del 29-oct ni Yahoo (BPA 2026e 23,38) ni MarketBeat (sin cambios de recomendación desde el 15-oct) recogían la guía nueva [59, 62]. Solo el recorte de la guía rebaja el BPA de 2026e un ≈9 % (de 23,38 al punto medio de 21,25). Antes del 3T, el BPA de 2026e ya había bajado de 23,74 hace 90 días a 23,38 (−1,5 %) y el de 2027e de 26,84 a 25,73 (−4,1 %), con 5 rebajas y ninguna subida en 30 días en 2027e [59]. Recomendaciones: de 7 compras y 9 mantener hace tres meses a 4 compras, 13 mantener y 1 venta; Deutsche Bank (14-sep) y Goldman Sachs (14-oct) rebajaron a neutral, y el objetivo medio de 14 analistas bajó a 438,07 USD (MarketBeat: 480 USD con 15) [59, 62]. En el 3T26 el BPA ajustado (6,84) quedó un 7 % por debajo del consenso (7,33 según MarketBeat) con ventas en línea (1.572 M frente a 1.580 M) [3, 62].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bl>
    <w:p>
      <w:pPr>
        <w:spacing w:after="160" w:before="0"/>
      </w:pPr>
    </w:p>
    <w:p>
      <w:pPr>
        <w:spacing w:after="100"/>
      </w:pPr>
      <w:r>
        <w:t xml:space="preserve">Lennox pierde un 31 % en un año frente al +13,6 % del S&amp;P 500 (SPY) y el +9,9 % de la industria estadounidense (XLI), y cae un 50 % desde el máximo de noviembre de 2024 [58]. Tres golpes explican casi toda la caída: la demanda colectiva por pactar precios en climatización (26-mar, −9 %), el recorte de la guía del 2T (29-jul, −21 %) y el del 3T (28-oct, −10,6 %, nuevo mínimo de 52 semanas) [58, 63, 73, 74]. En medio, el sector perdió el apoyo de la tesis de centros de datos al subir el bono a 10 años (agosto) [63]. Rentabilidades totales con dividendos; beta mensual a 5 años frente a SPY; posición corta del 9,5 % del capital flotante a 15-oct-2026 (FINRA, vía Yahoo) [59].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 -20,3 % / -35,7 % / -33,8 %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 / 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publicados antes de la apertura (6:49 de Nueva York): BPA ajustado de 6,84 USD frente a 7,33 esperado, margen residencial −490 pb por bajadas de precio para recuperar cuota, inflación y aranceles, y guía 2026 recortada a 21,00-21,50 USD [3, 62, 63]. Cierre en 332,64 USD, mínimo de 52 semanas.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 (un mes hasta el 25-ago)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Arrastre del recorte de guía del 29-jul (−21 % ese día: ventas por debajo de lo esperado, residencial −7 %, BPA 2026 de 23-24 USD) y venta del sector climatización cuando la subida del bono golpeó a los valores ligados a centros de datos (18-ago) [63, 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sesiones de caídas hasta el 13-mar (−15 %) con Morgan Stanley en infraponderar por recortes de beneficio en 2026 y el 4T25 por debajo de lo esperado [72]; el 26-mar (−9 %) el sector cayó por la demanda colectiva que acusa a siete fabricantes, Lennox entre ellos, de pactar precios desde 2020 [4, 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 un mes hasta el 6-may tras un 1T26 por encima de lo esperado (BPA 3,35 frente a 3,16) y guía mantenida en 23,50-25,00 [62, 63]. La caída del 15-abr (−6,9 %) no tiene causa identificada en las fuentes consultadas.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ventas de 1.572 M USD (+10 %), BPA ajustado 6,84 (−7 %), guía de BPA 2026 de 21,00-21,50 (antes 23,00-24,00) y de flujo libre de 700-750 M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rebaja a neutral (objetivo de 547 a 390 USD); RBC, Mizuho, Oppenheimer y Morgan Stanley (infraponderar, 350 USD) recortan objetivos entre el 14 y el 15-oct [59, 62, 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Bank rebaja a mantener (objetivo de 609 a 444 USD); Wells Fargo inicia en igual ponderación (424 USD) el 25-sep [62].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John W. Norris III adopta un plan 10b5-1 para vender hasta 35.000 acciones entre el 19-nov-2026 y el 15-ago-2027 (≈12 M USD al precio actual, 0,1 % del capital)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antimonopolio (In re HVAC Equipment Antitrust Litigation, E.D. Michigan) contra siete fabricantes por pactar precios desde 2020; demandas consolidadas y enmendadas el 10-jul. Lennox lo niega y no puede estimar la pérdida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 Heat Controller por 215,3 M USD en caja (ya en el balance de septiembre)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Veredicto global: no cambia. La caída del 28-oct (−10,6 %) es la reacción a los resultados y a la guía nueva, que este informe ya incorpora: nuestro BPA de 2026e está en la guía y el de 2027e, un 11 % por debajo del consenso sin revisar [D]. Esperar a que el consenso se revise o a la guía de 2027 sería esperar a resultados, que el método descarta para las compras (regla del 15-oct); la tendencia bajista se da como dato, no como motivo para esperar.</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Lennox cotiza a 14,5 veces nuestro BPA de 2027e (22,88 USD), frente a una mediana adelantada de 22,9 veces en 2021-2025 y un mínimo de 13,3 (cierre de 2022, en plena subida de tipos) [58]. PER adelantado de cada cierre (precio ÷ BPA ajustado real del año siguiente, de las notas de resultados [9, 53, 55, 60, 61]): 2016 19,3; 2017 21,9; 2018 19,6; 2020 21,7; 2021 22,9; 2022 13,3; 2023 19,7; 2024 26,3; 2025 22,9 (con nuestro BPA de 2026e, 21,20). Fuera 2019 (24,5 veces sobre un BPA de 2020 hundido por la pandemia). Lo que ha cambiado: el bono a 10 años al 5,05 % frente al 1-4 % de 2016-2023, dos años sin crecimiento del BPA (2024-2026) y, desde el 3T26, una guerra de precios en residencial que pone en duda el margen récord de 2024-2025. El descuento frente a la historia no es solo de sentimiento: parte del BPA de los años altos no se repetirá si el margen no vuelve.</w:t>
      </w:r>
    </w:p>
    <w:p>
      <w:pPr>
        <w:pStyle w:val="Heading1"/>
      </w:pPr>
      <w:r>
        <w:t xml:space="preserve">18. Comparables cotizados</w:t>
      </w:r>
    </w:p>
    <w:p>
      <w:pPr>
        <w:pStyle w:val="Confianza"/>
        <w:spacing w:after="100"/>
      </w:pPr>
      <w:r>
        <w:t xml:space="preserve">Confianza: Media</w:t>
      </w:r>
    </w:p>
    <w:p>
      <w:pPr>
        <w:spacing w:after="100"/>
      </w:pPr>
      <w:r>
        <w:t xml:space="preserve">Fabricantes de climatización con peso en Norteamérica (Trane, Carrier, Johnson Controls, Daikin, AAON), el mayor distribuidor de EE. UU. (Watsco, cliente y rival del canal propio de Lennox) y dos fabricantes de equipos residenciales de calor y agua (A. O. Smith, NIBE). Fuera Modine y Vertiv (más de la mitad del negocio en refrigeración de centros de datos) y Schneider (eléctrico). Todas las cifras de Yahoo a la misma fecha (cierre del 28-oct; NIBE y Daikin, sesión del 29-oct) [67]: PER sobre el BPA ajustado del consenso de los próximos 12 meses (en Daikin, Watsco, AAON y NIBE el publicado, que apenas difiere) y EBITDA de los últimos 12 meses de Yahoo; sin EBITDA de consenso gratuito, EV/EBITDA NTM en blanco.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NIBE Industrier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20,5x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 / 22,5x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 / 2,6x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spacing w:after="100"/>
      </w:pPr>
      <w:r>
        <w:t xml:space="preserve">Lennox cotiza a 13,1 veces el BPA de los próximos 12 meses del consenso aún sin revisar (25,34 USD) y a 14,5 veces nuestro BPA de 2027e, frente a una mediana de 22,5 veces de los ocho comparables, con un margen EBITDA (22 %) y un ROIC (34 %) que solo igualan Trane y A. O. Smith [67]. El descuento tiene dos explicaciones: crecimiento (los comparables grandes venden a centros de datos y edificios comerciales, donde la demanda crece; Lennox depende en dos tercios del residencial de EE. UU.) y riesgo de margen (guerra de precios en residencial). El comparable más cercano por negocio, A. O. Smith (residencial, agua caliente, mismo canal), cotiza a 15,3 veces. Usaríamos 15-17 veces, no la mediana del grupo: aplicar 22,5 veces supone que Lennox vuelve a ser vista como un compuesto de calidad, algo que hoy el mercado no paga.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 Controller (Comfort-Aire, Century; Aitons en Canadá)</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Lennox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para distribuidores pequeños y medianos; 215,3 M USD en caja sin la caja adquirida; aportó 29,5 M de ventas en dos meses y medio; múltiplo no publicado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Duro Dyne y Supco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Lennox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Recambios y accesorios de climatización; 545 M USD en caja; múltiplo no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FläktGroup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Electronics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Ventilación y climatización comercial europea; 1.500 M EUR por el capital, valor empresa de 1.800 M EUR (≈2.000 M USD); múltiplo no publicado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Refrigeración comercial de Carrier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775 M USD con ≈200 M de pensiones netas; venta de un negocio no estratégico, múltiplo no publicado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y comercial ligero de Johnson Controls y Johnson Controls-Hitachi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8.000 M USD (7.400 M EUR) por un negocio de ≈4.000 M EUR de ventas en 2023: EV/ventas de 1,85 veces (estimación propia)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12.000 M EUR por ≈700 M EUR de EBITDA y ≈4.000 M EUR de ventas previstos para 2023: 17,1 veces el EBITDA sin sinergias (estimación propia) y ≈13 veces con ellas, según Carrier [68]. Pico de la euforia de las bombas de calor en Europa.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Solo dos operaciones publican cifras para calcular múltiplos, y ambas son de 2023-2024: 3,0 veces las ventas y 17 veces el EBITDA por Viessmann en pleno auge de las bombas de calor, y 1,85 veces las ventas por el residencial de Johnson Controls-Hitachi [68, 69]. Lennox, a 2,5 veces las ventas y 11,5 veces el EBITDA, cotiza por debajo de las dos. Las compras de la propia Lennox son pequeñas y sin múltiplo [1, 4]. Una oferta por Lennox es improbable: la familia Norris y los internos tienen ≈9,6 % y la empresa no se ha puesto en venta; por eso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+6,0 %, la guía del 28-oct con 5 puntos de compras y tres trimestres publicados [3]. 2027e +5,0 %: medio año más de Heat Controller (≈1,3 puntos; 29,5 M de ventas en dos meses y medio [4]), precio +2 % y algo de volumen. Después, del 5,0 % al 3,0 % en 2033e. Las ventas crecieron un 4,0 % anual en 2016-2025 [1]; nuestra media de 2027-2033 (4,0 %) es la misma. El consenso, aún sin revisar, espera +6,9 % en 2027e [59]: vamos por debajo porque la recuperación de cuota en residencial se está comprando con precio.</w:t>
      </w:r>
    </w:p>
    <w:p>
      <w:pPr>
        <w:keepNext/>
        <w:spacing w:after="100"/>
      </w:pPr>
      <w:r>
        <w:rPr>
          <w:b/>
          <w:bCs/>
        </w:rPr>
        <w:t xml:space="preserve">Márgenes.</w:t>
      </w:r>
    </w:p>
    <w:p>
      <w:pPr>
        <w:spacing w:after="100"/>
      </w:pPr>
      <w:r>
        <w:t xml:space="preserve">Margen EBITDA del 20,5 % en 2026e (21,8 % en nueve meses y ≈16 % implícito en el 4T por la guía de BPA [3]) frente al 22,2 % de 2025 [1]. Sube al 21,0 % en 2027e y al 21,8 % desde 2029e: recuperación parcial con productividad, recambios (Supco, Duro Dyne) y comercial (margen de segmento del 26,2 %), pero sin volver al récord, porque el 3T26 demuestra que la competencia en residencial (gama de entrada) ha llegado para quedarse [3]. Trane está en el 19,5 % y Carrier en el 13,9 % [67].</w:t>
      </w:r>
    </w:p>
    <w:p>
      <w:pPr>
        <w:keepNext/>
        <w:spacing w:after="100"/>
      </w:pPr>
      <w:r>
        <w:rPr>
          <w:b/>
          <w:bCs/>
        </w:rPr>
        <w:t xml:space="preserve">Inversión y circulante.</w:t>
      </w:r>
    </w:p>
    <w:p>
      <w:pPr>
        <w:spacing w:after="100"/>
      </w:pPr>
      <w:r>
        <w:t xml:space="preserve">Capex del 3,2 % de las ventas en 2026e (124 M en nueve meses, con terrenos y edificios para centros de innovación [4]) que baja al 2,5 % desde 2031e, siempre por encima de la amortización (2,4 %, con la de intangibles de las compras). Circulante comercial del 23,5 % en 2026e (24,9 % a cierre de 2025 por el inventario del cambio de refrigerante; el inventario ya baja en 2026 [1, 4]) que vuelve al 22 %. Tipo impositivo del 22 % (22,1 % en nueve meses de 2026 y 24,6 % en el 3T [4]).</w:t>
      </w:r>
    </w:p>
    <w:p>
      <w:pPr>
        <w:keepNext/>
        <w:spacing w:after="100"/>
      </w:pPr>
      <w:r>
        <w:rPr>
          <w:b/>
          <w:bCs/>
        </w:rPr>
        <w:t xml:space="preserve">Coste del capital.</w:t>
      </w:r>
    </w:p>
    <w:p>
      <w:pPr>
        <w:spacing w:after="100"/>
      </w:pPr>
      <w:r>
        <w:t xml:space="preserve">Tasa libre: bono de EE. UU. a 10 años al 5,05 % el 28-oct-2026 (Tesoro) [64]. Beta de 1,07: la de Damodaran para materiales de construcción desapalancada y corregida por caja (0,96) reapalancada con la deuda de Lennox a valor de mercado (14 %) [66]; la mensual de 5 años da 1,18, la semanal de 5 años 1,09 y la semanal de 2 años 0,82 [58]. Prima de mercado del 5,5 %. Coste de la deuda del 5,6 % antes de impuestos (bonos de 2028 al 5,50 %; los de 2027 al 1,70 % se refinanciarán a precios de hoy [1]) con un peso del 12,4 % a valor de mercado. WACC ≈10,1 %. Con la prima implícita del mercado (4,20 %) [65] el WACC baja ≈1,5 puntos.</w:t>
      </w:r>
    </w:p>
    <w:p>
      <w:pPr>
        <w:keepNext/>
        <w:spacing w:after="100"/>
      </w:pPr>
      <w:r>
        <w:rPr>
          <w:b/>
          <w:bCs/>
        </w:rPr>
        <w:t xml:space="preserve">Valor terminal.</w:t>
      </w:r>
    </w:p>
    <w:p>
      <w:pPr>
        <w:spacing w:after="100"/>
      </w:pPr>
      <w:r>
        <w:t xml:space="preserve">Gordon con un crecimiento del 3,0 %: inflación esperada en USD de ≈2,3 % más un crecimiento real modesto, por debajo de la tasa libre menos medio punto (4,55 %). El múltiplo de salida de contraste (13 veces el EBITDA) queda por encima de las 11,5 veces a las que cotiza hoy y por debajo de la mediana de los comparables [67].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383,34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(reinvierte el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 (histórico: 43,4 %)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frente al 4,3 %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(hoy: 12,3 %)</w:t>
            </w:r>
          </w:p>
        </w:tc>
      </w:tr>
    </w:tbl>
    <w:p>
      <w:pPr>
        <w:spacing w:after="160" w:before="0"/>
      </w:pPr>
    </w:p>
    <w:p>
      <w:pPr>
        <w:spacing w:after="100"/>
      </w:pPr>
      <w:r>
        <w:t xml:space="preserve">La proyección apenas necesita inversión neta de la amortización (reinversión acumulada de 467 M, el 6 % del NOPAT, con un capex bruto medio del 2,7 % de las ventas). En un negocio de activos ligeros, el crecimiento medio del 4,3 % tiene que salir de subir precios y de ganar volumen sin capital nuevo, y la prueba es el poder de precios y la cuota (10,4 % del mercado en 2033e, frente al 12,3 %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ventas +≈6 % con 5 puntos de compras (Duro Dyne, Supco, Heat Controller); en el 3T, volumen +13 M y precio y mezcla +21 M de efecto en beneficio, pero con bajadas de precio selectivas en residencial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 Controller suma medio año más (≈1,3 puntos) y Duro Dyne el resto; volumen residencial ligeramente positivo tras dos años de caída; precio +2 % por aranceles e inflación, menor que en 2024-2025 por la competencia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aplazada y comercial (cuentas nacionales, refrigeración).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+2,5 %, en línea con la historia (4,0 % anual en 2016-2025)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+1,5 % y precio +2,5 %.</w:t>
            </w:r>
          </w:p>
        </w:tc>
      </w:tr>
    </w:tbl>
    <w:p>
      <w:pPr>
        <w:spacing w:after="160" w:before="0"/>
      </w:pPr>
    </w:p>
    <w:p>
      <w:pPr>
        <w:spacing w:after="100"/>
      </w:pPr>
      <w:r>
        <w:t xml:space="preserve">Sí. El crecimiento proyectado (4,0 % de media en 2027-2033) es el histórico (4,0 % anual en 2016-2025 [1]) y no supone ganar cuota: las ventas de 2033e (≈7.250 M USD) crecen menos que el mercado norteamericano de climatización. El negocio apenas necesita capital (capex del 2,5-3,2 % de las ventas y ROIC del 34 % [67]): con ese ROIC basta reinvertir un 12 % del beneficio para crecer un 4 %. El poder de precios se ha demostrado en 2023-2025, pero el 3T26 enseña su límite en residencial; por eso el margen no vuelve al récord. Mercado final en blanco: la cuota de la sección de competencia es de un perímetro distinto (residencial y comercial ligero); la prueba se hace aquí a mano.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(base: 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 (base: 21,8 %)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10,1 %)</w:t>
            </w:r>
          </w:p>
        </w:tc>
      </w:tr>
    </w:tbl>
    <w:p>
      <w:pPr>
        <w:spacing w:after="160" w:before="0"/>
      </w:pPr>
    </w:p>
    <w:p>
      <w:pPr>
        <w:spacing w:after="100"/>
      </w:pPr>
      <w:r>
        <w:t xml:space="preserve">El DCF da 310,06 USD por acción, un 6,8 % por debajo del cierre del 28-oct (332,64), con un WACC del 10,12 % (bono de EE. UU. al 5,05 %) y un 62 % del valor en el terminal. Con la prima de riesgo que hoy pide el mercado (4,20 %) sale 382,84 USD (+15,1 %). El DCF inverso dice que a 332,64 USD el mercado descuenta un crecimiento del 5,5 % anual en 2027e-2033e, por encima del 4,0 % de nuestro caso base (o un margen del 23,0 % frente al 21,8 %): con nuestro WACC el precio no es barato; la diferencia la pone la tasa de descuento, no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 precios en residencial sigue y la reposición aplazada no vuelve: crecimiento 3 puntos menor y margen 2 puntos menor que en el caso base, con un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en 2026 (5 puntos de compras), +5 % en 2027-2028 y convergencia al 3 %, con el margen EBITDA recuperando parte de lo perdido (del 20,5 % al 21,8 %), sin volver al récord del 22,2 % de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reposición vuelve con tipos más bajos, la competencia en la gama de entrada se calma y el comercial sigue al 15 % orgánico: crecimiento 1,5 puntos mayor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332,6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299,52 USD (-10,0 %).</w:t>
      </w:r>
    </w:p>
    <w:p>
      <w:pPr>
        <w:spacing w:after="100"/>
      </w:pPr>
      <w:r>
        <w:t xml:space="preserve">El bajista (224,52 USD, −32,5 %) pesa mucho más que el alcista (353,45 USD, +6,3 %) en el DCF: con un WACC del 10,1 % el precio de hoy ya está por encima del caso base. La lectura del objetivo a 12 meses es la contraria (bajista −18,7 %, alcista +75,9 %), porque ahí el múltiplo de partida es el PER de hoy, el más bajo en diez años salvo 2022.</w:t>
      </w:r>
    </w:p>
    <w:p>
      <w:pPr>
        <w:pStyle w:val="Heading1"/>
      </w:pPr>
      <w:r>
        <w:t xml:space="preserve">22. Suma de partes</w:t>
      </w:r>
    </w:p>
    <w:p>
      <w:pPr>
        <w:pStyle w:val="Confianza"/>
        <w:spacing w:after="100"/>
      </w:pPr>
      <w:r>
        <w:t xml:space="preserve">Confianza: Media</w:t>
      </w:r>
    </w:p>
    <w:p>
      <w:pPr>
        <w:spacing w:after="100"/>
      </w:pPr>
      <w:r>
        <w:t xml:space="preserve">No aplica: residencial (Home Comfort Solutions) y comercial (Building Climate Solutions) comparten fábricas, compras y red de distribución, y no hay comparables puros de cada uno que den un valor distinto [A].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332,6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345,33 USD (+3,8 % sobre 332,64).</w:t>
      </w:r>
    </w:p>
    <w:p>
      <w:pPr>
        <w:spacing w:after="100"/>
      </w:pPr>
      <w:r>
        <w:t xml:space="preserve">Pesos: DCF 50 %, escenarios 35 % y comparables 15 % (los rivales cotizan con prima por los centros de datos). Valor intrínseco de 345,33 USD (+3,8 %). La recomendación la decide el objetivo a 12 meses por PER (regla v3): +24,7 % ponderado y +20,8 % en el caso base, con el valor intrínseco por encima del precio: Comprar. No es compra robusta: con la historia del PER al cierre (v2) da +13,1 % y con un BPA un 10 % peor, +12,4 %; las dos se quedan en Mantener. La calidad sí es completa: ROIC del 40,4 % frente a un WACC del 10,1 % (30,3 puntos) y sostenibilidad «Sí».</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(14.5x) × 1.1 (tope: la mediana de 5 años, 22.9x,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+75,9 %</w:t>
            </w:r>
          </w:p>
        </w:tc>
      </w:tr>
    </w:tbl>
    <w:p>
      <w:pPr>
        <w:spacing w:after="160" w:before="0"/>
      </w:pPr>
    </w:p>
    <w:p>
      <w:pPr>
        <w:spacing w:after="100"/>
      </w:pPr>
      <w:r>
        <w:rPr>
          <w:b/>
          <w:bCs/>
        </w:rPr>
        <w:t xml:space="preserve">Objetivo a 12 meses (ponderado):</w:t>
      </w:r>
      <w:r>
        <w:t xml:space="preserve"> 409,56 USD · rentabilidad +24,7 % (base +20,8 %) · señal Comprar.</w:t>
      </w:r>
    </w:p>
    <w:p>
      <w:pPr>
        <w:spacing w:after="100"/>
      </w:pPr>
      <w:r>
        <w:t xml:space="preserve">Para comparar, con la regla v2 (historia al cierre, mismo precio): 12,3x / 14,5x / 18,9x, 13,1 % Mantener; con el tope anterior del base (×1,3, 14-oct mediodía): 36,5 %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(21,20 USD) está en la guía nueva (21,00-21,50) y un 9 % por debajo del consenso, que aún no la recoge (23,38). En 2027e vamos un 11 % por debajo (22,88 frente a 25,73): la diferencia es de margen y de punto de partida, no de ventas [D].</w:t>
      </w:r>
    </w:p>
    <w:p>
      <w:pPr>
        <w:keepNext/>
        <w:spacing w:after="100"/>
      </w:pPr>
      <w:r>
        <w:rPr>
          <w:b/>
          <w:bCs/>
        </w:rPr>
        <w:t xml:space="preserve">Del valor intrínseco al objetivo a 12 meses.</w:t>
      </w:r>
    </w:p>
    <w:p>
      <w:pPr>
        <w:spacing w:after="100"/>
      </w:pPr>
      <w:r>
        <w:t xml:space="preserve">El objetivo ponderado (409,56 USD; base 396,64) usa en el caso base un PER de 16,0 veces (el actual de 14,5 con el tope ×1,1; la mediana adelantada de 5 años es 22,9) sobre un BPA de 2028e de 24,79 USD, un 7 % por encima del de 2025 y por debajo de lo que el consenso esperaba antes del recorte. Con la historia al cierre (v2) la rentabilidad es del +13,1 % ponderado y +9,7 % en el base. El objetivo de los analistas (438,07 USD) es anterior a los resultados y bajará.</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del consenso y de los objetivos tras el recorte de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BPA 2026e (23,38) tiene que bajar a la guía (21,00-21,50): presión en el corto plazo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27-ene-2027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tres recortes; prueba de si el margen residencial se estabiliza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reducción de inventarios del R-454B en la distribución y vuelta de la reposición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residencial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antimonopolio por pactar precios (E.D. Michigan)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estima la pérdida posible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programadas de un consejero (hasta 35.000 acciones)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≈0,1 % del capital; ruido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en residencial: la empresa baja precios para recuperar cuota (margen del segmento −4,9 puntos en el 3T26)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(bajista del objetivo a 12 meses: 265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unidad y red de distribución propia; el comercial crece al 24 %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residencial por debajo del 18 % otro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reposición residencial aplazado (tipos, vivienda, inventarios en la distribución)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tienen 15-20 años de vida: la reposición se aplaza, no se pierde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la AHRI a la baja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 tres recortes en 2026 tras años de batirla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2026 de diciembre de 2022 cumplido antes de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2027 recortada en el 1T27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antimonopolio contra siete fabricantes por pactar precios desde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estimable; la empresa reconoce que podría ser material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niega; fase inicial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e inflación de costes (45 M USD en el 3T26)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Fabricación sobre todo en Norteamérica; subidas de precio en comercial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aranceles sobre el acero o el cobre</w:t>
            </w:r>
          </w:p>
        </w:tc>
      </w:tr>
    </w:tbl>
    <w:p>
      <w:pPr>
        <w:spacing w:after="160" w:before="0"/>
      </w:pPr>
    </w:p>
    <w:p>
      <w:pPr>
        <w:pStyle w:val="Heading2"/>
      </w:pPr>
      <w:r>
        <w:t xml:space="preserve">Pre-mortem</w:t>
      </w:r>
    </w:p>
    <w:p>
      <w:pPr>
        <w:spacing w:after="100"/>
      </w:pPr>
      <w:r>
        <w:t xml:space="preserve">Octubre de 2027: la acción vale 260 USD. Carrier, Trane y Daikin respondieron a las bajadas de precio de Lennox, el margen residencial se quedó en el 17-18 % y la reposición no volvió; el BPA de 2027 quedó en 20 USD y el mercado siguió pagando 13 veces. La señal: el margen residencial del 4T26 y del 1T27 sin mejorar.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Pequeño: el negocio de centros de datos (refrigeración) es una parte menor del comercial</w:t>
      </w:r>
    </w:p>
    <w:p>
      <w:pPr>
        <w:spacing w:after="100"/>
      </w:pPr>
      <w:r>
        <w:t xml:space="preserve">La inteligencia artificial no amenaza la venta de equipos de climatización; la oportunidad está en la refrigeración de centros de datos, donde Lennox llega tarde frente a Vertiv, Trane y Modine [B].</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Refrigerantes y emisiones en uso</w:t>
      </w:r>
      <w:r>
        <w:t xml:space="preserve">: casi todo el impacto climático de un equipo está en la electricidad que consume y en las fugas de refrigerante; la ley AIM obliga a pasar a refrigerantes de menor potencial y reduce los HFC al 30 % de la base en 2029, lo que obliga a rediseñar gamas pero da subidas de precio (precio y mezcla +9 % en 2025) [1, 30]. </w:t>
      </w:r>
      <w:r>
        <w:rPr>
          <w:b/>
        </w:rPr>
        <w:t xml:space="preserve">Eficiencia y bombas de calor</w:t>
      </w:r>
      <w:r>
        <w:t xml:space="preserve">: las normas del Departamento de Energía y la electrificación desplazan la demanda hacia equipos más caros (bombas de calor, 47 % de los envíos de 2025) [1, 17]. </w:t>
      </w:r>
      <w:r>
        <w:rPr>
          <w:b/>
        </w:rPr>
        <w:t xml:space="preserve">Seguridad laboral y relaciones laborales</w:t>
      </w:r>
      <w:r>
        <w:t xml:space="preserve">: 12.900 empleados, 3.400 sindicados; el convenio quinquenal de la planta de Marshalltown se firmó en noviembre de 2021 y toca renovarlo en 2026 [1].</w:t>
      </w:r>
    </w:p>
    <w:p>
      <w:pPr>
        <w:pStyle w:val="Heading2"/>
      </w:pPr>
      <w:r>
        <w:t xml:space="preserve">Controversias</w:t>
      </w:r>
    </w:p>
    <w:p>
      <w:pPr>
        <w:spacing w:after="100"/>
      </w:pPr>
      <w:r>
        <w:t xml:space="preserve">No hay sanciones de reguladores en los últimos tres años en las fuentes primarias. Hay litigios recurrentes por amianto (provisión de 18,6 M USD a cierre de 2025, frente a 15,8 M) y gastos de saneamiento ambiental en algunas plantas y en lugares del programa Superfund, que la empresa no considera materiales [1]. En el 3T26 registró 5,4 M USD de cargos por litigios especiales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ha recuperado con las bajadas de precio en residencial y cuándo dejarán de restar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caso base y el bajista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inventario de R-454B quedan en la distribución?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cuándo vuelve el volumen [B].</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residencial supone la guía del 4T26 (BPA de 3,11-3,61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Punto de partida de 2027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provisiones o costes legales prevé por la demanda antimonopolio?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no estima la pérdida posible [C].</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del 2T (29-jul) el ánimo pasa de las apuestas alcistas con opciones de mayo-julio a «una paliza» y apuestas bajistas en septiembre («los próximos resultados serán malos»); desde agosto, avisos casi semanales de mínimo de 52 semanas. El 28-oct domina el fallo del BPA y el recorte de la guía, con volumen muy por encima de lo normal; solo una minoría compra por sobreventa o porque «el aire acondicionado no va a desaparecer»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giran de «valoración demasiado caliente» (junio) y «aún no se ha enfriado bastante» (julio) a «negocio en el sitio correcto» (agosto) y «empezando a gustarme la idea» (21-oct). Las noticias van en contra: rebaja de Goldman Sachs (14-oct), entre las grandes industriales de peor impulso (septiembre) y caída a nuevo mínimo anual tras el 3T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(noticias y resumen del día)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titulares de octubre es una cadena de recortes de precio objetivo y rebajas de recomendación, con alguna casa que mantiene comprar. El resumen del 28-oct pesa más lo negativo (beneficio por debajo de lo esperado, guía recortada, precios para defender cuota en residencial) que lo positivo (ventas al alza y demanda comercial)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(claves de la conferencia del 3T)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largo plazo: la dirección cambia margen por volumen en residencial para recuperar cuota, renueva la gama de entrada con lo aprendido de Heat Controller y apuesta por el comercial; destaca que el plan de recuperación para 2027 no depende de que el mercado mejore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(comentario)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«¿Ganga o trampa de valor?»: la valoración es razonable y el comercial va bien, pero la acción no tiene motivo para subir hasta que el volumen residencial gire, y ese giro se aplaza; la gente repara en vez de sustituir y el cambio de refrigerante adelantó compras [78,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24/7 Wall St y Simply Wall St (vía Yahoo Finanzas)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3T, unos subrayan que los aranceles y la inflación de costes ya recortan la capacidad de beneficio, no solo el margen, y que el riesgo es que el mercado norteamericano vaya peor de lo supuesto [80]; otros, con modelos de flujos descontados, ven la acción claramente por debajo de su valor, aunque admiten que el mercado desconfía de los márgenes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Residencial: volúmenes débiles y reposición aplazada (reparar en vez de sustituir)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del problema y los foros tienen razón en el diagnóstico: la caída de unidades está en Home Comfort Solutions y la propia dirección reconoce que la recuperación se va a 2027 [77, 78]. Donde exageran es en tratarlo como pérdida permanente: la base instalada envejece y la sustitución aplazada se recupera, pero el informe no puede fechar el giro.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y pérdida de cuota en residencial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 nuevo del 3T y el que más pesa en la caída: la dirección admite que bajó precios por regiones para defender cuota y que eso redujo la realización de precios cuando suben los aranceles [77, 80]. Es un riesgo que el análisis del 15-oct no recogía: si la cuota se perdió frente a marcas de gama de entrada, el poder de fijar precios, base de la tesis de calidad, queda en duda.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 inflación de costes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los cita entre las causas del recorte de la guía y dice que cambia sus procesos para trasladar costes con más rapidez [80]. Es un efecto que se puede corregir con precio, a diferencia de la cuota: los foros lo mezclan con el problema de demanda.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 (Building Climate Solutions) y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sostienen los alcistas: el comercial crece con fuerza por reposición de urgencia y cuentas nacionales [77, 79]. Los particulares sobrevaloran el tirón de los centros de datos, donde Lennox pesa poco: el mismo día que Goldman Sachs rebajó a Lennox subió a Trane, con el argumento de la refrigeración a gran escala [63, 75].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ganga o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comentaristas de valor ven la acción barata por PER y por flujos descontados [78, 81]; los particulares y las casas de análisis esperan pruebas de que el volumen gira [76]. El informe debe contrastarlo con su propio DCF y con la guía nueva, no con las valoraciones que circulan.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de recuperación para 2027 sin depender del mercado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promete crecer en EBIT y BPA en 2027 con ahorro de costes y la gama de entrada, aunque el mercado no mejore [77]. El mercado lo descuenta poco tras dos recortes de guía en tres meses; es el catalizador a vigilar en la guía de 2027 (enero-febrero).</w:t>
            </w:r>
          </w:p>
        </w:tc>
      </w:tr>
    </w:tbl>
    <w:p>
      <w:pPr>
        <w:spacing w:after="160" w:before="0"/>
      </w:pPr>
    </w:p>
    <w:p>
      <w:pPr>
        <w:spacing w:after="100"/>
      </w:pPr>
      <w:r>
        <w:t xml:space="preserve">El sentimiento está cerca de la capitulación entre los particulares: mínimos de 52 semanas en serie, apuestas bajistas que acertaron y casi nadie defendiendo la acción tras el 3T. Las casas de análisis van recortando objetivos, pero sin abandonar en bloque, y empiezan a aparecer artículos de valor que la ven barata. Lo que aporta a la decisión es un riesgo nuevo: el debate ya no es solo de ciclo (volumen residencial aplazado), sino de cuota y precios en residencial, que toca la tesis de calidad. Si las cifras del informe confirman que el margen cae por precio y no solo por volumen, el pesimismo está justificado; si es sobre todo ciclo y aranceles, el sentimiento extremo es la oportunidad. Para comprar conviene esperar a ver la cuota y la guía de 2027.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81 (50 primarias); citas distintas en el texto: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10,4 % en 2033e frente al 12,3 %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23,5 % frente a 24,7 % real: genera una variación de circulante de 11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13,1 %: para comprar o ampliar hace falta motivo de negocio propio; para mantener basta la vigente. Explicación: La v2 (historia del PER al cierre) da +13,1 %, Mantener: no es compra robusta (nivel A). Con calidad completa y la v2 y el BPA −10 % en Mantener, es compra de nivel B1 hasta 340,08 USD; la robusta pide un precio por debajo de 323,62 USD.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fuentes (50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3T26 (28-oct-2026)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(investor.lennox.com, bloqueada por Akamai en el análisis anterior) y EDGAR (no se presenta); 2) búsquedas de la transcripción en MarketBeat, Insider Monkey, roic.ai y Seeking Alpha: solo aparecen la del 3T25 y la vista previa del 3T26; 3) resúmenes de prensa de StockTaper y goldesel (el primero no abre y el segundo es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4T24 y del 4T25 y comparación con el consenso de 2024-1T26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4T25 y 3T25 (no separan compras en el 4T25 ni dan orgánico del grupo); 2) 10-K 2025 (puente de ventas anual, no trimestral); 3) MarketBeat (solo da el consenso del 2T26 y del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EV/EBITDA pagado en Duro Dyne, Supco, Heat Controller y AES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del 3T26 (no publican el EBITDA de las compradas); 2) notas de prensa de las compras (no dan múltiplo); 3) búsqueda de prensa (cifras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y cuotas de mercado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Lennox, Carrier y Trane (no publican cuota); 2) Ken Research y MarketsandMarkets (tablas de cuotas vacías o de pago); 3) AHRI (solo datos del conjunto del sector, no por fabricante)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cuota de Lennox estimada sobre el mercado de MarketsandMarkets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AHRI de 2022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diciembre de 2022 de AHRI (enlace caído, 404); 2) hoja de cálculo de diciembre de 2022 (404); 3) informe de diciembre de 2023, que trae 2022 como comparativo (acceso denegado)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serie salta de 2021 a 2023</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proxy 2026 (sin calificaciones); 2) Sustainalytics (la página pública no trae la nota); 3) MSCI ESG Ratings (requiere JavaScript, sin dato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 de Carrier y Trane sobre el residencial en 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(sin 8-K de resultados del 3T26 de Carrier ni de Trane a 29-oct); 2) búsqueda de notas de prensa del 3T26 (solo aparecen las del 3T25); 3) se usa su 2T26 y el 3T26 de Watsco, publicado el 27-oct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último trimestre publicado (2T26)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revisado tras los resultados del 28-oct (BPA 2026-2028, objetivos y cambios de recomendación del 28-29 oct)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quoteSummary/earningsTrend el 29-oct a las 8:40 UTC (BPA 2026e 23,38, sin recoger la guía de 21,00-21,50); 2) MarketBeat, previsiones y resultados (sin cambios de recomendación desde el 15-oct; estimaciones antiguas); 3) Seeking Alpha RSS (solo titulares del día, sin cifras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el consenso previo con su fecha y se avisa; reconsultar antes de cerrar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EBIT del consenso y BPA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BPA y ventas a dos años); 2) MarketBeat (solo BPA por trimestre y año, hasta 2027); 3) MarketScreener (en informes anteriores llevaba a otra empresa; no se repite)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las compras de Lennox (Heat Controller, Duro Dyne y Supco), de FläktGroup y de la refrigeración de Carrier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3T26 y 10-K 2025 (precio, sin EBITDA de las compradas); 2) notas de prensa de FläktGroup y Carrier (precio sin ventas ni EBITDA); 3) prensa sectorial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de transacciones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 caída del 15-abr-2026 (−6,9 %)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RSS (solo desde el 29-abr); 2) búsqueda web de la fecha (sin resultado); 3) MarketBeat, cambios de recomendación (ninguno ese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movimiento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(nota 2 cambio de LIFO a FIFO; nota 3 segmentos; nota 8 ingresos por geografía; deuda, rating, recompras; informe de auditoría de 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https://www.sec.gov/Archives/edgar/data/1069202/000106920226000028/lii-20251231.htm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y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https://data.sec.gov/api/xbrl/companyfacts/CIK0001069202.json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2026 Third Quarter Earnings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https://www.sec.gov/Archives/edgar/data/1069202/000106920226000094/lii-20260930xexx991pressre.htm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3T26 (deuda, compra de Heat Controller, aranceles, garantías,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https://www.sec.gov/Archives/edgar/data/1069202/000106920226000096/lii-20260930.htm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2026 Second Quarter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https://www.sec.gov/Archives/edgar/data/1069202/000106920226000085/lii-20260630xexx991pressre.htm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(devolución de aranceles IEEPA, puente de ventas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https://www.sec.gov/Archives/edgar/data/1069202/000106920226000087/lii-20260630.htm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2026 First Quarter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https://www.sec.gov/Archives/edgar/data/1069202/000106920226000052/lii-20260331xexx991pressre.htm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1T26 (puente de ventas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https://www.sec.gov/Archives/edgar/data/1069202/000106920226000054/lii-20260331.htm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Fourth Quarter and Full Year 2025 Results; Provides Full Year 2026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https://www.sec.gov/Archives/edgar/data/1069202/000106920226000005/lii-20251231xexx991pressre.htm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https://www.sec.gov/Archives/edgar/data/1069202/000106920225000046/lii-2025930xexx991pressrel.htm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(segmentos reexpresados 2021-2023, venta de Europa)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https://www.sec.gov/Archives/edgar/data/1069202/000162828024004446/lii-20231231.htm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(conciliación del resultado de segmentos 2019-2021)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https://www.sec.gov/Archives/edgar/data/1069202/000162828022002664/lii-20211231.htm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(conciliación del resultado de segmentos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https://www.sec.gov/Archives/edgar/data/1069202/000162828023004257/lii-20221231.htm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2018 (conciliación del resultado de segmentos 2016-2018, ventas de negocios)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https://www.sec.gov/Archives/edgar/data/1069202/000106920219000008/lii-20181231x10k.htm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https://www.marketbeat.com/earnings/reports/2026-7-29-lennox-international-inc-stock/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Q3 2026 earnings preview (consenso de BPA y ventas, tomado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https://www.marketbeat.com/earnings/reports/2026-10-28-lennox-international-inc-stock/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 Releases December 2025 U.S. Heating and Cooling Equipment Shipment Data (años completos 2025,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Air-Conditioning, Heating, and Refrigeration Institute (AHRI)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https://www.ahrinet.org/sites/default/files/2026-02/December2025StatisticalRelease.pdf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 Releases August 2026 U.S. Heating and Cooling Equipment Shipment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Air-Conditioning, Heating, and Refrigeration Institute (AHRI)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https://www.ahrinet.org/sites/default/files/2026-10/August2026StatisticalRelease.pdf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 Releases December 2021 U.S. Heating and Cooling Equipment Shipment Data (2021, 2020 y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Air-Conditioning, Heating, and Refrigeration Institute (AHRI)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https://www.ahrinet.org/sites/default/files/2023-02/December2021Stats.pdf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 America HVAC System Market worth 57,6 billion USD by 2030 (42.200 M USD en 2025, +6,4 %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https://www.marketsandmarkets.com/PressReleases/north-america-hvac-system.asp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HVAC Equipment Market is projected to grow to 41,22 billion USD by 2033 (ResearchAndMarkets: 22.440 M USD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Contracting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https://contractingbusiness.com/industry-news/article/55299773/us-hvac-equipment-market-is-projected-to-grow-to-4122-billion-by-2033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Residential HVAC Systems Market Report 2025-2030 (≈15.000 M USD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https://www.kenresearch.com/industry-reports/us-residential-hvac-systems-market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Watsco Reports Record Third Quarter Sales, Strong Cash Flow and Improving Demand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Watsco,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https://www.sec.gov/Archives/edgar/data/105016/000119312526432680/wso-ex99_1.htm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resultados del 2T26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https://www.sec.gov/Archives/edgar/data/1783180/000178318026000030/a99-q22026earningsexhibit.htm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https://www.sec.gov/Archives/edgar/data/1466258/000162828026050743/exhibit991-q22026earningsr.htm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AAON: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AAON,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https://www.sec.gov/Archives/edgar/data/824142/000082414226000052/liveaaonpressreleaseexs.htm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cuentas XBRL 2023-2025 (ventas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https://data.sec.gov/api/xbrl/companyfacts/CIK0001783180.json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cuentas XBRL 2023-2025 (ventas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https://data.sec.gov/api/xbrl/companyfacts/CIK0001466258.json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Transitions HFC Restrictions by Sector (actualizada el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Environmental Protection Agency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https://www.epa.gov/hfcs/technology-transitions-hfc-restrictions-sector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Transitions Program: fact sheet (reducción de HFC y regla de 2023; aviso de la revisión del 26-may-2026)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Environmental Protection Agency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https://www.epa.gov/system/files/documents/2026-05/technology-transitions-final-rule-fact-sheet-updated-may-2026.pdf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Residential Construction, September 2026 (CB26-162)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https://www.census.gov/construction/nrc/pdf/newresconst.pdf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(LII) Q3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gloom.sh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https://gloom.sh/stocks/lii/transcripts/q3-2026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Lennox International (LII) Said on Its Q3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https://www.marketbeat.com/instant-alerts/transcript-what-lennox-international-lii-said-on-its-q3-earnings-call-2026-10-28/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Completes Sale of Residential and Light Commercial HVAC Business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International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https://www.sec.gov/Archives/edgar/data/833444/000083344425000058/a8-k2025x08x01ex991.htm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Watsco: cuentas XBRL 2023-2025 (ventas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https://data.sec.gov/api/xbrl/companyfacts/CIK0000105016.json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AAON: cuentas XBRL 2023-2025 (ventas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https://data.sec.gov/api/xbrl/companyfacts/CIK0000824142.json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cuentas XBRL del ejercicio a septiembre de 2025 (ventas, coste de ventas y gastos generales)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https://data.sec.gov/api/xbrl/companyfacts/CIK0000833444.json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(TYO:6367): cuenta de resultados, ejercicio a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https://stockanalysis.com/quote/tyo/6367/financials/income-statement/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Cooling equipment shipment growth hits 7-month streak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ACHR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https://www.achrnews.com/articles/166784-cooling-equipment-shipment-growth-hits-7-month-streak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to acquire Viessmann Climate in 12 billion USD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Weiss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https://www.paulweiss.com/insights/client-news/carrier-to-acquire-viessmann-climate-in-12-billion-deal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de 2025, ratio salarial, participaciones significativas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https://www.sec.gov/Archives/edgar/data/1069202/000106920226000046/lii-20260406.htm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21-may-2026 y dimisión de un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https://www.sec.gov/Archives/edgar/data/1069202/000106920226000076/lii-20260521.htm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22-may-2025 y nombramiento de Tracy A. Embree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https://www.sec.gov/Archives/edgar/data/1069202/000106920225000024/lii-20250522.htm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16-may-2024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https://www.sec.gov/Archives/edgar/data/1069202/000162828024024385/lii-20240516.htm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presentados entre el 1-oct-2025 y el 29-oct-2026 (41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https://www.sec.gov/cgi-bin/browse-edgar?action=getcompany&amp;CIK=0001069202&amp;type=4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1) de John W. Norris, III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https://www.sec.gov/Archives/edgar/data/1069202/000113903225000004/xslSCHEDULE_13D_X01/primary_doc.xml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Viking Global Investors LP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https://www.sec.gov/Archives/edgar/data/1069202/000090514826001792/xslSCHEDULE_13G_X02/primary_doc.xml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https://www.sec.gov/Archives/edgar/data/1069202/000210011926000756/xslSCHEDULE_13G_X02/primary_doc.xml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(participación separada por gestoras)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https://www.sec.gov/Archives/edgar/data/1069202/000010290926001654/xslSCHEDULE_13G_X02/primary_doc.xml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2T25 (8-K, anexo 99.1): guía 2025 subida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https://www.sec.gov/Archives/edgar/data/1069202/000106920225000029/lii-2025630xexx991pressrel.htm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https://www.sec.gov/Archives/edgar/data/1069202/000106920225000015/lii-2025331xexx991pressrel.htm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4T24 y del año 2024, guía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https://www.sec.gov/Archives/edgar/data/1069202/000162828025002910/lii-20241231xexx991pressre.htm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4T23 y del año 2023, guía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https://www.sec.gov/Archives/edgar/data/1069202/000162828024002634/lii-20231231xexx991pressre.htm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4T22 y del año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https://www.sec.gov/Archives/edgar/data/1069202/000119312523019706/d457144dex991.htm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4T21 y guía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https://www.sec.gov/Archives/edgar/data/1069202/000119312522024009/d93654dex991.htm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Announces 2023 Financial Guidance and Long-Term Targets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https://investor.lennox.com/node/26336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nuevo modelo de contrato de incentivos a largo plazo para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https://www.sec.gov/Archives/edgar/data/1069202/000106920226000091/lii-20260916.htm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LII, SPY y XLI hasta el 28-oct-2026 (bolsa.mjs y movimiento.mjs): precio, rentabilidades, betas,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https://finance.yahoo.com/quote/LII/history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quoteSummary (earningsTrend, recomendaciones, objetivos, cambios de recomendación, posición corta a 15-oct-2026), consultado el 29-oct-2026 a las 8:40 UTC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https://finance.yahoo.com/quote/LII/analysis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4T19 y del ejercicio 2019 (BPA ajustado 11,19 en 2019 y 9,52 en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https://www.sec.gov/Archives/edgar/data/1069202/000106920220000002/ex-991pressreleasetabl.htm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4T17 y del ejercicio 2017 (BPA ajustado 7,92 en 2017 y 6,95 en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https://www.sec.gov/Archives/edgar/data/1069202/000119312518032739/d513321dex991.htm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previsiones, objetivos y cambios de recomendación; historial de resultados frente al consenso (3T26: 6,84 frente a 7,33)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https://www.marketbeat.com/stocks/NYSE/LII/forecast/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Lennox (resultados del 3T26 y caída del 11 % el 28-oct; Goldman Sachs rebaja a Lennox y Carrier, 14-oct; venta del sector por el bono, 18-ago; recorte del 2T, 29-jul)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https://seekingalpha.com/api/sa/combined/LII.xml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al 5,05 % 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Building Materials, beta desapalancada corregida por caja 0,96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Lennox, Trane, Carrier, Johnson Controls, Daikin, AAON, Watsco, A. O. Smith, NIBE y Modine (precio, capitalización, deuda, caja, EBITDA y FCF de los últimos 12 meses, consenso de BPA y ventas) a 28/29-oct-2026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y fundamentals-timeseries)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Announces Portfolio Transformation (compra de Viessmann Climate Solutions por 12.000 M EUR; ≈700 M EUR de EBITDA y ≈4.000 M EUR de ventas previstos en 2023; ≈13 veces el EBITDA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 SEC EDGAR (Exhibit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https://www.sec.gov/Archives/edgar/data/1783180/000095014223001199/eh230352694_ex9901.htm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Bosch acquires residential and light commercial HVAC business from Johnson Controls and Hitachi (8.000 M USD, 7.400 M EUR; ≈4.000 M EUR de ventas en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Contractor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https://www.contractormag.com/around-the-web/article/55129010/bosch-acquires-residential-and-light-commercial-hvac-business-from-johnson-controls-and-hitachi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completes 775M sale of its Commercial Refrigeration business to Haier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https://www.corporate.carrier.com/news/news-articles/202410_carrier-completes-775m-sale-commercial-refrigeration-business-haier.html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to acquire FläktGroup from Triton (1.500 M EUR; valor empresa de 1.800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FläktGroup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https://www.flaktgroup.com/en/news/news-archive/2025/may/samsung-to-acquire-flaktgroup-from-triton/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LII Stock Falls -15% In 9-day Spree On Morgan Stanley's Downside Warning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https://www.trefis.com/stock/lii/articles2/593529/lii-stock-falls-15-in-9-day-spree-on-morgan-stanleys-downside-warning/2026-03-13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Lennox Stock Crashed Today (29-jul-2026: −19,9 % tras el 2T26 y el recorte de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https://www.nasdaq.com/articles/why-lennox-stock-crashed-today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HVAC stocks slide as price-fixing lawsuit raises fresh 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https://seekingalpha.com/news/4569533-hvac-stocks-slide-as-price-fixing-lawsuit-raises-fresh-risk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$LII (60 mensajes, febrero a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https://api.stocktwits.com/api/2/streams/symbol/LII.json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(LII) news: titulares y «Why is Lennox International dropping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https://www.marketbeat.com/stocks/NYSE/LII/news/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3 key takeaways for long-term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https://www.fool.com/earnings/takeaways/2026/10/28/lennox-3-key-takeaways-for-long-term-investors/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is down 38% and trading at 52-week lows. Bargain or value trap?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https://www.insidermonkey.com/news/lennox-is-down-38-and-trading-at-52-week-lows-bargain-or-value-trap-1839183/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(LII) trains an army of technicians while housing lags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https://www.insidermonkey.com/news/lennox-lii-trains-an-army-of-technicians-while-housing-lags-1840758/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Q3 2026: tariffs trigger a sharp guidance cut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https://247wallst.com/cards/lennox-international-q3-2026-earnings-lii-01m612b4ty2yd3ec3a3y0z8nrt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(LII) stock may be undervalued after margin pressure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Finanzas)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https://finance.yahoo.com/markets/stocks/articles/lennox-lii-stock-may-44-181018242.html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90,0 %</w:t>
      </w:r>
      <w:r>
        <w:t xml:space="preserve"> · Secciones con menos del 60 % de campos cubiertos: </w:t>
      </w:r>
      <w:r>
        <w:rPr>
          <w:b/>
          <w:bCs/>
        </w:rPr>
        <w:t xml:space="preserve">ninguna</w:t>
      </w:r>
      <w:r>
        <w:t xml:space="preserve"> · Generado el 29 oct 2026.</w:t>
      </w:r>
    </w:p>
    <w:p>
      <w:pPr>
        <w:pStyle w:val="Nota"/>
        <w:spacing w:after="100"/>
      </w:pPr>
      <w:r>
        <w:t xml:space="preserve">Se valora la acción de Lennox en la Bolsa de Nueva York (LII), en dólares, al cierre del 28-oct-2026 (332,64 USD, mínimo de 52 semanas): la sesión del 29 no había abierto al corte [D]. Acciones: 34,31 M diluidas (10-Q del 3T26) [D]. El puente es el balance de 30-sep-2026, con la compra de Heat Controller ya dentro [A, D]. El BPA de los escenarios y el de la historia del PER es el ajustado que publica la empresa (sin reestructuración, litigios especiales, costes de compras ni plusvalías; con la amortización de intangibles) [A, D]. El BPA ajustado de 2026 incluye una devolución de aranceles de 30 M USD en el 2T26 que la empresa no ajusta (≈0,65 USD por acción, cálculo propio) [A]. El cambio de LIFO a FIFO del 4T25 reexpresa 2023-2025; 2016-2022 siguen en LIFO (≈140 M menos de existencias) y el BPA ajustado de 2023 de la historia del PER es el publicado con LIFO [A, D]. La transcripción de la conferencia del 3T26 no estaba publicada: lo que dijo la dirección sale de la nota de prensa y del 10-Q [A]. El consenso del corte (Yahoo, 29-oct a primera hora) aún no recoge la guía nueva [D]. El análisis del 15-oct se hizo sin investigación por partes y con resúmenes de terceros; este lo sustituye con cuentas de EDGAR.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Lennox International Inc. (LII)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332,64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(325,70 – 587,27)</c:v>
                </c:pt>
                <c:pt idx="1">
                  <c:v>Precio objetivo de los analistas (350,00 – 560,00)</c:v>
                </c:pt>
                <c:pt idx="2">
                  <c:v>Comparables: PER NTM (480,54 – 592,60)</c:v>
                </c:pt>
                <c:pt idx="3">
                  <c:v>DCF (WACC y g ± 0,5) (273,81 – 357,93)</c:v>
                </c:pt>
                <c:pt idx="4">
                  <c:v>Escenarios (bajista – alcista) (224,52 – 353,45)</c:v>
                </c:pt>
                <c:pt idx="5">
                  <c:v>DCF con la prima implícita del mercado (4,2 %)</c:v>
                </c:pt>
                <c:pt idx="6">
                  <c:v>Precio actual (332,64)</c:v>
                </c:pt>
              </c:strCache>
            </c:strRef>
          </c:cat>
          <c:val>
            <c:numRef>
              <c:f>Hoja1!$B$2:$B$8</c:f>
              <c:numCache>
                <c:formatCode>#,##0</c:formatCode>
                <c:ptCount val="7"/>
                <c:pt idx="0">
                  <c:v>325.7</c:v>
                </c:pt>
                <c:pt idx="1">
                  <c:v>350</c:v>
                </c:pt>
                <c:pt idx="2">
                  <c:v>480.54</c:v>
                </c:pt>
                <c:pt idx="3">
                  <c:v>273.81</c:v>
                </c:pt>
                <c:pt idx="4">
                  <c:v>224.52</c:v>
                </c:pt>
                <c:pt idx="5">
                  <c:v>349.6</c:v>
                </c:pt>
                <c:pt idx="6">
                  <c:v>330.98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(325,70 – 587,27)</c:v>
                </c:pt>
                <c:pt idx="1">
                  <c:v>Precio objetivo de los analistas (350,00 – 560,00)</c:v>
                </c:pt>
                <c:pt idx="2">
                  <c:v>Comparables: PER NTM (480,54 – 592,60)</c:v>
                </c:pt>
                <c:pt idx="3">
                  <c:v>DCF (WACC y g ± 0,5) (273,81 – 357,93)</c:v>
                </c:pt>
                <c:pt idx="4">
                  <c:v>Escenarios (bajista – alcista) (224,52 – 353,45)</c:v>
                </c:pt>
                <c:pt idx="5">
                  <c:v>DCF con la prima implícita del mercado (4,2 %)</c:v>
                </c:pt>
                <c:pt idx="6">
                  <c:v>Precio actual (332,64)</c:v>
                </c:pt>
              </c:strCache>
            </c:strRef>
          </c:cat>
          <c:val>
            <c:numRef>
              <c:f>Hoja1!$C$2:$C$8</c:f>
              <c:numCache>
                <c:formatCode>#,##0</c:formatCode>
                <c:ptCount val="7"/>
                <c:pt idx="0">
                  <c:v>261.57</c:v>
                </c:pt>
                <c:pt idx="1">
                  <c:v>210</c:v>
                </c:pt>
                <c:pt idx="2">
                  <c:v>112.06</c:v>
                </c:pt>
                <c:pt idx="3">
                  <c:v>84.12</c:v>
                </c:pt>
                <c:pt idx="4">
                  <c:v>128.92999999999998</c:v>
                </c:pt>
                <c:pt idx="5">
                  <c:v>72.66999999999996</c:v>
                </c:pt>
                <c:pt idx="6">
                  <c:v>3.319999999999993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Home Comfort Solutions (residencial)</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2775.6</c:v>
                </c:pt>
                <c:pt idx="1">
                  <c:v>3198.3</c:v>
                </c:pt>
                <c:pt idx="2">
                  <c:v>3222.9</c:v>
                </c:pt>
                <c:pt idx="3">
                  <c:v>3577.1</c:v>
                </c:pt>
                <c:pt idx="4">
                  <c:v>3343.4</c:v>
                </c:pt>
              </c:numCache>
            </c:numRef>
          </c:val>
        </c:ser>
        <c:ser>
          <c:idx val="1"/>
          <c:order val="1"/>
          <c:tx>
            <c:strRef>
              <c:f>Hoja1!$C$1</c:f>
              <c:strCache>
                <c:ptCount val="1"/>
                <c:pt idx="0">
                  <c:v>Building Climate Solutions (comercial y refrigeración)</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1188.8</c:v>
                </c:pt>
                <c:pt idx="1">
                  <c:v>1286.4</c:v>
                </c:pt>
                <c:pt idx="2">
                  <c:v>1511.4</c:v>
                </c:pt>
                <c:pt idx="3">
                  <c:v>1764.2</c:v>
                </c:pt>
                <c:pt idx="4">
                  <c:v>1851.9</c:v>
                </c:pt>
              </c:numCache>
            </c:numRef>
          </c:val>
        </c:ser>
        <c:ser>
          <c:idx val="2"/>
          <c:order val="2"/>
          <c:tx>
            <c:strRef>
              <c:f>Hoja1!$D$1</c:f>
              <c:strCache>
                <c:ptCount val="1"/>
                <c:pt idx="0">
                  <c:v>Corporativo y Europa (vendida en el 4T23)</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229.7</c:v>
                </c:pt>
                <c:pt idx="1">
                  <c:v>233.7</c:v>
                </c:pt>
                <c:pt idx="2">
                  <c:v>247.6</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Home Comfort Solutions (residencial)</c:v>
                </c:pt>
                <c:pt idx="1">
                  <c:v>Building Climate Solutions (comercial y refrigeración)</c:v>
                </c:pt>
                <c:pt idx="2">
                  <c:v>Corporativo y Europa (vendida en el 4T23)</c:v>
                </c:pt>
              </c:strCache>
            </c:strRef>
          </c:cat>
          <c:val>
            <c:numRef>
              <c:f>Hoja1!$B$2:$B$4</c:f>
              <c:numCache>
                <c:formatCode>General</c:formatCode>
                <c:ptCount val="3"/>
                <c:pt idx="0">
                  <c:v>64.4</c:v>
                </c:pt>
                <c:pt idx="1">
                  <c:v>35.6</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c:v>
                </c:pt>
              </c:strCache>
            </c:strRef>
          </c:cat>
          <c:val>
            <c:numRef>
              <c:f>Hoja1!$B$2:$B$3</c:f>
              <c:numCache>
                <c:formatCode>0"%"</c:formatCode>
                <c:ptCount val="2"/>
                <c:pt idx="0">
                  <c:v>92.8</c:v>
                </c:pt>
                <c:pt idx="1">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unidades (envíos de aire acondicionado central y bomba de calor a EE. UU., AHRI; sin 2022))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2019</c:v>
                </c:pt>
                <c:pt idx="1">
                  <c:v>2020</c:v>
                </c:pt>
                <c:pt idx="2">
                  <c:v>2021</c:v>
                </c:pt>
                <c:pt idx="3">
                  <c:v>2023</c:v>
                </c:pt>
                <c:pt idx="4">
                  <c:v>2024</c:v>
                </c:pt>
                <c:pt idx="5">
                  <c:v>2025</c:v>
                </c:pt>
              </c:strCache>
            </c:strRef>
          </c:cat>
          <c:val>
            <c:numRef>
              <c:f>Hoja1!$B$2:$B$7</c:f>
              <c:numCache>
                <c:formatCode>#,##0</c:formatCode>
                <c:ptCount val="6"/>
                <c:pt idx="0">
                  <c:v>8470</c:v>
                </c:pt>
                <c:pt idx="1">
                  <c:v>9329</c:v>
                </c:pt>
                <c:pt idx="2">
                  <c:v>10199</c:v>
                </c:pt>
                <c:pt idx="3">
                  <c:v>8657</c:v>
                </c:pt>
                <c:pt idx="4">
                  <c:v>9682</c:v>
                </c:pt>
                <c:pt idx="5">
                  <c:v>7750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Lennox</c:v>
                </c:pt>
                <c:pt idx="1">
                  <c:v>Carrier Global</c:v>
                </c:pt>
                <c:pt idx="2">
                  <c:v>Trane Technologies</c:v>
                </c:pt>
                <c:pt idx="3">
                  <c:v>Daikin Industries (Goodman, Amana)</c:v>
                </c:pt>
                <c:pt idx="4">
                  <c:v>Johnson Controls</c:v>
                </c:pt>
                <c:pt idx="5">
                  <c:v>Watsco (distribuidor)</c:v>
                </c:pt>
                <c:pt idx="6">
                  <c:v>AAON</c:v>
                </c:pt>
                <c:pt idx="7">
                  <c:v>Bosch (York, Luxaire, Coleman)</c:v>
                </c:pt>
                <c:pt idx="8">
                  <c:v>Paloma (Rheem, Ruud)</c:v>
                </c:pt>
              </c:strCache>
            </c:strRef>
          </c:cat>
          <c:val>
            <c:numRef>
              <c:f>Hoja1!$B$2:$B$10</c:f>
              <c:numCache>
                <c:formatCode>0.0"%"</c:formatCode>
                <c:ptCount val="9"/>
                <c:pt idx="0">
                  <c:v>20.2</c:v>
                </c:pt>
                <c:pt idx="1">
                  <c:v>10</c:v>
                </c:pt>
                <c:pt idx="2">
                  <c:v>18.6</c:v>
                </c:pt>
                <c:pt idx="3">
                  <c:v>8.3</c:v>
                </c:pt>
                <c:pt idx="4">
                  <c:v>12</c:v>
                </c:pt>
                <c:pt idx="5">
                  <c:v>9.9</c:v>
                </c:pt>
                <c:pt idx="6">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3641.6</c:v>
                </c:pt>
                <c:pt idx="1">
                  <c:v>3839.6</c:v>
                </c:pt>
                <c:pt idx="2">
                  <c:v>3883.9</c:v>
                </c:pt>
                <c:pt idx="3">
                  <c:v>3807.2</c:v>
                </c:pt>
                <c:pt idx="4">
                  <c:v>3634.1</c:v>
                </c:pt>
                <c:pt idx="5">
                  <c:v>4194.1</c:v>
                </c:pt>
                <c:pt idx="6">
                  <c:v>4718.4</c:v>
                </c:pt>
                <c:pt idx="7">
                  <c:v>4981.9</c:v>
                </c:pt>
                <c:pt idx="8">
                  <c:v>5341.3</c:v>
                </c:pt>
                <c:pt idx="9">
                  <c:v>5195.3</c:v>
                </c:pt>
                <c:pt idx="10">
                  <c:v>5507</c:v>
                </c:pt>
                <c:pt idx="11">
                  <c:v>5782</c:v>
                </c:pt>
                <c:pt idx="12">
                  <c:v>6071</c:v>
                </c:pt>
                <c:pt idx="13">
                  <c:v>6345</c:v>
                </c:pt>
                <c:pt idx="14">
                  <c:v>6598</c:v>
                </c:pt>
                <c:pt idx="15">
                  <c:v>6829</c:v>
                </c:pt>
                <c:pt idx="16">
                  <c:v>7034</c:v>
                </c:pt>
                <c:pt idx="17">
                  <c:v>7245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501.9</c:v>
                </c:pt>
                <c:pt idx="1">
                  <c:v>550.4000000000001</c:v>
                </c:pt>
                <c:pt idx="2">
                  <c:v>583.1999999999999</c:v>
                </c:pt>
                <c:pt idx="3">
                  <c:v>655.3000000000001</c:v>
                </c:pt>
                <c:pt idx="4">
                  <c:v>550.4</c:v>
                </c:pt>
                <c:pt idx="5">
                  <c:v>650.2</c:v>
                </c:pt>
                <c:pt idx="6">
                  <c:v>730.5</c:v>
                </c:pt>
                <c:pt idx="7">
                  <c:v>921.2</c:v>
                </c:pt>
                <c:pt idx="8">
                  <c:v>1129.1</c:v>
                </c:pt>
                <c:pt idx="9">
                  <c:v>1164.2</c:v>
                </c:pt>
                <c:pt idx="10">
                  <c:v>1129</c:v>
                </c:pt>
                <c:pt idx="11">
                  <c:v>1214</c:v>
                </c:pt>
                <c:pt idx="12">
                  <c:v>1305</c:v>
                </c:pt>
                <c:pt idx="13">
                  <c:v>1383</c:v>
                </c:pt>
                <c:pt idx="14">
                  <c:v>1438</c:v>
                </c:pt>
                <c:pt idx="15">
                  <c:v>1489</c:v>
                </c:pt>
                <c:pt idx="16">
                  <c:v>1533</c:v>
                </c:pt>
                <c:pt idx="17">
                  <c:v>1579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29.6</c:v>
                </c:pt>
                <c:pt idx="1">
                  <c:v>29.3</c:v>
                </c:pt>
                <c:pt idx="2">
                  <c:v>28.6</c:v>
                </c:pt>
                <c:pt idx="3">
                  <c:v>28.4</c:v>
                </c:pt>
                <c:pt idx="4">
                  <c:v>28.6</c:v>
                </c:pt>
                <c:pt idx="5">
                  <c:v>28.3</c:v>
                </c:pt>
                <c:pt idx="6">
                  <c:v>27.2</c:v>
                </c:pt>
                <c:pt idx="7">
                  <c:v>31.1</c:v>
                </c:pt>
                <c:pt idx="8">
                  <c:v>33.3</c:v>
                </c:pt>
                <c:pt idx="9">
                  <c:v>33.4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13.8</c:v>
                </c:pt>
                <c:pt idx="1">
                  <c:v>14.3</c:v>
                </c:pt>
                <c:pt idx="2">
                  <c:v>15</c:v>
                </c:pt>
                <c:pt idx="3">
                  <c:v>17.2</c:v>
                </c:pt>
                <c:pt idx="4">
                  <c:v>15.1</c:v>
                </c:pt>
                <c:pt idx="5">
                  <c:v>15.5</c:v>
                </c:pt>
                <c:pt idx="6">
                  <c:v>15.5</c:v>
                </c:pt>
                <c:pt idx="7">
                  <c:v>18.5</c:v>
                </c:pt>
                <c:pt idx="8">
                  <c:v>21.1</c:v>
                </c:pt>
                <c:pt idx="9">
                  <c:v>22.4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12.2</c:v>
                </c:pt>
                <c:pt idx="1">
                  <c:v>12.7</c:v>
                </c:pt>
                <c:pt idx="2">
                  <c:v>13.3</c:v>
                </c:pt>
                <c:pt idx="3">
                  <c:v>15.3</c:v>
                </c:pt>
                <c:pt idx="4">
                  <c:v>13.1</c:v>
                </c:pt>
                <c:pt idx="5">
                  <c:v>13.8</c:v>
                </c:pt>
                <c:pt idx="6">
                  <c:v>13.8</c:v>
                </c:pt>
                <c:pt idx="7">
                  <c:v>16.8</c:v>
                </c:pt>
                <c:pt idx="8">
                  <c:v>19.4</c:v>
                </c:pt>
                <c:pt idx="9">
                  <c:v>20.2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7.6</c:v>
                </c:pt>
                <c:pt idx="1">
                  <c:v>8</c:v>
                </c:pt>
                <c:pt idx="2">
                  <c:v>9.2</c:v>
                </c:pt>
                <c:pt idx="3">
                  <c:v>10.7</c:v>
                </c:pt>
                <c:pt idx="4">
                  <c:v>9.8</c:v>
                </c:pt>
                <c:pt idx="5">
                  <c:v>11.1</c:v>
                </c:pt>
                <c:pt idx="6">
                  <c:v>10.5</c:v>
                </c:pt>
                <c:pt idx="7">
                  <c:v>11.9</c:v>
                </c:pt>
                <c:pt idx="8">
                  <c:v>15.2</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16.5</c:v>
                </c:pt>
                <c:pt idx="1">
                  <c:v>2.4</c:v>
                </c:pt>
                <c:pt idx="2">
                  <c:v>3.4</c:v>
                </c:pt>
                <c:pt idx="3">
                  <c:v>-4.8</c:v>
                </c:pt>
                <c:pt idx="4">
                  <c:v>-11.2</c:v>
                </c:pt>
                <c:pt idx="5">
                  <c:v>5.8</c:v>
                </c:pt>
                <c:pt idx="6">
                  <c:v>3</c:v>
                </c:pt>
                <c:pt idx="7">
                  <c:v>10.2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1">
                  <c:v>2.4</c:v>
                </c:pt>
                <c:pt idx="2">
                  <c:v>3.4</c:v>
                </c:pt>
                <c:pt idx="3">
                  <c:v>-4.8</c:v>
                </c:pt>
                <c:pt idx="5">
                  <c:v>0.4</c:v>
                </c:pt>
                <c:pt idx="6">
                  <c:v>-1.1</c:v>
                </c:pt>
                <c:pt idx="7">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47</c:v>
                </c:pt>
                <c:pt idx="1">
                  <c:v>48</c:v>
                </c:pt>
                <c:pt idx="2">
                  <c:v>44</c:v>
                </c:pt>
                <c:pt idx="3">
                  <c:v>46</c:v>
                </c:pt>
                <c:pt idx="4">
                  <c:v>45</c:v>
                </c:pt>
                <c:pt idx="5">
                  <c:v>44</c:v>
                </c:pt>
                <c:pt idx="6">
                  <c:v>47</c:v>
                </c:pt>
                <c:pt idx="7">
                  <c:v>44</c:v>
                </c:pt>
                <c:pt idx="8">
                  <c:v>45</c:v>
                </c:pt>
                <c:pt idx="9">
                  <c:v>41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60</c:v>
                </c:pt>
                <c:pt idx="1">
                  <c:v>65</c:v>
                </c:pt>
                <c:pt idx="2">
                  <c:v>67</c:v>
                </c:pt>
                <c:pt idx="3">
                  <c:v>73</c:v>
                </c:pt>
                <c:pt idx="4">
                  <c:v>62</c:v>
                </c:pt>
                <c:pt idx="5">
                  <c:v>62</c:v>
                </c:pt>
                <c:pt idx="6">
                  <c:v>80</c:v>
                </c:pt>
                <c:pt idx="7">
                  <c:v>90</c:v>
                </c:pt>
                <c:pt idx="8">
                  <c:v>87</c:v>
                </c:pt>
                <c:pt idx="9">
                  <c:v>122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c:v>
                </c:pt>
                <c:pt idx="1">
                  <c:v>47</c:v>
                </c:pt>
                <c:pt idx="2">
                  <c:v>57</c:v>
                </c:pt>
                <c:pt idx="3">
                  <c:v>50</c:v>
                </c:pt>
                <c:pt idx="4">
                  <c:v>48</c:v>
                </c:pt>
                <c:pt idx="5">
                  <c:v>49</c:v>
                </c:pt>
                <c:pt idx="6">
                  <c:v>45</c:v>
                </c:pt>
                <c:pt idx="7">
                  <c:v>40</c:v>
                </c:pt>
                <c:pt idx="8">
                  <c:v>50</c:v>
                </c:pt>
                <c:pt idx="9">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289.59999999999997</c:v>
                </c:pt>
                <c:pt idx="1">
                  <c:v>226.8</c:v>
                </c:pt>
                <c:pt idx="2">
                  <c:v>400.3</c:v>
                </c:pt>
                <c:pt idx="3">
                  <c:v>284.1</c:v>
                </c:pt>
                <c:pt idx="4">
                  <c:v>523.1</c:v>
                </c:pt>
                <c:pt idx="5">
                  <c:v>396.4</c:v>
                </c:pt>
                <c:pt idx="6">
                  <c:v>187.60000000000002</c:v>
                </c:pt>
                <c:pt idx="7">
                  <c:v>470.20000000000005</c:v>
                </c:pt>
                <c:pt idx="8">
                  <c:v>764.8000000000001</c:v>
                </c:pt>
                <c:pt idx="9">
                  <c:v>617.0000000000001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277.8</c:v>
                </c:pt>
                <c:pt idx="1">
                  <c:v>305.7</c:v>
                </c:pt>
                <c:pt idx="2">
                  <c:v>359</c:v>
                </c:pt>
                <c:pt idx="3">
                  <c:v>408.7</c:v>
                </c:pt>
                <c:pt idx="4">
                  <c:v>356.3</c:v>
                </c:pt>
                <c:pt idx="5">
                  <c:v>464</c:v>
                </c:pt>
                <c:pt idx="6">
                  <c:v>497.1</c:v>
                </c:pt>
                <c:pt idx="7">
                  <c:v>591.2</c:v>
                </c:pt>
                <c:pt idx="8">
                  <c:v>811.1</c:v>
                </c:pt>
                <c:pt idx="9">
                  <c:v>805.8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35.9</c:v>
                </c:pt>
                <c:pt idx="1">
                  <c:v>34.9</c:v>
                </c:pt>
                <c:pt idx="2">
                  <c:v>43.5</c:v>
                </c:pt>
                <c:pt idx="3">
                  <c:v>52</c:v>
                </c:pt>
                <c:pt idx="4">
                  <c:v>42.5</c:v>
                </c:pt>
                <c:pt idx="5">
                  <c:v>53.9</c:v>
                </c:pt>
                <c:pt idx="6">
                  <c:v>47.7</c:v>
                </c:pt>
                <c:pt idx="7">
                  <c:v>46</c:v>
                </c:pt>
                <c:pt idx="8">
                  <c:v>50.4</c:v>
                </c:pt>
                <c:pt idx="9">
                  <c:v>40.4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731.1</c:v>
                </c:pt>
                <c:pt idx="1">
                  <c:v>694</c:v>
                </c:pt>
                <c:pt idx="2">
                  <c:v>-721.6</c:v>
                </c:pt>
                <c:pt idx="3">
                  <c:v>-255.6</c:v>
                </c:pt>
                <c:pt idx="4">
                  <c:v>-380.5</c:v>
                </c:pt>
                <c:pt idx="5">
                  <c:v>-324.4</c:v>
                </c:pt>
                <c:pt idx="6">
                  <c:v>-210.6</c:v>
                </c:pt>
                <c:pt idx="7">
                  <c:v>622.6</c:v>
                </c:pt>
                <c:pt idx="8">
                  <c:v>119.7</c:v>
                </c:pt>
                <c:pt idx="9">
                  <c:v>75.8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1.63</c:v>
                </c:pt>
                <c:pt idx="1">
                  <c:v>1.7</c:v>
                </c:pt>
                <c:pt idx="2">
                  <c:v>1.71</c:v>
                </c:pt>
                <c:pt idx="3">
                  <c:v>1.73</c:v>
                </c:pt>
                <c:pt idx="4">
                  <c:v>1.56</c:v>
                </c:pt>
                <c:pt idx="5">
                  <c:v>1.86</c:v>
                </c:pt>
                <c:pt idx="6">
                  <c:v>2.02</c:v>
                </c:pt>
                <c:pt idx="7">
                  <c:v>1.35</c:v>
                </c:pt>
                <c:pt idx="8">
                  <c:v>0.65</c:v>
                </c:pt>
                <c:pt idx="9">
                  <c:v>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474.7</c:v>
                </c:pt>
                <c:pt idx="1">
                  <c:v>600</c:v>
                </c:pt>
                <c:pt idx="2">
                  <c:v>500</c:v>
                </c:pt>
                <c:pt idx="3">
                  <c:v>51.5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0</c:v>
                </c:pt>
                <c:pt idx="6">
                  <c:v>0</c:v>
                </c:pt>
                <c:pt idx="7">
                  <c:v>94.9</c:v>
                </c:pt>
                <c:pt idx="8">
                  <c:v>-1.8</c:v>
                </c:pt>
                <c:pt idx="9">
                  <c:v>545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69</c:v>
                </c:pt>
                <c:pt idx="1">
                  <c:v>79.7</c:v>
                </c:pt>
                <c:pt idx="2">
                  <c:v>93.9</c:v>
                </c:pt>
                <c:pt idx="3">
                  <c:v>110.5</c:v>
                </c:pt>
                <c:pt idx="4">
                  <c:v>118.1</c:v>
                </c:pt>
                <c:pt idx="5">
                  <c:v>126.5</c:v>
                </c:pt>
                <c:pt idx="6">
                  <c:v>142</c:v>
                </c:pt>
                <c:pt idx="7">
                  <c:v>153.4</c:v>
                </c:pt>
                <c:pt idx="8">
                  <c:v>160.3</c:v>
                </c:pt>
                <c:pt idx="9">
                  <c:v>173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c:v>
                </c:pt>
                <c:pt idx="1">
                  <c:v>250</c:v>
                </c:pt>
                <c:pt idx="2">
                  <c:v>450.2</c:v>
                </c:pt>
                <c:pt idx="3">
                  <c:v>400</c:v>
                </c:pt>
                <c:pt idx="4">
                  <c:v>100</c:v>
                </c:pt>
                <c:pt idx="5">
                  <c:v>600</c:v>
                </c:pt>
                <c:pt idx="6">
                  <c:v>300</c:v>
                </c:pt>
                <c:pt idx="7">
                  <c:v>0</c:v>
                </c:pt>
                <c:pt idx="8">
                  <c:v>53.6</c:v>
                </c:pt>
                <c:pt idx="9">
                  <c:v>482.3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6</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John W. Norris, III y fideicomisos y sociedad de la familia Norris</c:v>
                </c:pt>
                <c:pt idx="1">
                  <c:v>Capital International Investors</c:v>
                </c:pt>
                <c:pt idx="2">
                  <c:v>BlackRock, Inc.</c:v>
                </c:pt>
                <c:pt idx="3">
                  <c:v>Vanguard Capital Management</c:v>
                </c:pt>
                <c:pt idx="4">
                  <c:v>Viking Global Investors</c:v>
                </c:pt>
                <c:pt idx="5">
                  <c:v>Consejeros y directivos (16 personas)</c:v>
                </c:pt>
              </c:strCache>
            </c:strRef>
          </c:cat>
          <c:val>
            <c:numRef>
              <c:f>Hoja1!$B$2:$B$7</c:f>
              <c:numCache>
                <c:formatCode>0.0"%"</c:formatCode>
                <c:ptCount val="6"/>
                <c:pt idx="0">
                  <c:v>9.3</c:v>
                </c:pt>
                <c:pt idx="1">
                  <c:v>8.5</c:v>
                </c:pt>
                <c:pt idx="2">
                  <c:v>8.2</c:v>
                </c:pt>
                <c:pt idx="3">
                  <c:v>6.68</c:v>
                </c:pt>
                <c:pt idx="4">
                  <c:v>5.2</c:v>
                </c:pt>
                <c:pt idx="5">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c:v>
                </c:pt>
                <c:pt idx="1">
                  <c:v>37.4</c:v>
                </c:pt>
                <c:pt idx="2">
                  <c:v>6.3</c:v>
                </c:pt>
                <c:pt idx="3">
                  <c:v>12.8</c:v>
                </c:pt>
                <c:pt idx="4">
                  <c:v>13.8</c:v>
                </c:pt>
                <c:pt idx="5">
                  <c:v>19.7</c:v>
                </c:pt>
                <c:pt idx="6">
                  <c:v>-24.9</c:v>
                </c:pt>
                <c:pt idx="7">
                  <c:v>89.5</c:v>
                </c:pt>
                <c:pt idx="8">
                  <c:v>37.3</c:v>
                </c:pt>
                <c:pt idx="9">
                  <c:v>-19.5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15.1</c:v>
                </c:pt>
                <c:pt idx="1">
                  <c:v>17.9</c:v>
                </c:pt>
                <c:pt idx="2">
                  <c:v>17.1</c:v>
                </c:pt>
                <c:pt idx="3">
                  <c:v>16.4</c:v>
                </c:pt>
                <c:pt idx="4">
                  <c:v>20.8</c:v>
                </c:pt>
                <c:pt idx="5">
                  <c:v>20.6</c:v>
                </c:pt>
                <c:pt idx="6">
                  <c:v>13.7</c:v>
                </c:pt>
                <c:pt idx="7">
                  <c:v>18.7</c:v>
                </c:pt>
                <c:pt idx="8">
                  <c:v>20</c:v>
                </c:pt>
                <c:pt idx="9">
                  <c:v>15.9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17.9</c:v>
                </c:pt>
                <c:pt idx="1">
                  <c:v>17.9</c:v>
                </c:pt>
                <c:pt idx="2">
                  <c:v>17.9</c:v>
                </c:pt>
                <c:pt idx="3">
                  <c:v>17.9</c:v>
                </c:pt>
                <c:pt idx="4">
                  <c:v>17.9</c:v>
                </c:pt>
                <c:pt idx="5">
                  <c:v>17.9</c:v>
                </c:pt>
                <c:pt idx="6">
                  <c:v>17.9</c:v>
                </c:pt>
                <c:pt idx="7">
                  <c:v>17.9</c:v>
                </c:pt>
                <c:pt idx="8">
                  <c:v>17.9</c:v>
                </c:pt>
                <c:pt idx="9">
                  <c:v>17.9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Heat Controller (Comfort-Aire, Century; Aitons en Canadá)</c:v>
                </c:pt>
                <c:pt idx="1">
                  <c:v>Duro Dyne y Supco</c:v>
                </c:pt>
                <c:pt idx="2">
                  <c:v>FläktGroup</c:v>
                </c:pt>
                <c:pt idx="3">
                  <c:v>Refrigeración comercial de Carrier</c:v>
                </c:pt>
                <c:pt idx="4">
                  <c:v>Residencial y comercial ligero de Johnson Controls y Johnson Controls-Hitachi</c:v>
                </c:pt>
                <c:pt idx="5">
                  <c:v>Viessmann Climate Solutions</c:v>
                </c:pt>
              </c:strCache>
            </c:strRef>
          </c:cat>
          <c:val>
            <c:numRef>
              <c:f>Hoja1!$B$2:$B$7</c:f>
              <c:numCache>
                <c:formatCode>0.0"x"</c:formatCode>
                <c:ptCount val="6"/>
                <c:pt idx="5">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722</c:v>
                </c:pt>
                <c:pt idx="1">
                  <c:v>797</c:v>
                </c:pt>
                <c:pt idx="2">
                  <c:v>846</c:v>
                </c:pt>
                <c:pt idx="3">
                  <c:v>881</c:v>
                </c:pt>
                <c:pt idx="4">
                  <c:v>929</c:v>
                </c:pt>
                <c:pt idx="5">
                  <c:v>976</c:v>
                </c:pt>
                <c:pt idx="6">
                  <c:v>1012</c:v>
                </c:pt>
                <c:pt idx="7">
                  <c:v>1043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4677</c:v>
                </c:pt>
                <c:pt idx="1">
                  <c:v>7553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332,64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224.52</c:v>
                </c:pt>
                <c:pt idx="1">
                  <c:v>310.06</c:v>
                </c:pt>
                <c:pt idx="2">
                  <c:v>353.45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332,64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(325,70 – 587,27)</c:v>
                </c:pt>
                <c:pt idx="1">
                  <c:v>Precio objetivo de los analistas (350,00 – 560,00)</c:v>
                </c:pt>
                <c:pt idx="2">
                  <c:v>Comparables: PER NTM (480,54 – 592,60)</c:v>
                </c:pt>
                <c:pt idx="3">
                  <c:v>DCF (WACC y g ± 0,5) (273,81 – 357,93)</c:v>
                </c:pt>
                <c:pt idx="4">
                  <c:v>Escenarios (bajista – alcista) (224,52 – 353,45)</c:v>
                </c:pt>
                <c:pt idx="5">
                  <c:v>DCF con la prima implícita del mercado (4,2 %)</c:v>
                </c:pt>
                <c:pt idx="6">
                  <c:v>Precio actual (332,64)</c:v>
                </c:pt>
              </c:strCache>
            </c:strRef>
          </c:cat>
          <c:val>
            <c:numRef>
              <c:f>Hoja1!$B$2:$B$8</c:f>
              <c:numCache>
                <c:formatCode>#,##0</c:formatCode>
                <c:ptCount val="7"/>
                <c:pt idx="0">
                  <c:v>325.7</c:v>
                </c:pt>
                <c:pt idx="1">
                  <c:v>350</c:v>
                </c:pt>
                <c:pt idx="2">
                  <c:v>480.54</c:v>
                </c:pt>
                <c:pt idx="3">
                  <c:v>273.81</c:v>
                </c:pt>
                <c:pt idx="4">
                  <c:v>224.52</c:v>
                </c:pt>
                <c:pt idx="5">
                  <c:v>349.6</c:v>
                </c:pt>
                <c:pt idx="6">
                  <c:v>330.98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(325,70 – 587,27)</c:v>
                </c:pt>
                <c:pt idx="1">
                  <c:v>Precio objetivo de los analistas (350,00 – 560,00)</c:v>
                </c:pt>
                <c:pt idx="2">
                  <c:v>Comparables: PER NTM (480,54 – 592,60)</c:v>
                </c:pt>
                <c:pt idx="3">
                  <c:v>DCF (WACC y g ± 0,5) (273,81 – 357,93)</c:v>
                </c:pt>
                <c:pt idx="4">
                  <c:v>Escenarios (bajista – alcista) (224,52 – 353,45)</c:v>
                </c:pt>
                <c:pt idx="5">
                  <c:v>DCF con la prima implícita del mercado (4,2 %)</c:v>
                </c:pt>
                <c:pt idx="6">
                  <c:v>Precio actual (332,64)</c:v>
                </c:pt>
              </c:strCache>
            </c:strRef>
          </c:cat>
          <c:val>
            <c:numRef>
              <c:f>Hoja1!$C$2:$C$8</c:f>
              <c:numCache>
                <c:formatCode>#,##0</c:formatCode>
                <c:ptCount val="7"/>
                <c:pt idx="0">
                  <c:v>261.57</c:v>
                </c:pt>
                <c:pt idx="1">
                  <c:v>210</c:v>
                </c:pt>
                <c:pt idx="2">
                  <c:v>112.06</c:v>
                </c:pt>
                <c:pt idx="3">
                  <c:v>84.12</c:v>
                </c:pt>
                <c:pt idx="4">
                  <c:v>128.92999999999998</c:v>
                </c:pt>
                <c:pt idx="5">
                  <c:v>72.66999999999996</c:v>
                </c:pt>
                <c:pt idx="6">
                  <c:v>3.319999999999993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