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ASPEED Technology Inc.</w:t>
      </w:r>
    </w:p>
    <w:p>
      <w:pPr>
        <w:spacing w:after="60"/>
        <w:rPr>
          <w:color w:val="52514E"/>
          <w:sz w:val="22"/>
          <w:szCs w:val="22"/>
        </w:rPr>
      </w:pPr>
      <w:r>
        <w:rPr>
          <w:color w:val="52514E"/>
          <w:sz w:val="22"/>
          <w:szCs w:val="22"/>
        </w:rPr>
        <w:t xml:space="preserve">5274.TWO · Taipei Exchange (TPEx) · ISIN TW0005274005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TWD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15.900,00 TWD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16.527,61 TWD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+4,4 % (base +13,7 %)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5.610,04 TWD · mercado 6.338,27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661.122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ASPEED Technology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5274.TWO / TW0005274005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Taipei Exchange (TPEx)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TAIEX (referencia de bolsa: ETF 0050)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Semiconductores (diseño de chips sin fábrica)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Hsinchu (Taiwán) · 2004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www.aspeedtech.com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15.900,00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4.645,45 – 21.800,00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661.122 M TWD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655.108 M TWD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4.729 M TWD/día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16.527,61 TWD</w:t>
      </w:r>
      <w:r>
        <w:t xml:space="preserve"> frente a 15.900,00 · Rentabilidad a 12 meses </w:t>
      </w:r>
      <w:r>
        <w:rPr>
          <w:b/>
          <w:bCs/>
        </w:rPr>
        <w:t xml:space="preserve">+4,4 % (base +13,7 %)</w:t>
      </w:r>
      <w:r>
        <w:t xml:space="preserve"> · Valor intrínseco 5.610,04 TWD · con la prima implícita del mercado: 6.338,27 (-60,1 %) · Alcista / bajista -64,4 % / -86,1 %</w:t>
      </w:r>
    </w:p>
    <w:p>
      <w:pPr>
        <w:spacing w:after="100"/>
      </w:pPr>
      <w:r>
        <w:rPr>
          <w:b/>
        </w:rPr>
        <w:t xml:space="preserve">La recomendación y por qué.</w:t>
      </w:r>
      <w:r>
        <w:t xml:space="preserve"> Mantener, con convicción media. A 15.900 TWD (cierre del 20-oct-2026), el objetivo ponderado a 12 meses es de 16.527,61 (+4,4 % con dividendo) y el del caso base de 18.002,93 (+13,7 %); el valor intrínseco es de 5.610,04 (−64,7 %). El base pasa el umbral del 12 %, pero el ponderado no llega al 15 % y el valor intrínseco está muy por debajo del precio: no es compra. La asimetría a 12 meses es pobre (alcista +48,6 %, bajista −59,3 %). No es venta porque el beneficio crece deprisa y con visibilidad (2026e ya publicado en tres cuartas partes, guía del 4T26 un 40 % por encima del 3T26). La convicción es media y no alta porque la señal depende de un múltiplo de 48,7x sobre un BPA de ciclo alto y de que nuestro BPA de 2027e (307,90) quede un 10 % por debajo del consenso. Subiría si las ventas del 4T26 superan la guía con margen bruto ≥ 70 % (más visibilidad de 2027); bajaría si las ventas mensuales flojean antes de la subida de precios de diciembre.</w:t>
      </w:r>
    </w:p>
    <w:p>
      <w:pPr>
        <w:spacing w:after="100"/>
      </w:pPr>
      <w:r>
        <w:rPr>
          <w:b/>
        </w:rPr>
        <w:t xml:space="preserve">El negocio.</w:t>
      </w:r>
      <w:r>
        <w:t xml:space="preserve"> ASPEED diseña el BMC, el chip que permite encender, vigilar y reparar un servidor a distancia, con una cuota del ≈ 80 % [8]. Cobra unos 15 USD por chip, con un margen bruto del 72 % en el 2T26 [5]. El ROIC de 2025 es del 221,0 % frente a un WACC del 10,13 %, y la calidad sostiene el crecimiento proyectado (veredicto «Sí»). El foso es amplio (validación de firmware en cada plataforma, un solo rival relevante que pierde dinero), pero depende de pocos clientes y de un proveedor que hace el 98,2 % de las compras [8].</w:t>
      </w:r>
    </w:p>
    <w:p>
      <w:pPr>
        <w:spacing w:after="100"/>
      </w:pPr>
      <w:r>
        <w:rPr>
          <w:b/>
        </w:rPr>
        <w:t xml:space="preserve">Sector y ciclo.</w:t>
      </w:r>
      <w:r>
        <w:t xml:space="preserve"> Expansión fuerte: los armarios de IA llevan decenas de BMC (71 en un GB300) y la empresa prevé BMC de IA +40 % anual en 2026-2027 [11]. El precedente es 2023: ventas −39,9 % cuando los fabricantes vaciaron inventario [2].</w:t>
      </w:r>
    </w:p>
    <w:p>
      <w:pPr>
        <w:spacing w:after="100"/>
      </w:pPr>
      <w:r>
        <w:rPr>
          <w:b/>
        </w:rPr>
        <w:t xml:space="preserve">Finanzas.</w:t>
      </w:r>
      <w:r>
        <w:t xml:space="preserve"> Ventas de 9.084,9 M en 2025 (+40,6 %) y 11.804,4 M en enero-septiembre de 2026 (+77,7 %) [1, 9]; 2026e de 18.497 M. Sin deuda, caja de 9.364 M a junio y un dividendo del 77 % del beneficio [5].</w:t>
      </w:r>
    </w:p>
    <w:p>
      <w:pPr>
        <w:spacing w:after="100"/>
      </w:pPr>
      <w:r>
        <w:rPr>
          <w:b/>
        </w:rPr>
        <w:t xml:space="preserve">Equipo y gobierno.</w:t>
      </w:r>
      <w:r>
        <w:t xml:space="preserve"> El fundador, Chris Lin, preside y dirige desde 2004 y controla con su entorno el 18 % del capital; parte de sus acciones están pignoradas [8, 21]. Ha cumplido o superado la guía en los últimos cuatro trimestres.</w:t>
      </w:r>
    </w:p>
    <w:p>
      <w:pPr>
        <w:spacing w:after="100"/>
      </w:pPr>
      <w:r>
        <w:rPr>
          <w:b/>
        </w:rPr>
        <w:t xml:space="preserve">Valoración.</w:t>
      </w:r>
      <w:r>
        <w:t xml:space="preserve"> El DCF da 4.187,06 TWD. El DCF inverso pide un crecimiento del 34,5 % anual en 2027-2035 frente al 11,3 % de nuestro base. El mercado paga 51,6x nuestro BPA de 2027e; su mediana adelantada de 2021-2025 es 46,0x y los comparables, 36,6x [25]. Nuestro BPA de 2027e (307,90) está un 10 % por debajo del consenso.</w:t>
      </w:r>
    </w:p>
    <w:p>
      <w:pPr>
        <w:spacing w:after="100"/>
      </w:pPr>
      <w:r>
        <w:rPr>
          <w:b/>
        </w:rPr>
        <w:t xml:space="preserve">Riesgos y catalizadores.</w:t>
      </w:r>
      <w:r>
        <w:t xml:space="preserve"> El riesgo de IA es de demanda, no de sustitución: todo servidor necesita BMC, pero el beneficio queda atado a un solo ciclo de inversión; la amenaza estructural, sin casos públicos, es que un gran cliente de nube haga su propio chip de gestión. Los mayores riesgos son el pico del ciclo (bajista del DCF, −47 % sobre el base) y el múltiplo; la geopolítica de Taiwán es de baja probabilidad y daño máximo. Catalizadores: ventas de octubre (≈ 5-nov), resultados del 3T26 (≈ 11-nov) y la subida de precios del 1-dic.</w:t>
      </w:r>
    </w:p>
    <w:p>
      <w:pPr>
        <w:spacing w:after="100"/>
      </w:pPr>
      <w:r>
        <w:rPr>
          <w:b/>
        </w:rPr>
        <w:t xml:space="preserve">Qué cambiaría la decisión.</w:t>
      </w:r>
      <w:r>
        <w:t xml:space="preserve"> La regla de 12 meses da Mantener, pero las pruebas de robustez dan «No mantener» para una cartera: el valor intrínseco queda un 65 % por debajo del precio y el filtro de seguir en cartera llega solo hasta 6.600,05 TWD; quien no la tenga no debe comprarla y quien la tenga debería reducirla. Compraríamos por debajo de 5.610,04 TWD por valor intrínseco, que hoy queda muy lejos, y venderíamos por encima de 18.444,82. Pasaríamos a Vender si las ventas mensuales bajan de 1.800 M dos meses o si un gran cliente de nube anuncia un BMC propio; mejoraría la tesis si 2027 confirma el consenso (BPA de 342) con el margen bruto por encima del 70 %.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16.527,61 TWD</w:t>
      </w:r>
      <w:r>
        <w:t xml:space="preserve"> (rentabilidad +4,4 % (base +13,7 %)) · Valor intrínseco: 5.610,04 TWD (-64,7 % sobre 15.900,00) · con la prima implícita del mercado: 6.338,27 (-60,1 %)</w:t>
      </w:r>
    </w:p>
    <w:p>
      <w:pPr>
        <w:spacing w:after="100"/>
      </w:pPr>
      <w:r>
        <w:t xml:space="preserve">ASPEED tiene casi el monopolio del chip de gestión de servidores (≈ 80 % de cuota) y la IA le ha cambiado la escala: ventas de 3.130 M TWD en 2023 y unos 18.500 M en 2026e, margen operativo del 53,9 % en el 2T26 y ROIC del 221 % [1, 5, 9]. Cada armario de IA lleva decenas de BMC y el nuevo AST2700 es más caro [11, 13].</w:t>
      </w:r>
    </w:p>
    <w:p>
      <w:pPr>
        <w:spacing w:after="100"/>
      </w:pPr>
      <w:r>
        <w:t xml:space="preserve">El precio, 15.900 TWD, descuenta que ese crecimiento dura muchos años: el DCF inverso pide un 34,5 % anual en 2027-2035 y la acción cotiza a 51,6x nuestro BPA de 2027e, por encima de su mediana adelantada (46,0x) y de los comparables (36,6x) [25]. El consenso (BPA de 342 en 2027) ha subido un 23 % en tres meses [25].</w:t>
      </w:r>
    </w:p>
    <w:p>
      <w:pPr>
        <w:spacing w:after="100"/>
      </w:pPr>
      <w:r>
        <w:t xml:space="preserve">Creemos que el mercado acierta en la calidad y se adelanta en la duración. El producto no tiene sustituto, pero la demanda sigue a la inversión de los grandes de la nube, que ya va por su tercer año récord, y 2026 lleva subidas de precio de un año de escasez. Para comprar hay que creer en un ciclo largo y en un múltiplo de 50x sostenido; a este precio no hay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16.527,61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 × 201,80 = 6.477,78 · 48,7x × 369,67 = 18.002,93 · 48,7x × 485,15 = 23.626,81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 / 13,7 %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22.593,47 (nuestro base -20,3 %)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5.610,04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-64,4 % / -86,1 %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 frente a 10,1 % y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6.338,27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 frente a 16,8 %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(20,6 %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5.610,04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5.610,04 y 18.444,82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18.444,82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unos 14.300 TWD con la guía intacta, el ponderado a 12 meses superaría el 15 %, pero el valor intrínseco (5.610,04) seguiría por debajo: no bastaría para comprar.</w:t>
      </w:r>
    </w:p>
    <w:p>
      <w:pPr>
        <w:pStyle w:val="ListParagraph"/>
        <w:numPr>
          <w:ilvl w:val="0"/>
          <w:numId w:val="2"/>
        </w:numPr>
        <w:spacing w:after="60"/>
      </w:pPr>
      <w:r>
        <w:t xml:space="preserve">Si las ventas mensuales bajan de 1.800 M dos meses seguidos, pasaríamos a Vender.</w:t>
      </w:r>
    </w:p>
    <w:p>
      <w:pPr>
        <w:pStyle w:val="ListParagraph"/>
        <w:numPr>
          <w:ilvl w:val="0"/>
          <w:numId w:val="2"/>
        </w:numPr>
        <w:spacing w:after="60"/>
      </w:pPr>
      <w:r>
        <w:t xml:space="preserve">Si un gran cliente de nube anuncia un BMC propio, pasaríamos a Vender.</w:t>
      </w:r>
    </w:p>
    <w:p>
      <w:pPr>
        <w:pStyle w:val="ListParagraph"/>
        <w:numPr>
          <w:ilvl w:val="0"/>
          <w:numId w:val="2"/>
        </w:numPr>
        <w:spacing w:after="60"/>
      </w:pPr>
      <w:r>
        <w:t xml:space="preserve">Por debajo de 5.610,04 TWD, Comprar (calidad «Sí»).</w:t>
      </w:r>
    </w:p>
    <w:p>
      <w:pPr>
        <w:pStyle w:val="Heading2"/>
      </w:pPr>
      <w:r>
        <w:t xml:space="preserve">Dónde discrepamos del mercado</w:t>
      </w:r>
    </w:p>
    <w:p>
      <w:pPr>
        <w:keepNext/>
        <w:spacing w:after="100"/>
      </w:pPr>
      <w:r>
        <w:rPr>
          <w:b/>
          <w:bCs/>
        </w:rPr>
        <w:t xml:space="preserve">Lo que descuenta el precio.</w:t>
      </w:r>
    </w:p>
    <w:p>
      <w:pPr>
        <w:spacing w:after="100"/>
      </w:pPr>
      <w:r>
        <w:t xml:space="preserve">Un BPA de unos 342 en 2027 (ventas de 30.560 M, +65,5 %) y un crecimiento fuerte después, pagado a 46x ese beneficio; 16 analistas en comprar con objetivo medio de 22.593,47.</w:t>
      </w:r>
    </w:p>
    <w:p>
      <w:pPr>
        <w:keepNext/>
        <w:spacing w:after="100"/>
      </w:pPr>
      <w:r>
        <w:rPr>
          <w:b/>
          <w:bCs/>
        </w:rPr>
        <w:t xml:space="preserve">Lo que creemos nosotros.</w:t>
      </w:r>
    </w:p>
    <w:p>
      <w:pPr>
        <w:spacing w:after="100"/>
      </w:pPr>
      <w:r>
        <w:t xml:space="preserve">Un BPA de 308 en 2027 y 370 en 2028, y un año de digestión en 2029 con el margen EBITDA bajando del 57 % al 52 %. El monopolio es real, pero el beneficio de 2026-2028 es en buena parte de ciclo.</w:t>
      </w:r>
    </w:p>
    <w:p>
      <w:pPr>
        <w:keepNext/>
        <w:spacing w:after="100"/>
      </w:pPr>
      <w:r>
        <w:rPr>
          <w:b/>
          <w:bCs/>
        </w:rPr>
        <w:t xml:space="preserve">Por qué podemos tener razón.</w:t>
      </w:r>
    </w:p>
    <w:p>
      <w:pPr>
        <w:spacing w:after="100"/>
      </w:pPr>
      <w:r>
        <w:t xml:space="preserve">Porque 2023 mostró que los clientes vacían inventario (−40 % de ventas), porque la subida de precios de 2026 coincide con la escasez de sustrato y porque el consenso ha subido su BPA siguiendo los datos mensuales.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TWD) · precio actual 15.9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Casi monopolio</w:t>
      </w:r>
      <w:r>
        <w:t xml:space="preserve">: ≈ 80 % del BMC de servidores y un solo rival que pierde dinero [8, 17].</w:t>
      </w:r>
    </w:p>
    <w:p>
      <w:pPr>
        <w:pStyle w:val="ListParagraph"/>
        <w:numPr>
          <w:ilvl w:val="0"/>
          <w:numId w:val="2"/>
        </w:numPr>
        <w:spacing w:after="60"/>
      </w:pPr>
      <w:r>
        <w:rPr>
          <w:b/>
        </w:rPr>
        <w:t xml:space="preserve">Rentabilidad extrema</w:t>
      </w:r>
      <w:r>
        <w:t xml:space="preserve">: ROIC del 221 % y margen operativo del 53,9 % en el 2T26 [5].</w:t>
      </w:r>
    </w:p>
    <w:p>
      <w:pPr>
        <w:pStyle w:val="ListParagraph"/>
        <w:numPr>
          <w:ilvl w:val="0"/>
          <w:numId w:val="2"/>
        </w:numPr>
        <w:spacing w:after="60"/>
      </w:pPr>
      <w:r>
        <w:rPr>
          <w:b/>
        </w:rPr>
        <w:t xml:space="preserve">Más contenido por servidor</w:t>
      </w:r>
      <w:r>
        <w:t xml:space="preserve">: 71 BMC en un armario GB300; AST2700 de 1,2-1,5 M a 10 M de unidades en 2027 [11, 13].</w:t>
      </w:r>
    </w:p>
    <w:p>
      <w:pPr>
        <w:pStyle w:val="ListParagraph"/>
        <w:numPr>
          <w:ilvl w:val="0"/>
          <w:numId w:val="2"/>
        </w:numPr>
        <w:spacing w:after="60"/>
      </w:pPr>
      <w:r>
        <w:rPr>
          <w:b/>
        </w:rPr>
        <w:t xml:space="preserve">Visibilidad a corto</w:t>
      </w:r>
      <w:r>
        <w:t xml:space="preserve">: guía del 4T26 de 6.600-6.800 M y capacidad asegurada con ASE para 2027-2028 [28, 29].</w:t>
      </w:r>
    </w:p>
    <w:p>
      <w:pPr>
        <w:pStyle w:val="ListParagraph"/>
        <w:numPr>
          <w:ilvl w:val="0"/>
          <w:numId w:val="2"/>
        </w:numPr>
        <w:spacing w:after="60"/>
      </w:pPr>
      <w:r>
        <w:rPr>
          <w:b/>
        </w:rPr>
        <w:t xml:space="preserve">Balance limpio</w:t>
      </w:r>
      <w:r>
        <w:t xml:space="preserve">: sin deuda, 9.364 M de caja y dividendo del 77 % [5].</w:t>
      </w:r>
    </w:p>
    <w:p>
      <w:pPr>
        <w:pStyle w:val="Heading2"/>
      </w:pPr>
      <w:r>
        <w:t xml:space="preserve">En contra</w:t>
      </w:r>
    </w:p>
    <w:p>
      <w:pPr>
        <w:pStyle w:val="ListParagraph"/>
        <w:numPr>
          <w:ilvl w:val="0"/>
          <w:numId w:val="2"/>
        </w:numPr>
        <w:spacing w:after="60"/>
      </w:pPr>
      <w:r>
        <w:rPr>
          <w:b/>
        </w:rPr>
        <w:t xml:space="preserve">Precio</w:t>
      </w:r>
      <w:r>
        <w:t xml:space="preserve">: 51,6x nuestro BPA de 2027e; valor intrínseco de 5.610 TWD.</w:t>
      </w:r>
    </w:p>
    <w:p>
      <w:pPr>
        <w:pStyle w:val="ListParagraph"/>
        <w:numPr>
          <w:ilvl w:val="0"/>
          <w:numId w:val="2"/>
        </w:numPr>
        <w:spacing w:after="60"/>
      </w:pPr>
      <w:r>
        <w:rPr>
          <w:b/>
        </w:rPr>
        <w:t xml:space="preserve">DCF inverso</w:t>
      </w:r>
      <w:r>
        <w:t xml:space="preserve">: pide un 34,5 % anual de crecimiento hasta 2035.</w:t>
      </w:r>
    </w:p>
    <w:p>
      <w:pPr>
        <w:pStyle w:val="ListParagraph"/>
        <w:numPr>
          <w:ilvl w:val="0"/>
          <w:numId w:val="2"/>
        </w:numPr>
        <w:spacing w:after="60"/>
      </w:pPr>
      <w:r>
        <w:rPr>
          <w:b/>
        </w:rPr>
        <w:t xml:space="preserve">Ciclo</w:t>
      </w:r>
      <w:r>
        <w:t xml:space="preserve">: tercer año récord de inversión en IA; 2023 cayó un 40 %.</w:t>
      </w:r>
    </w:p>
    <w:p>
      <w:pPr>
        <w:pStyle w:val="ListParagraph"/>
        <w:numPr>
          <w:ilvl w:val="0"/>
          <w:numId w:val="2"/>
        </w:numPr>
        <w:spacing w:after="60"/>
      </w:pPr>
      <w:r>
        <w:rPr>
          <w:b/>
        </w:rPr>
        <w:t xml:space="preserve">Suministro y Taiwán</w:t>
      </w:r>
      <w:r>
        <w:t xml:space="preserve">: 98,2 % de las compras a un proveedor que fabrica con TSMC, todo en Taiwán [8].</w:t>
      </w:r>
    </w:p>
    <w:p>
      <w:pPr>
        <w:pStyle w:val="ListParagraph"/>
        <w:numPr>
          <w:ilvl w:val="0"/>
          <w:numId w:val="2"/>
        </w:numPr>
        <w:spacing w:after="60"/>
      </w:pPr>
      <w:r>
        <w:rPr>
          <w:b/>
        </w:rPr>
        <w:t xml:space="preserve">Clientes de nube</w:t>
      </w:r>
      <w:r>
        <w:t xml:space="preserve">: estándares abiertos (OpenBMC, DC-SCM) facilitan un chip propio o de otro proveedor.</w:t>
      </w:r>
    </w:p>
    <w:p>
      <w:pPr>
        <w:pStyle w:val="Heading2"/>
      </w:pPr>
      <w:r>
        <w:t xml:space="preserve">Qué tiene que pasar para que la tesis funcione</w:t>
      </w:r>
    </w:p>
    <w:p>
      <w:pPr>
        <w:spacing w:after="100"/>
      </w:pPr>
      <w:r>
        <w:t xml:space="preserve">La tesis de Mantener depende de que el beneficio siga creciendo sin que el múltiplo se hunda. La señal de alarma sería un 4T26 por debajo de 6.600 M o un margen bruto por debajo del 65 % tras la subida de precios; la señal favorable, un 1T27 que confirme un ritmo de 30.000 M anuales con margen bruto por encima del 70 %.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mensuales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 M (septiembre)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1.800 M dos meses (tras octubre) o &gt; 2.500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del ciclo, hacia el día 5 de cada mes.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subida de precios se mantiene.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AST2700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 M (2026e)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los grandes de la nube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Récord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2027-2028 plana o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la demanda.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USD/TWD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Pérdidas de cambio y margen.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116,8x / 50,6x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ASPEED se fundó en noviembre de 2004 en Hsinchu, con Chris Lin (procedente de XGI Technology, donde fue presidente) como presidente y primer ejecutivo, que sigue en los dos cargos 22 años después [8]. Nació del negocio de gráficos 2D y gestión remota (KVM sobre IP) y se especializó en el controlador de gestión de placa base (BMC) de los servidores. Sale a bolsa en el mercado de Taipéi (TPEx) el 30-abr-2013 [16]. En diciembre de 2016 compró a Broadcom la línea Pilot de BMC de Emulex, su principal rival occidental, y quedó como proveedor casi único [15, 16]. Desde 2021 es la acción de mayor precio de Taiwán. Tras el bache de 2023 (ventas −40 %), la IA multiplicó la demanda: las ventas se triplicaron entre 2023 y 2025 y en 2026 lanzó la octava generación (AST2700, 12 nm). En diciembre de 2025 escindió en una filial el negocio de cámaras panorámicas (Cupola360)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Hsinchu (15-nov-2004) por Chris Lin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Taipei Exchange (30-abr-2013)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línea de BMC Pilot de Emulex a Broadcom (anunciada por 30 M USD, parte en acciones) [15,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en acciones de 1 por 10 (julio) y ventas récord de 5.210 M TWD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Bache del ciclo de servidores: ventas −39,9 % por el ajuste de inventario de los clientes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con la IA: ventas +106 % (6.460 M TWD)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9.085 M TWD (+40,6 %), BPA de 103,92 TWD; lanzamiento del AST2700 y escisión de Cupola360 el 31-dic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Centro de I+D en Kaohsiung, segundo dividendo en acciones de 1 por 10 (13-jul) y máximo histórico en bolsa (22-jun) [8,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ASPEED diseña chips y los encarga a terceros (empresa sin fábrica). Su producto principal es el BMC: un pequeño procesador que va en la placa de cada servidor y permite encenderlo, apagarlo, vigilar su temperatura, actualizar su firmware y ver su pantalla a distancia, aunque el sistema operativo esté caído [8, 11]. En 2025 el 96,3 % de las ventas fueron estos chips de servidor (BMC, controladores auxiliares, chips de raíz de confianza y expansores de entrada/salida); el resto, chips para transmitir vídeo y audio por red (2,9 %) y cámaras panorámicas (0,8 %) [8]. Vende a los fabricantes de placas y servidores (ODM de Taiwán y marcas), que montan los servidores de los grandes de la nube; en un armario de IA de Nvidia GB300 van 71 BMC [11]. Tiene 151 empleados (101 en la matriz) y la sede en Hsinchu [8].</w:t>
      </w:r>
    </w:p>
    <w:p>
      <w:pPr>
        <w:pStyle w:val="Heading2"/>
      </w:pPr>
      <w:r>
        <w:t xml:space="preserve">Cómo gana dinero</w:t>
      </w:r>
    </w:p>
    <w:p>
      <w:pPr>
        <w:spacing w:after="100"/>
      </w:pPr>
      <w:r>
        <w:t xml:space="preserve">Cobra por chip vendido, unos 15 USD de media (estimación propia: 8.750 M TWD de chips de servidor ÷ ≈ 18 M de BMC en 2025 [8]). El margen bruto es del 64-72 % porque el diseño es propio (sin licencias de terceros para gráficos, BMC y KVM) y el producto es una parte mínima del coste de un servidor [8, 10]. Casi todo el coste son obleas, sustrato y encapsulado, comprados a un proveedor de servicios de diseño que trabaja con TSMC (98,2 % de las compras) [8]. Los gastos fijos son pequeños (I+D 1.042 M TWD en 2025), así que el apalancamiento operativo es grande: el margen operativo va del 34,5 % del bache de 2023 al 53,4 % del 1S26 [16]. No hay ingresos recurrentes por contrato: la demanda sigue a la inversión en servidores, con un año malo cada 3-4 años.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Circuitos multimedia (BMC y chips de servidor)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Periféricos (AV sobre IP)</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(imagen panorámica Cupola360 y servicios)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Circuitos multimedia (BMC y chips de servidor)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Periféricos (AV sobre IP)</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(imagen panorámica Cupola360 y servicios)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Vende sobre todo a fabricantes de servidores por encargo (ODM) y a marcas de servidores de Taiwán y Asia, que montan las placas para los grandes de la nube: por eso el 95 % de las ventas se factura en Taiwán y Asia aunque el cliente final sea estadounidense [8]. Concentración media: en 2025 el primer cliente pesó el 19,5 %, el segundo el 19,4 % y el tercero el 10,4 % (49,3 % entre los tres); en 2024, cuatro clientes pasaban del 10 % y sumaban el 55,5 % [8]. No hay contratos plurianuales publicados: los pedidos se fijan por plataforma de servidor y la dirección dice que algunos clientes ya han pedido para 2027 [13]. Poder de precios demostrado: subidas en abril de 2026 que llevaron el margen bruto del 69,2 % al 72,0 % pese al encarecimiento del sustrato, y otra de doble dígito prevista para el 1-dic-2026 según un análisis de JPMorgan [13, 14].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anuales (M TWD)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6.459,7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9.084,9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enero-septiembre de 2026, 11.804,4 M (+77,7 %)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 (2025); 72,0 %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en abril de 2026 que trasladan el coste del sustrato y el encapsulado [1, 5,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BMC vendidos (millones de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 para servidores de IA, 13 M para servidores generales y 2 M para otros equipos del centro de datos; cuota ≈ 80 % según la empresa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 (2025); 53,4 %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gastos de I+D del 11-12 % de las ventas con 151 empleados [1, 5,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cliente / tres primeros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 / 44,4 %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 / 49,3 %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pp en los tres primeros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sin nombre (fabricantes de servidores y ODM)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Proveedor principal (servicio de diseño y fundición)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96,1 % de las compras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Fabricación íntegramente externa, en TSMC a través de un proveedor de servicios de diseño [8].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BMC para servidores y para otros equipos del centro de datos (conmutadores, fuentes de alimentación, unidades de refrigeración), en todo el mundo. La empresa calcula la demanda mínima en 16-19 millones de BMC en 2025, uno por placa base, con 16,07 millones de servidores según DigiTimes, y dice haber vendido unos 18 millones (cuota ≈ 80 %) [8]. Otra fuente independiente da al líder entre el 70 % y el 80 % [17], y la empresa dio un 70 % en noviembre de 2025 [11]. Usamos el 80 % del informe anual, el dato más reciente y primario, y la serie en unidades de la propia empresa y de los analistas, porque no hay un estudio de mercado gratuito en dinero que cuadre con esas cuotas.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22,5 millones de BMC en 2025 (estimación propia: 18 millones de ASPEED ÷ 80 % de cuota [8]); en dinero, ≈ 10.900 M TWD (8.750 M de ventas de chips de servidor de ASPEED ÷ 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BMC vendidos por ASPEED (≈ 80 % del mercado); 2026e-2028e, previsión de un banco estadounidens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Servidores de IA (BMC por armario)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armario GB300 lleva 71 BMC; la empresa prevé BMC para IA +40 % anual en 2026-2027, +35 % en 2028 y +30 % en 2029-2030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Servidores generales (CPU, almacenamiento)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agéntica tira de CPU y almacenamiento: la empresa sube su previsión de crecimiento del 3-5 % al 6-8 % anual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contenido por servidor (AST2700, raíz de confianza, expansores)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AST2700 de 1,2-1,5 M de unidades en 2026 a 10 M en 2027, más caro que el AST2600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de los grandes de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 ventas −39,9 % al ajustar inventarios los clientes [16]; la empresa lo declara como factor desfavorable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por BMC chinos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Gobierno chino empuja a sus fabricantes de servidores a usar BMC locales; la empresa lo declara como primer factor desfavorable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Escasez de sustrato y encapsulado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Envíos retrasados al 4T26 y paso de sustrato de T-glass a E-glass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70-80 % y un solo rival relevante (Nuvoton), cuyo negocio total da pérdidas operativas (−4,2 % de margen en los últimos doce meses) [8, 17,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clientes suman el 49,3 % de las ventas [8], pero el BMC cuesta muy poco frente al servidor y cambiarlo exige rehacer el firmware: la empresa subió precios en abril de 2026 y el margen bruto subió al 72 %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proveedor de servicios de diseño concentra el 98,2 % de las compras y la fabricación es de TSMC; el sustrato escasea y limita las ventas en 2026 [8,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que integrar diseño digital y analógico, firmware y drivers para cada plataforma; la empresa cita esa barrera y que su BMC es el diseño de referencia de las plataformas nuevas [8]. Los BMC chinos entran solo en China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grandes de la nube estandarizan el firmware (OpenBMC) y la tarjeta de gestión (DC-SCM, Caliptra), lo que facilita cambiar de chip o diseñar uno propio; hoy la propia ASPEED adopta esos estándares [8].</w:t>
            </w:r>
          </w:p>
        </w:tc>
      </w:tr>
    </w:tbl>
    <w:p>
      <w:pPr>
        <w:spacing w:after="160" w:before="0"/>
      </w:pPr>
    </w:p>
    <w:p>
      <w:pPr>
        <w:pStyle w:val="Heading2"/>
      </w:pPr>
      <w:r>
        <w:t xml:space="preserve">Ciclo</w:t>
      </w:r>
    </w:p>
    <w:p>
      <w:pPr>
        <w:spacing w:after="100"/>
      </w:pPr>
      <w:r>
        <w:t xml:space="preserve">Los indicadores son las ventas mensuales (septiembre de 2026 +100,9 %), la guía del 4T26 (6.600-6.800 M, +170 % interanual) y los pedidos ya colocados para 2027 [14, 16, 18]. Es un sector cíclico: en 2023 las ventas cayeron un 39,9 % cuando los clientes vaciaron inventario tras 2022, y la acción perdió un 47 % en 2022 [16]. En 2020 la demanda de servidores aguantó (+23,3 % de ventas) y en 2008-09 la empresa era pequeña y no hay datos comparables. Estamos en el tercer año seguido de subida fuerte, que en este sector suele preceder a un ajuste.</w:t>
      </w:r>
    </w:p>
    <w:p>
      <w:pPr>
        <w:pStyle w:val="Heading2"/>
      </w:pPr>
      <w:r>
        <w:t xml:space="preserve">Regulación</w:t>
      </w:r>
    </w:p>
    <w:p>
      <w:pPr>
        <w:spacing w:after="100"/>
      </w:pPr>
      <w:r>
        <w:t xml:space="preserve">No hay regulación sectorial directa. Lo que afecta: los controles de exportación de EE. UU. a China sobre chips avanzados y la política china de compra de BMC locales, que la empresa declara como riesgo [8]; los aranceles estadounidenses a semiconductores en estudio; y las normas abiertas de la Open Compute Project (DC-SCM 2.0, Caliptra) que definen cómo debe ser la gestión segura de un servidor y que ASPEED ya cumple en el AST2700 [8].</w:t>
      </w:r>
    </w:p>
    <w:p>
      <w:pPr>
        <w:pStyle w:val="Heading2"/>
      </w:pPr>
      <w:r>
        <w:t xml:space="preserve">Tendencias y disrupción</w:t>
      </w:r>
    </w:p>
    <w:p>
      <w:pPr>
        <w:spacing w:after="100"/>
      </w:pPr>
      <w:r>
        <w:t xml:space="preserve">Tres tendencias. Primera, la IA multiplica los BMC por armario (71 en un GB300) y los lleva a conmutadores, fuentes y refrigeración: gana ASPEED [11]. Segunda, la gestión se integra: raíz de confianza, expansores y la lógica que hoy hace un FPGA (el AST1840 con Lattice, en producción en la segunda mitad de 2027) suben el contenido por servidor: gana si los clientes lo adoptan [18]. Tercera, la estandarización abierta (OpenBMC, DC-SCM) baja el coste de cambiar de proveedor y abre la puerta a que un grande de la nube use su propio chip o el de un rival; de momento no hay ningún caso público de sustitución.</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BMC para servidores (≈ 80 % según la empresa; 70-80 % según otras fuentes); en chips de AV sobre IP y cámaras panorámicas, cuota pequeña y no cuantificada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Nuvoton 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4919.TW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relevante en BMC (familias NPCM), dentro de un grupo de microcontroladores y chips de consumo; nota más demanda de BMC por la IA, pero su margen total es negativo [17, 19,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Lattice Semiconductor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LSCC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FPGA de control y raíz de confianza en la placa del servidor; socio de ASPEED en el AST1840, que integra esa función en el chip de ASPEED [18,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BMC de fabricantes chinos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Sustitución impulsada por el Gobierno chino en los servidores que se venden en China; la empresa lo declara como su primer factor desfavorable [8].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Chips propios de los grandes de la nube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potencial: diseñan sus CPU y aceleradores y promueven OpenBMC y DC-SCM; no hay ningún caso público de BMC propio que sustituya a ASPEED [8,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BMC es el diseño de referencia de las plataformas nuevas de CPU y GPU y del firmware OpenBMC, lo que arrastra a los fabricantes de placas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BMC exige rehacer y recertificar el firmware de cada plataforma; ha subido precios en 2026 sin perder cuota y el margen bruto pasó al 72 % [B1, B7].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Gráficos 2D, BMC y KVM sobre IP de diseño propio, sin licencias de terceros; 20 años de generaciones (octava en 2026)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51,3 % en 2025 frente al −4,2 % del rival Nuvoton (todo su grupo) [B2, B9].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pequeño en dinero (≈ 10.900 M TWD) que no compensa a un entrante el coste de desarrollo; un solo rival con negocio diversificado [B1, B4].</w:t>
            </w:r>
          </w:p>
        </w:tc>
      </w:tr>
    </w:tbl>
    <w:p>
      <w:pPr>
        <w:spacing w:after="160" w:before="0"/>
      </w:pPr>
    </w:p>
    <w:p>
      <w:pPr>
        <w:pStyle w:val="Heading2"/>
      </w:pPr>
      <w:r>
        <w:t xml:space="preserve">Amenazas</w:t>
      </w:r>
    </w:p>
    <w:p>
      <w:pPr>
        <w:spacing w:after="100"/>
      </w:pPr>
      <w:r>
        <w:t xml:space="preserve">Tres, por orden de probabilidad. La sustitución en China por BMC locales (alta en ese mercado, que la empresa no cuantifica; las ventas a Europa y América son el 5 % porque se factura a ODM asiáticos) [8]. Que un gran cliente de nube diseñe su propio BMC o lo integre en otro chip suyo, facilitado por OpenBMC y DC-SCM: probabilidad baja a tres años, porque el chip vale unos 15 USD y no compensa el diseño, pero sería un golpe de un 10-20 % de las ventas por cliente. Y que Nuvoton gane plataformas de IA bajando precio: baja, por sus pérdidas y su cuota pequeña.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2020-2025: ingresos </w:t>
      </w:r>
      <w:r>
        <w:rPr>
          <w:b/>
          <w:bCs/>
        </w:rPr>
        <w:t xml:space="preserve">24,3 %</w:t>
      </w:r>
      <w:r>
        <w:t xml:space="preserve">, EBITDA </w:t>
      </w:r>
      <w:r>
        <w:rPr>
          <w:b/>
          <w:bCs/>
        </w:rPr>
        <w:t xml:space="preserve">27,5 %</w:t>
      </w:r>
      <w:r>
        <w:t xml:space="preserve">, BPA </w:t>
      </w:r>
      <w:r>
        <w:rPr>
          <w:b/>
          <w:bCs/>
        </w:rPr>
        <w:t xml:space="preserve">31,3 %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TW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Todo el crecimiento es orgánico: la única compra de la década fue la línea Pilot de BMC de Emulex/Broadcom en 2016 [4, 15]. Las ventas pasaron de 3.063,6 M TWD en 2020 a 9.084,9 M en 2025, con un bache en 2023 (−39,9 %), cuando los fabricantes de servidores vaciaron inventario [1, 2, 3]. El margen operativo subió del 41,5 % de 2020 al 51,3 % de 2025 (34,5 % en el bache de 2023), porque los gastos de I+D crecen mucho menos que las ventas: 12 % de las ventas en 2025 frente al 20 % en 2023 [1, 2]. En el 1S26 las ventas crecieron un 62,8 % y el margen operativo fue del 53,4 %; el margen bruto del 2T26 (72,0 %) recoge las subidas de precio de abril [5, 13]. El resultado financiero lleva intereses de la caja (153,3 M en 2025) y diferencias de cambio que cambian de signo con el dólar: −70,8 M en 2025, +121,1 M en 2024 y −447,2 M en el 2T25, cuando el dólar taiwanés se apreció [1, 5].</w:t>
      </w:r>
    </w:p>
    <w:p>
      <w:pPr>
        <w:pStyle w:val="Heading2"/>
      </w:pPr>
      <w:r>
        <w:t xml:space="preserve">Ajustes y partidas no recurrentes</w:t>
      </w:r>
    </w:p>
    <w:p>
      <w:pPr>
        <w:spacing w:after="100"/>
      </w:pPr>
      <w:r>
        <w:t xml:space="preserve">Cifras publicadas, sin ajustes. Dos reexpresiones por dividendo en acciones: 1 por 10 con fecha 4-jul-2022 y 1 por 10 con fecha 13-jul-2026 (ampliación con cargo a prima de emisión aprobada en la junta del 28-may-2026); BPA, DPA y acciones de todos los años van divididos por 1,1 (y 2020-2021 por 1,21) para quedar en la base de 41,58 M acciones de hoy, como hace la empresa en sus estados del 2T26 [3, 5]. No hay partidas no recurrentes en el EBITDA. La remuneración de empleados en efectivo (reparto de beneficios del 8 % mínimo por estatutos) es gasto de explotación todos los años, y los pagos en acciones restringidas son pequeños (−27,7 M en 2025 por reversión; +20,2 M en el 1S26) [1, 5, 8]. Las diferencias de cambio y las variaciones de valor razonable de inversiones financieras (+121,6 M en el 1S26) son volátiles y no se proyectan [5].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24-nov-2025 la dirección dio para el 1T26 entre 2.600 y 2.700 M de ventas, «conservadora» por la falta de sustrato, y avanzó que el BMC de octava generación AST2700 (12 nm, el primero de la empresa en ese proceso) empezaría a venderse en el 1T26; también estimó que los BMC de servidores de IA crecerían un 40 % anual dos años y que hacia 2030 superarán en número a los de servidores generales [10, 11]. El 1T26 cerró en 3.146,8 M, un 17 % sobre el techo de la guía [6, 9]. En Computex (3-jun-2026) el presidente dijo que los pedidos de enero doblaron lo que los clientes habían previsto a final de 2025 por la IA agéntica, que el segundo semestre superará al primero y que 2027 será «mucho mayor», pero que el sustrato retrasa envíos al 4T26 y presiona el margen, con un objetivo de margen bruto a largo plazo del 70 % [12]. Tras el 2T26 (margen bruto 72 %, BPA 44,27) la dirección prevé entre 1,2 y 1,5 M de AST2700 en 2026 y 10 M en 2027 [13]. Según JPMorgan, la guía del 4T26 es de 6.600-6.800 M y margen bruto del 67-68 % [14]. Lo que no ha cuantificado: el precio medio del AST2700 y cuánto del crecimiento de 2027 es precio y cuánto volumen.</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de caja neta en todos los años: la caja (con inversiones a corto) pasó de 1.901,6 M en 2020 a 6.298,3 M en 2025 y 9.364,1 M en jun-26 [1, 5]. El circulante comercial es pequeño (existencias + clientes − proveedores ≈ 14 % de las ventas en 2025) y en el 1S26 creció por los clientes (2.503,3 M, +56 % en seis meses) al acelerarse las ventas [5]. La caja está en buena parte en dólares, por lo que el tipo de cambio mueve el resultado financiero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12.052</w:t>
      </w:r>
      <w:r>
        <w:t xml:space="preserve">, conversión </w:t>
      </w:r>
      <w:r>
        <w:rPr>
          <w:b/>
          <w:bCs/>
        </w:rPr>
        <w:t xml:space="preserve">101 %</w:t>
      </w:r>
      <w:r>
        <w:t xml:space="preserve"> del beneficio neto; adquisiciones 0, dividendos 7.272, recompras 0.</w:t>
      </w:r>
    </w:p>
    <w:p>
      <w:pPr>
        <w:spacing w:after="100"/>
      </w:pPr>
      <w:r>
        <w:t xml:space="preserve">La conversión de beneficio en caja es alta salvo en 2023: flujo operativo de 4.495,9 M en 2025 (114 % del beneficio neto) y de 3.144,7 M en 2024, frente a 518,8 M en 2023, cuando se pagaron 595,7 M de impuestos del año récord anterior y cayeron las ventas [1, 2]. El capex (inmovilizado e intangibles, sobre todo licencias de diseño y equipos de prueba) es del 2,4-4,4 % de las ventas; en 2025 subió a 341,7 M por la nueva sede de I+D de Kaohsiung, y en el 1S26 fue de 328,7 M [1, 5, 8]. Estimación propia: el mantenimiento es del orden de la amortización (≈ 3 % de las ventas). El dividendo se lleva entre el 60 % y el 170 % del beneficio del año anterior, y la caja sigue creciendo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(Taiwán)</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cuestión clave de auditoría: reconocimiento de ingresos de clientes nuevos y con riesgos específicos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sencillas: ingresos por venta de chips reconocidos a la entrega, sin capitalización de I+D (los gastos de I+D, 1.042 M en 2025, van a resultados) y con intangibles pequeños (licencias de propiedad intelectual) [1]. El fondo de comercio de 369 M viene de la compra de la línea Pilot de BMC en diciembre de 2016 y no se ha deteriorado [4]. La remuneración de empleados en efectivo es gasto y la remuneración en acciones es mínima, así que el beneficio no está inflado por pagos en acciones [1]. Lo volátil está fuera de la explotación: diferencias de cambio (−447,2 M en el 2T25, +218,1 M de otros resultados en el 3T25) y valor razonable de inversiones [5, 7]. El auditor destacó como cuestión clave el reconocimiento de ingresos de clientes nuevos [1]. Los indicadores del motor se leen con cuidado: el Beneish de 2024 sale alto por el salto de las ventas (+106 %) y de los clientes, que es crecimiento real del ciclo, no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un proveedor (98,2 % de las 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un riesgo contable sino operativo: toda la fabricación pasa por un proveedor de servicios de diseño y por TSMC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Diferencias de cambio grandes en el resultado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clientes en dólares: el 2T25 perdió 447,2 M por el tipo de cambio [5].</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369 M en 2025 (el 22 % del capital invertido medio); ha subido más de un 5 % en 0 de 5 años: sin compras. ROIC publicado 221,0 %; sin fondo de comercio, 282,0 %. Sin compras relevantes: el publicado ya es el ROIC del negocio.</w:t>
      </w:r>
    </w:p>
    <w:p>
      <w:pPr>
        <w:spacing w:after="100"/>
      </w:pPr>
      <w:r>
        <w:rPr>
          <w:b/>
          <w:bCs/>
        </w:rPr>
        <w:t xml:space="preserve">ROIC incremental</w:t>
      </w:r>
      <w:r>
        <w:t xml:space="preserve"> (variación del NOPAT sobre variación del capital invertido en el periodo): 527,0 % · </w:t>
      </w:r>
      <w:r>
        <w:rPr>
          <w:b/>
          <w:bCs/>
        </w:rPr>
        <w:t xml:space="preserve">WACC</w:t>
      </w:r>
      <w:r>
        <w:t xml:space="preserve">: 10,1 %.</w:t>
      </w:r>
    </w:p>
    <w:p>
      <w:pPr>
        <w:spacing w:after="100"/>
      </w:pPr>
      <w:r>
        <w:t xml:space="preserve">ASPEED crea muchísimo valor: ROIC del 221,0 % en 2025 (87,6 % en 2020 y 59,7 % en el bache de 2023) frente a un WACC del 10,13 %, con un capital invertido de solo 1.706 M (circulante, inmovilizado, intangibles y el fondo de comercio de Pilot) y un NOPAT de 3.770 M. Sin el fondo de comercio el ROIC es del 282 %. El ROIC incremental de 2020-2025 es del 527 %: las ventas se triplicaron con apenas 500 M más de capital. ROIC − WACC: unos 211 puntos, muy por encima de los 5 que pide la regla. El ROE (59,5 %) es menor por la caja, que no se reparte entera. Lo mueve el margen: el margen neto pasó del 32,8 % de 2020 al 43,2 % de 2025, y la rotación del capital es de 1x. Frente a los comparables, el margen EBITDA del 55 % solo lo iguala eMemory (61,6 %, propiedad intelectual); Nuvoton pierde dinero [25].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-9.064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-6.039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6.743,4 M + activos financieros a corto (valor razonable 708,8 M y depósitos a coste amortizado 1.911,9 M) = 9.364,1 M a 30-jun-2026, sin deuda bancaria; de esa caja salió en julio el dividendo de 3.024,2 M que figuraba como pasivo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financiera ni pensiones de prestación definida relevantes (planes de aportación definida). Los pasivos que importan son la remuneración devengada a empleados y consejeros (884,4 M a jun-26, se paga al año siguiente), los arrendamientos de oficinas (300,5 M) y el dividendo pendiente a 30-jun-2026 (3.024,2 M, 80 TWD por acción antigua), pagado después del cierre del semestre [5]. Provisiones de 108,5 M (garantías y devoluciones) [5]. No hay litigios relevantes declarados [1, 8]. Como el 98 % de las compras va a un solo proveedor de servicios de fabricación, la empresa no tiene compromisos de compra en firme publicados [8].</w:t>
      </w:r>
    </w:p>
    <w:p>
      <w:pPr>
        <w:pStyle w:val="Heading1"/>
      </w:pPr>
      <w:r>
        <w:t xml:space="preserve">12. Asignación de capital</w:t>
      </w:r>
    </w:p>
    <w:p>
      <w:pPr>
        <w:pStyle w:val="Confianza"/>
        <w:spacing w:after="100"/>
      </w:pPr>
      <w:r>
        <w:t xml:space="preserve">Confianza: Alta</w:t>
      </w:r>
    </w:p>
    <w:p>
      <w:pPr>
        <w:spacing w:after="100"/>
      </w:pPr>
      <w:r>
        <w:t xml:space="preserve">Estatutos: repartir al menos el 10 % del beneficio distribuible y no menos del 50 % del capital social [8]. En la práctica, dividendo en efectivo del 75-80 % del beneficio: 80 TWD por acción antigua con cargo a 2025 (3.024,2 M, el 77 % del beneficio), más 1 acción nueva por cada 10 con cargo a prima de emisión, con fecha 13-jul-2026 [5, 8]. Sin recompras recientes ni deuda. La dirección dice que usará la caja del BMC para incubar productos nuevos dentro de la empresa y escindirlos cuando maduren (Cupola360, filial desde el 31-dic-2025)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Línea de BMC Pilot de Emulex (Broadcom)</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acciones (30 M USD anunciados según DigiTimes, sin confirmar en las cuentas)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Cumplió: consolidó el liderazgo en BMC; fondo de comercio de 369 M sin deterioro diez años después [4, 15].</w:t>
            </w:r>
          </w:p>
        </w:tc>
      </w:tr>
    </w:tbl>
    <w:p>
      <w:pPr>
        <w:spacing w:after="160" w:before="0"/>
      </w:pPr>
    </w:p>
    <w:p>
      <w:pPr>
        <w:spacing w:after="100"/>
      </w:pPr>
      <w:r>
        <w:t xml:space="preserve">Buena asignación de capital por sencillez: crecimiento orgánico, sin deuda, capex de 2-4 % de las ventas y casi todo el beneficio devuelto en dividendo. La caja crece igualmente (9.364 M a jun-26) porque el negocio no la necesita. El riesgo es el contrario: que el exceso de caja se use en apuestas fuera del BMC (Cupola360 lleva años sin peso: 75 M de ingresos en 2025) [1, 8]. Los dividendos en acciones de 2022 y 2026 no diluyen valor (son repartos proporcionales).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Lin (林鴻明)</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 (President)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Antes, presidente de XGI Technology y vicepresidente de productos multimedia; ingeniero electrónico (Tsing Hua). Ha llevado la empresa de cero a 9.085 M TWD de ventas y un margen operativo del 51 % con 151 empleados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CJ Hsieh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Figura como alto directivo en la tabla de remuneración de 2025 (tramo de 15-30 M TWD)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Huang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(Cloud Lab)</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Ascendido a vicepresidente el 1-abr-2025 desde el laboratorio de nube, donde se desarrolla el BMC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Kuan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 ventas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subdirector de ventas en Asia; vicepresidente desde el 1-abr-2025 tras la jubilación de Luke Chen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Tina Chiu (邱文玉)</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finanzas y contabilidad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financiera y contable según el registro de directivos del Taipei Exchange [8,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2.000-2.100 M TWD, margen bruto 66,5-67,5 %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2.443,1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2.600-2.700 M TWD («conservadora» por el sustrato)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3.146,8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debajo de ≈ 3.580 M TWD (el real superó el techo en un 8 %) y margen bruto del 67-68 %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3.871,4 M y margen bruto del 72 %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4.100-4.300 M TWD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4.786,3 M (ventas mensuales)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Largo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en torno al 70 %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68,0 % en 2025; 70,7 %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creíble: la dirección ha superado su guía trimestral de ventas en todos los trimestres revisados (del 4T25 al 3T26), por márgenes del 8 % al 17 %, porque la guía se ciñe al sustrato disponible [9, 10, 11, 18]. El riesgo es la persona clave: Chris Lin, de 65 años, es fundador, presidente y primer ejecutivo desde 2004, y no hay plan de sucesión publicado; en 2025 se jubiló el vicepresidente de ventas y ascendieron dos subdirectores internos [8]. La empresa justifica el doble cargo por la eficiencia y lo compensa con cuatro consejeros independientes y una mayoría de consejeros no ejecutivos [8].</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Linvest Wealth Corp. (representante: Luke Chen)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Linvest Fortune Corp. (representante: Hung-Ju Huang)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Xian Hua Investment Co. (representante: Arnold Yu)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Ted Tsai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Sheng-Lin Chou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C. 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Chen-Fu Chien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Kathy Yang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cuestión clave de auditoría: reconocimiento de ingresos de clientes nuevos y con riesgos específicos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Lin y sociedades vinculadas (Linvest Wealth, Linvest Fortune)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ventas en 12 meses: las participaciones solo crecen por el dividendo en acciones de julio de 2026 (Linvest Wealth 5.253.076 → 5.778.383 acciones, ×1,10) [8,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Linvest Wealth Corp.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del fundador (incluida arriba)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550.000 acciones pignoradas (9,5 %)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Pensiones Laborales (nuevo y viejo)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Fuh Hwa (mandato de Fubon Life)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Cathay Life Insurance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Xian Hua Investment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(sociedad)</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salvo el dividendo en acciones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Norges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6"/>
        <w:gridCol w:w="3381"/>
        <w:gridCol w:w="1521"/>
        <w:gridCol w:w="1690"/>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Ted Tsai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 Lin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5,76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Por estatutos, los consejeros reciben como máximo el 3 % del beneficio y los empleados al menos el 8 % (reparto de beneficios en efectivo) [8]. En 2025 la remuneración de consejeros fue el 1,60 % del beneficio neto (62,9 M TWD; unos 10,1 M por consejero dominical o ejecutivo) y la de presidente y vicepresidentes, el 2,14 % [8, 21]. Chris Lin cobró 10,1 M como consejero y 5,8 M de salario, más una parte del reparto a directivos (69,4 M entre nueve), y figura en el tramo de 10-15 M TWD como presidente [8]. El variable depende del beneficio del año, no del ROIC ni del rendimiento para el accionista, y no hay cláusula de recuperación publicada. En Taiwán la remuneración no se vota en la junta.</w:t>
      </w:r>
    </w:p>
    <w:p>
      <w:pPr>
        <w:pStyle w:val="Heading2"/>
      </w:pPr>
      <w:r>
        <w:t xml:space="preserve">Operaciones vinculadas, estructura de control y defensas</w:t>
      </w:r>
    </w:p>
    <w:p>
      <w:pPr>
        <w:spacing w:after="100"/>
      </w:pPr>
      <w:r>
        <w:t xml:space="preserve">El fundador controla de hecho la empresa con el 18,0 % (directo y a través de Linvest Wealth y Linvest Fortune) y tres de los nueve puestos del consejo, además de la presidencia y la dirección ejecutiva [8, 21]. No hay clases de acciones ni límites de voto: una acción, un voto [8]. El consejo tiene cuatro independientes de nueve, la comisión de auditoría está formada solo por independientes y desde noviembre de 2025 hay una comisión de nombramientos [8]. Puntos débiles: doble cargo de presidente y primer ejecutivo, sin consejero coordinador, y dos independientes con más de 9 años (Kathy Yang desde 2003 y Chen-Fu Chien desde 2015). El 80 % del capital flota y es líquido (≈ 4.729 M TWD al día).</w:t>
      </w:r>
    </w:p>
    <w:p>
      <w:pPr>
        <w:pStyle w:val="Heading2"/>
      </w:pPr>
      <w:r>
        <w:t xml:space="preserve">Señales de alerta</w:t>
      </w:r>
    </w:p>
    <w:p>
      <w:pPr>
        <w:pStyle w:val="ListParagraph"/>
        <w:numPr>
          <w:ilvl w:val="0"/>
          <w:numId w:val="2"/>
        </w:numPr>
        <w:spacing w:after="60"/>
      </w:pPr>
      <w:r>
        <w:t xml:space="preserve">Doble cargo de presidente y primer ejecutivo del fundador, de 65 años, sin plan de sucesión publicado [8].</w:t>
      </w:r>
    </w:p>
    <w:p>
      <w:pPr>
        <w:pStyle w:val="ListParagraph"/>
        <w:numPr>
          <w:ilvl w:val="0"/>
          <w:numId w:val="2"/>
        </w:numPr>
        <w:spacing w:after="60"/>
      </w:pPr>
      <w:r>
        <w:t xml:space="preserve">Linvest Wealth (sociedad del fundador) tiene pignoradas 550.000 acciones (9,5 % de su paquete) [21].</w:t>
      </w:r>
    </w:p>
    <w:p>
      <w:pPr>
        <w:pStyle w:val="ListParagraph"/>
        <w:numPr>
          <w:ilvl w:val="0"/>
          <w:numId w:val="2"/>
        </w:numPr>
        <w:spacing w:after="60"/>
      </w:pPr>
      <w:r>
        <w:t xml:space="preserve">Impagos de liquidación de particulares en la acción (27-abr y 11-ago-2026), señal del frenesí especulativo, no de la empresa [22].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el 4T26 la empresa da ventas de 6.600-6.800 M TWD y margen bruto del 67-68 %, con 32 TWD por dólar (presentación del 8-sep-2026) [28]. Si se cumple, 2026 cerraría en unos 18.500 M (+104 %). La dirección espera que los BMC de servidores de IA crezcan un 40 % anual dos años y que el AST2700 pase de 1,2-1,5 M de unidades en 2026 a 10 M en 2027 [11,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vía StockAnalysis (12-13 analistas)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vía StockAnalysis y Yahoo (16 analistas) [24, 25]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22.593,47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17.363,64 – 26.660,00</w:t>
            </w:r>
          </w:p>
        </w:tc>
      </w:tr>
    </w:tbl>
    <w:p>
      <w:pPr>
        <w:spacing w:after="160" w:before="0"/>
      </w:pPr>
    </w:p>
    <w:p>
      <w:pPr>
        <w:pStyle w:val="Heading2"/>
      </w:pPr>
      <w:r>
        <w:t xml:space="preserve">Revisiones de estimaciones</w:t>
      </w:r>
    </w:p>
    <w:p>
      <w:pPr>
        <w:spacing w:after="100"/>
      </w:pPr>
      <w:r>
        <w:t xml:space="preserve">Al alza en tres meses: el BPA de 2026 pasó de 178,59 hace 90 días a 200,92, y el de 2027 de 277,84 a 342,05 (345,40 hace 30 días) [25]. Los objetivos han ido de 12.345 (Morgan Stanley, feb-26) a 23.456 (Morgan Stanley, jun-26) y 23.000 (JPMorgan, sep-26) [14, 30]. La mediana de objetivos es 23.000 [24]. Investing tiene 15 en comprar y un objetivo medio de 19.136,7 [32].</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subido un 143,2 % en 2026 con dividendos (ETF 0050: +68,2 %; semiconductores SOXX: +67,0 %) y un 231,3 % en un año [23]. Se explica sobre todo por el beneficio: el BPA de doce meses pasó de 61,66 en 2024 a 136,12 a junio de 2026 [28]. La historia es de ciclo: −47,1 % en 2022 y +7,0 % en 2024 frente a un 0050 que subió un 48,6 %, y una caída máxima de 5 años del 56,3 % (ago-2024 a abr-2025) [23]. La volatilidad es del 65 % anual. La beta mensual de 5 años frente al 0050 es 1,31 (semanal 1,10; ajustada 1,21) [23]. Es la acción de mayor precio de la bolsa de Taiwán («股王»): un lote de 1.000 acciones cuesta unos 16 M TWD, por eso el público minorista opera por fracciones y hubo dos impagos de liquidación de particulares (27-abr y 11-ago-2026) [30].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 +23,4 % / +21,4 % / +238,0 %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 / +242,3 %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índice MSCI Taiwan (cambio efectivo a final de noviembre) y resultados del 3T25; la acción supera por primera vez los 6.000 TWD nominales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subida de un mes en seis (hasta el 4-may): demanda de BMC por la IA agéntica y los servidores de CPU, subida de precios de abril, resultados del 1T26 y objetivos de los bancos de 12.345 (Morgan Stanley, febrero) a más de 20.000 [12,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caída de un mes en seis (hasta el 20-jul): máximo de 19.880 el 22-jun y caída a la mitad de sesión de −10 % el 26-jun, día del dividendo de 80 TWD, con el TAIEX −1.700 puntos y todas las acciones de más de 1.000 TWD a la baja; recogida de beneficios en los valores de PER alto [26,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por encima de lo esperado (BPA 44,27 frente a 40,28 de consenso), guía del 4T26 de 6.600-6.800 M y acuerdo de capacidad de encapsulado con ASE para 2027-2028: máximo de 21.800 el 22-sep [13, 14, 28,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máximo de 21.800 (22-sep) a 15.900 (20-oct): caída general de las tecnológicas de Taiwán (TAIEX de 49.822 el 6-oct a 46.822 el 19-oct) y −8,9 % el 15-oct, día en que el TAIEX cayó un 3,4 %. No hemos encontrado ningún hecho propio de la empresa: las ventas de septiembre (1.636 M, +0,6 % mensual) cerraron un 3T26 de 4.786 M, por encima de la guía de 4.100-4.300 M [9,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(fecha estimada); Yahoo espera un BPA de 49,40 con ventas de 4.625 M, ya superadas (4.786 M) [24,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septiembre de 1.636 M; enero-septiembre 11.804 M (+77,7 %)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compra de capacidad de encapsulado con ASE para 2027-2028; la empresa dice que los clientes ven pedidos fuertes hasta 2028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4T26: ventas de 6.600-6.800 M y margen bruto del 67-68 % con 32 TWD por dólar; subida de precios de dos dígitos prevista para el 1-dic según JPMorgan (objetivo 23.000) [14,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ventas de 3.871 M (+72 %), margen bruto del 72,0 % y BPA de 44,27; dos bancos estadounidenses mantienen comprar con objetivos de 20.455 y 20.888 [13,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en acciones de 1 por 10 (41,58 M acciones); ya recogido en el BPA reexpresado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80 TWD por acción antigua y caída de −10 % (mayor caída en importe de la historia de la bolsa de Taiwán) [26,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Morgan Stanley sube el objetivo a 23.456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cae un 27,1 % desde el máximo del 22-sep y un 8,8 % en un mes, pero sigue un 19,1 % por encima de su media de 200 sesiones y más del triple que hace un año [23]. La caída de octubre coincide con la del mercado de Taiwán y con la venta de valores de PER alto; no hemos encontrado ninguna noticia de la empresa que la explique, y los datos publicados desde septiembre (ventas del 3T26 por encima de la guía, guía del 4T26 un 40 % por encima del 3T26, capacidad asegurada con ASE) van en la dirección de la tesis [9, 28, 29]. No hay hecho pendiente con fecha que pueda mover el precio más de un 5 % en contra fuera del propio negocio: ni colocaciones, ni ampliaciones, ni pleitos. Los resultados del 11-nov no aplazan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cierre de cada año y el BPA real del año siguiente (reexpresado a las acciones de hoy), ASPEED cotizó entre 24x (2018) y 63x (2022) el beneficio que venía; entre 2020 y 2024, entre 32x y 63x, con mediana de 46x [1, A1-A4]. Los máximos son de años previos a un bache (2021 y 2022, antes de la caída del 52 % del BPA de 2023): el mercado no descontó el ciclo. Hoy cotiza a 116,8x el BPA de doce meses (136,12) y a unas 46x el BPA de consenso de 2027 (342,05) [24]. Lo que ha cambiado de forma estructural es el contenido de BMC por servidor (racks de IA con decenas de BMC) y el margen operativo, del 41,5 % de 2020 al 53,9 % del 2T26.</w:t>
      </w:r>
    </w:p>
    <w:p>
      <w:pPr>
        <w:pStyle w:val="Heading1"/>
      </w:pPr>
      <w:r>
        <w:t xml:space="preserve">18. Comparables cotizados</w:t>
      </w:r>
    </w:p>
    <w:p>
      <w:pPr>
        <w:pStyle w:val="Confianza"/>
        <w:spacing w:after="100"/>
      </w:pPr>
      <w:r>
        <w:t xml:space="preserve">Confianza: Media</w:t>
      </w:r>
    </w:p>
    <w:p>
      <w:pPr>
        <w:spacing w:after="100"/>
      </w:pPr>
      <w:r>
        <w:t xml:space="preserve">Diseñadores de chips sin fábrica con exposición a centros de datos y a la IA: Nuvoton (único competidor cotizado en BMC), Alchip y Global Unichip (diseño de ASIC), MediaTek y Realtek (grandes diseñadores taiwaneses), eMemory (propiedad intelectual, márgenes altos), Lattice (FPGA de control de servidor, compite en PRoT), Monolithic Power, Astera Labs y Credo (chips de conectividad y alimentación para servidores de IA). Ninguno es un BMC puro. Estimaciones de Yahoo a 20-oct-2026; PER de los próximos 12 meses = 0,2 × 2026e + 0,8 × 2027e; dólar a 32,62 TWD. El crecimiento de Alchip no se usa (sale de una base anómala).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ASPEED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661.122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Nuvoton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Alchip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314.151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Unichip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1.037.915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MediaTek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6.628.208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Realtek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eMemory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Lattice Semiconductor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504.236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Monolithic Power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2.031.106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Astera Labs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1.625.996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Credo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1.065.370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57,4x / 60,2x / 166,1x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9.207,70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9.649,80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26.370,70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 / 36,5x / 45,8x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7.345,12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11.485,10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14.391,72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 / 19,2x / 23,2x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3.259,09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5.582,34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6.716,68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-64,9 %</w:t>
            </w:r>
          </w:p>
        </w:tc>
      </w:tr>
    </w:tbl>
    <w:p>
      <w:pPr>
        <w:spacing w:after="160" w:before="0"/>
      </w:pPr>
    </w:p>
    <w:p>
      <w:pPr>
        <w:spacing w:after="100"/>
      </w:pPr>
      <w:r>
        <w:t xml:space="preserve">ASPEED cotiza con prima sobre casi todos: unas 46x el consenso de 2027 frente a una mediana de 36,6x el PER de los próximos doce meses del grupo [25]. La prima tiene base en el margen (EBITDA del 55 %, solo igualado por eMemory) y en la cuota, pero los comparables más cercanos por cliente (Alchip, Realtek, MediaTek) cotizan a 20-31x, y Nuvoton, el único rival en BMC, a 39,8x con pérdidas. Varios comparables (Astera, Global Unichip) están igual de caros por el mismo ciclo de IA, así que la mediana ya lleva ese optimismo.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18.497 M (+103,6 %): enero-septiembre oficial de 11.804 M [9] más el centro de la guía del 4T26, 6.700 M [28]. 2027e +55 %: el 4T26 anualizado ya da 26.800 M, la empresa sube precios un porcentaje de dos dígitos el 1-dic según JPMorgan [14] y el AST2700 pasa de 1,2-1,5 M de unidades a 10 M [13]; el consenso espera +65,5 % [24] y nos quedamos por debajo porque 2026 lleva recuperación de envíos retrasados por el sustrato [12] y porque el ciclo de IA ya está en su tercer año fuerte. 2028e +20 %: la empresa prevé BMC de IA +35 % y servidores generales +5 % [11]. 2029e −10 %: una digestión del ciclo, mucho más suave que el −40 % de 2023 [2], porque los BMC por armario no se desinstalan. Después, 6-10 % y bajando al 3 % en 2035e.</w:t>
      </w:r>
    </w:p>
    <w:p>
      <w:pPr>
        <w:keepNext/>
        <w:spacing w:after="100"/>
      </w:pPr>
      <w:r>
        <w:rPr>
          <w:b/>
          <w:bCs/>
        </w:rPr>
        <w:t xml:space="preserve">Márgenes.</w:t>
      </w:r>
    </w:p>
    <w:p>
      <w:pPr>
        <w:spacing w:after="100"/>
      </w:pPr>
      <w:r>
        <w:t xml:space="preserve">Margen EBITDA del 56,5 % en 2026e (56,3 % en el 1S26 y un 4T26 con margen bruto del 67-68 % [28]), del 57 % en 2027e-2028e por apalancamiento operativo con más I+D, y del 52-53 % desde 2029e: por debajo del 54,9 % de 2025 y por encima del 44,3 % del bache de 2023 [1, 2]. Suponemos que la subida de precios de 2026 no se mantiene entera cuando el sustrato deje de faltar y Nuvoton gane algún diseño.</w:t>
      </w:r>
    </w:p>
    <w:p>
      <w:pPr>
        <w:keepNext/>
        <w:spacing w:after="100"/>
      </w:pPr>
      <w:r>
        <w:rPr>
          <w:b/>
          <w:bCs/>
        </w:rPr>
        <w:t xml:space="preserve">Inversión y circulante.</w:t>
      </w:r>
    </w:p>
    <w:p>
      <w:pPr>
        <w:spacing w:after="100"/>
      </w:pPr>
      <w:r>
        <w:t xml:space="preserve">Capex del 2,6-3 % de las ventas (3,8 % en 2025 y 2,4-4,4 % en 2020-2025 [1]), por encima de una amortización del 2,2-2,6 %. Circulante comercial del 14 % de las ventas, el de final de 2025 [1]. Tipo impositivo del 19,5 % (18,7-20,0 % en el 1S26 [28]).</w:t>
      </w:r>
    </w:p>
    <w:p>
      <w:pPr>
        <w:keepNext/>
        <w:spacing w:after="100"/>
      </w:pPr>
      <w:r>
        <w:rPr>
          <w:b/>
          <w:bCs/>
        </w:rPr>
        <w:t xml:space="preserve">Coste del capital.</w:t>
      </w:r>
    </w:p>
    <w:p>
      <w:pPr>
        <w:spacing w:after="100"/>
      </w:pPr>
      <w:r>
        <w:t xml:space="preserve">Tasa libre: bono de Taiwán a 10 años al 2,03 % (20-oct-2026) [31]. Beta de 1,2: la mensual de 5 años frente al ETF 0050 es 1,31, la semanal 1,10 y la ajustada 1,21 [23]. Prima de mercado del 5,5 % y 1,5 puntos adicionales por Taiwán (riesgo del estrecho, donde están la empresa, su proveedor y TSMC) y por la concentración en un solo ciclo de inversión. Sin deuda: WACC del 10,13 %. Con la prima implícita del mercado (4,2 %) el motor da un WACC del 8,57 %.</w:t>
      </w:r>
    </w:p>
    <w:p>
      <w:pPr>
        <w:keepNext/>
        <w:spacing w:after="100"/>
      </w:pPr>
      <w:r>
        <w:rPr>
          <w:b/>
          <w:bCs/>
        </w:rPr>
        <w:t xml:space="preserve">Valor terminal.</w:t>
      </w:r>
    </w:p>
    <w:p>
      <w:pPr>
        <w:spacing w:after="100"/>
      </w:pPr>
      <w:r>
        <w:t xml:space="preserve">Gordon con un 1,5 % de crecimiento, entre la inflación esperada de Taiwán (≈ 1,5-2 %) y la tasa libre menos medio punto (1,53 %). Implica unas 10x el EBITDA terminal; el valor terminal pesa el 50 % del valor. Dejamos 15x como múltiplo de salida de contraste.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4.187,06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5.136,03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4.601,24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4.781,62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4.474,19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4.075,23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3.856,11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3.967,53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4.255,72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4.596,20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4.782,10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4.875,04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5.854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 (reinvierte el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94,7 % (histórico: 527,0 %)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 frente al 20,6 %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5.854 M, el 4 % del NOPAT, con un capex bruto medio del 2,8 % de las ventas). En un negocio de activos ligeros, el crecimiento medio del 20,6 %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ASPEED vendió unos 18 M de BMC en 2025 y los analistas esperan 32,6 M en 2026 (+81 %) [8, 11]. Precio y mezcla: subida de precios de abril (margen bruto del 72 % en el 2T26) y primeros AST2700 [5, 13]. Otros: el dólar (de 32,8 a 32,0-32,6 TWD) y AV sobre IP [28]. Ya hay nueve meses publicados.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+40 %, por debajo del +51 % que esperan los analistas (49,1 M de BMC) [11]. Precio +15 %: subida de dos dígitos del 1-dic-2026 y paso al AST2700, más caro [13,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(los analistas: +27 %, 62,4 M [11]) y precio +5 % por la mezcla de AST2700.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Digestión del ciclo de inversión de los grandes de la nube: volumen −8 % y precio −2 % (2023: −40 % de ventas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al crecimiento de los servidores (+5 %) con la renovación de plataformas; precio estable.</w:t>
            </w:r>
          </w:p>
        </w:tc>
      </w:tr>
    </w:tbl>
    <w:p>
      <w:pPr>
        <w:spacing w:after="160" w:before="0"/>
      </w:pPr>
    </w:p>
    <w:p>
      <w:pPr>
        <w:spacing w:after="100"/>
      </w:pPr>
      <w:r>
        <w:t xml:space="preserve">Sí. La proyección casi no necesita inversión neta (4 % del NOPAT acumulado), la reinversión bruta financia un 22,6 % de crecimiento al ROIC actual frente al 20,6 % proyectado, y el ROIC de 2025 es del 221 % con un ROIC incremental de 2020-2025 del 527 %. El crecimiento medio sale casi todo de 2026e-2027e, ya publicado o con guía y pedidos, y descansa en lo que la calidad sí sostiene: una cuota del ≈ 80 % del BMC de servidores [8], un producto que es una parte mínima del coste del servidor y que hay que validar con firmware en cada plataforma, y un solo rival relevante (Nuvoton) que pierde dinero [17]. Lo que no está asegurado es el nivel de partida (margen bruto del 72 % con precios subidos en un año de escasez) y la duración del ciclo de IA; por eso el base baja el margen al 52 % y mete un año de caída en 2029. No damos cuota final (mercado_final vacío) porque no hay un estudio de mercado de BMC en valor fiable: la serie en unidades es de la empresa y de los analistas [8, 11].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34,5 % (base: 11,3 %)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82 % justifica el precio (base: 52,0 %)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 (WACC: 10,1 %)</w:t>
            </w:r>
          </w:p>
        </w:tc>
      </w:tr>
    </w:tbl>
    <w:p>
      <w:pPr>
        <w:spacing w:after="160" w:before="0"/>
      </w:pPr>
    </w:p>
    <w:p>
      <w:pPr>
        <w:spacing w:after="100"/>
      </w:pPr>
      <w:r>
        <w:t xml:space="preserve">El DCF da 4.187,06 TWD por acción, un 73,7 % por debajo del precio, con el valor terminal en el 50 % del valor y un WACC del 10,13 %; con la prima implícita del mercado sube a 5.107,93. El DCF inverso es lo importante: para justificar 15.900 TWD, las ventas tendrían que crecer un 34,5 % anual en 2027-2035 desde los 18.497 M de 2026e, frente al 11,3 % de nuestro base. Es decir, multiplicarse por 14 en nueve años, hasta unos 270.000 M TWD (≈ 8.000 M USD) de chips de gestión, cuando todo el mercado mundial de BMC son hoy unos 20-30 M de unidades a unos 15 USD. La rentabilidad anual implícita en el precio, con nuestro base, es del 3,8 %, frente a un coste de capital del 10,1 %. Ningún supuesto razonable de margen cierra esa distancia: el margen EBITDA ya es del 57 %.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de la nube frenan su inversión en 2027-2028 tras tres años de récord, como en 2023; la subida de precios de 2026 se revierte cuando sobra sustrato, y Nuvoton gana algún diseño grande. Las ventas crecen un 30 % en 2027 y caen un 15 % en 2028, con el margen EBITDA en el 52 %.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AST2700 y la subida de precios de diciembre llevan 2027 a +55 %; 2028 crece un 20 % con los BMC de IA. En 2029 llega una digestión del ciclo (−10 %) y después el negocio crece con los centros de datos, con el margen en el 52-53 %.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5.667,84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BMC por armario siguen subiendo (conmutadores, fuentes, refrigeración), el AST2700 se generaliza y la inversión en IA sigue fuerte hasta 2028: ventas +75 % en 2027 y +35 % en 2028 con el margen EBITDA en el 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TWD) · precio actual 15.9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4.064,96 TWD (-74,4 %).</w:t>
      </w:r>
    </w:p>
    <w:p>
      <w:pPr>
        <w:spacing w:after="100"/>
      </w:pPr>
      <w:r>
        <w:t xml:space="preserve">Los tres escenarios del DCF quedan muy por debajo del precio: el bajista vale 2.217,86 TWD (−86,1 %) y el alcista 5.667,84 (−64,4 %); la asimetría es de −0,75x. Incluso con el alcista el valor a largo plazo es un tercio del precio, porque todos suponen que el ciclo de servidores de IA se normaliza después de 2028. A 12 meses la cuenta es distinta porque el mercado paga hoy 51,6x nuestro BPA de 2027e y la regla supone que eso se modera poco: el alcista daría 23.626,81 (+48,6 %) y el bajista 6.477,78 (−59,3 %).</w:t>
      </w:r>
    </w:p>
    <w:p>
      <w:pPr>
        <w:pStyle w:val="Heading1"/>
      </w:pPr>
      <w:r>
        <w:t xml:space="preserve">22. Suma de partes</w:t>
      </w:r>
    </w:p>
    <w:p>
      <w:pPr>
        <w:pStyle w:val="Confianza"/>
        <w:spacing w:after="100"/>
      </w:pPr>
      <w:r>
        <w:t xml:space="preserve">Confianza: Alta</w:t>
      </w:r>
    </w:p>
    <w:p>
      <w:pPr>
        <w:spacing w:after="100"/>
      </w:pPr>
      <w:r>
        <w:t xml:space="preserve">ASPEED tiene un solo segmento operativo; el 96 % de las ventas de 2025 son chips de servidor (BMC y afines) y el resto, AV sobre IP y Cupola360, menos del 4 % [1]. Una suma de partes no cambiaría el valor.</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TWD) · precio actual 15.9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22.593,47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11.485,10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14.391,72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4.601,24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4.064,96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5.667,84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5.497,35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15.820,50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15.979,50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5.610,04 TWD (-64,7 % sobre 15.900,00).</w:t>
      </w:r>
    </w:p>
    <w:p>
      <w:pPr>
        <w:spacing w:after="100"/>
      </w:pPr>
      <w:r>
        <w:t xml:space="preserve">Pesamos el DCF un 50 %, los escenarios un 30 % y los comparables un 20 %; sin transacciones. El DCF recoge lo que importa, cuánto dura un beneficio que se ha doblado en un año; los comparables (PER de 36,6x de mediana, 11.485,10 TWD) son diseñadores de chips para centros de datos en el mismo punto del ciclo, así que heredan su optimismo. El EV/EBITDA de doce meses de los comparables daría 9.649,80 y el EV/ventas 5.582,34. El valor objetivo de la síntesis es de 5.610,04 TWD (−64,7 %); con la prima del mercado, 6.338,27. El objetivo medio de los analistas (22.593,47) solo se alcanza con un PER de 66x sobre el consenso de 2027. Compraríamos por debajo de 5.610,04 y venderíamos por encima de 18.444,82.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6.477,78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(51.6x) a mitad de camino hacia abajo, hacia la mediana de 5 años (46x)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18.002,93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485,15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23.626,81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w:t>
            </w:r>
          </w:p>
        </w:tc>
      </w:tr>
    </w:tbl>
    <w:p>
      <w:pPr>
        <w:spacing w:after="160" w:before="0"/>
      </w:pPr>
    </w:p>
    <w:p>
      <w:pPr>
        <w:spacing w:after="100"/>
      </w:pPr>
      <w:r>
        <w:rPr>
          <w:b/>
          <w:bCs/>
        </w:rPr>
        <w:t xml:space="preserve">Objetivo a 12 meses (ponderado):</w:t>
      </w:r>
      <w:r>
        <w:t xml:space="preserve"> 16.527,61 TWD · rentabilidad +4,4 % (base +13,7 %) · señal Mantener.</w:t>
      </w:r>
    </w:p>
    <w:p>
      <w:pPr>
        <w:spacing w:after="100"/>
      </w:pPr>
      <w:r>
        <w:t xml:space="preserve">Para comparar, con la regla v2 (historia al cierre, mismo precio): 30,4x / 51,6x / 60,9x, 16,5 %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(201,38) coincide con el consenso (200,92) y el de 2027e (307,90) queda un 10,0 % por debajo (342,05) [24, 25]; no hay consenso accesible de 2028e. La diferencia de 2027 es de ventas (28.670 M frente a 30.560 M) y algo de margen. No la cerramos: el consenso ha subido su BPA de 2027 un 23 % en 90 días siguiendo los datos mensuales [25], y 2026 lleva envíos recuperados tras la escasez de sustrato. Nuestro base a 12 meses (18.002,93) queda un 20,3 % por debajo del objetivo medio de los analistas (22.593,47), dentro de nuestro rango (6.478-23.627).</w:t>
      </w:r>
    </w:p>
    <w:p>
      <w:pPr>
        <w:keepNext/>
        <w:spacing w:after="100"/>
      </w:pPr>
      <w:r>
        <w:rPr>
          <w:b/>
          <w:bCs/>
        </w:rPr>
        <w:t xml:space="preserve">Del valor intrínseco al objetivo a 12 meses.</w:t>
      </w:r>
    </w:p>
    <w:p>
      <w:pPr>
        <w:spacing w:after="100"/>
      </w:pPr>
      <w:r>
        <w:t xml:space="preserve">El objetivo ponderado a 12 meses es de 16.527,61 TWD (+4,4 % con dividendo) y el del base de 18.002,93 (+13,7 %): la regla da Mantener. El base cumple el umbral del 12 %, pero el ponderado se queda lejos del 15 % porque el bajista (−59,3 %) pesa mucho: con un múltiplo de 48,7x, un ciclo que se da la vuelta lleva el PER a su mínimo de 32x y el BPA a la mitad. El BPA base crece un 57,7 % anual desde 2025, pero ese salto es casi todo 2026e (con nueve meses publicados y guía del 4T26); de 2026e a 2028e crece un 35 % anual. El valor intrínseco (5.610,04) queda un 65 % por debajo del precio: el objetivo a 12 meses solo es positivo porque supone que el mercado sigue pagando cerca de 49x el beneficio de 2028. Con un BPA un 10 % menor, el base daría unos 16.200 (+2,9 %).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octubre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4T26: hacen falta ≈ 2.200 M al mes para cumplir la guía de 6.600-6.800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guía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ya publicadas (4.786 M); lo que importa es el margen bruto tras el cambio de proveedor de encapsulado y la guía con la subida de precios de diciembre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precios de dos dígitos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JPMorgan; mejoraría el margen del 1T27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AST2700 (10 M de unidades previstas)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motor de 2027; un retraso dejaría el año por debajo de nuestro +55 %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de encapsulado con ASE (2027-2028)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 el suministro; quita el freno de 2026 [29]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un reparto del 77 %, unos 155 TWD por acción (1,0 %)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Pico del ciclo de inversión en servidores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−47 % sobre el DCF base (bajista: 2.217,86); a 12 meses, −59 %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9.364 M, sin deuda y gastos fijos pequeños; los servidores generales (CPU) también llevan BMC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 por debajo de 1.800 M dos meses seguidos o recorte de la inversión de los grandes de la nube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51,6x el BPA de 2027e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Volver a la mediana adelantada (46x) resta un 11 %; al mínimo de 5 años (32x), un 38 %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crece deprisa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grupo de acciones de más de 1.000 TWD, como el 26-jun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Grandes clientes de nube con BMC propio o de otro proveedor (OpenBMC, DC-SCM)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Perder un gran cliente de nube: −10 a −20 % de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BMC es una parte mínima del coste del servidor, hay que validarlo con firmware en cada plataforma y ASPEED ya cumple los estándares abiertos; no hay ningún caso público de sustitución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proveedor de nube anuncia un controlador de gestión propio o un diseño de referencia de Nvidia con otro BMC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Nuvoton y BMC chinos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puntos de cuota ≈ −6 % de ventas; más presión en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Nuvoton pierde dinero en conjunto y los chinos solo entran en China [8,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63 % o pérdida de cuota en China declarada por la empresa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un proveedor de servicios de diseño y de TSMC (98,2 % de las compras), y de sustrato y encapsulado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Suministro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trimestre de envíos retrasados ≈ −5 % del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capacidad con ASE para 2027-2028 [29]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por debajo de lo esperado por falta de sustrato, como en 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de Taiwán (estrecho, bloqueo, controles de exportación,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Bloqueo: pérdida casi total; aranceles a chips: −3 a −5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operativo: diseño, proveedor y fábrica están en Taiwán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Escalada militar o aranceles de EE. UU. a semiconductores taiwaneses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taiwanés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 USD/TWD ≈ −3 a −5 % del BPA y pérdidas de cambio en la caja y los clientes en dólares (2T25: −447,2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también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USD/TWD por debajo de 30 (hoy 32,6) [34]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Persona clave y gobierno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Descuento de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con 18 % del capital; consejo con independientes [8,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acciones pignoradas o ventas del fundador</w:t>
            </w:r>
          </w:p>
        </w:tc>
      </w:tr>
    </w:tbl>
    <w:p>
      <w:pPr>
        <w:spacing w:after="160" w:before="0"/>
      </w:pPr>
    </w:p>
    <w:p>
      <w:pPr>
        <w:pStyle w:val="Heading2"/>
      </w:pPr>
      <w:r>
        <w:t xml:space="preserve">Pre-mortem</w:t>
      </w:r>
    </w:p>
    <w:p>
      <w:pPr>
        <w:spacing w:after="100"/>
      </w:pPr>
      <w:r>
        <w:t xml:space="preserve">Es octubre de 2029 y la acción vale 8.000 TWD, la mitad que hoy. Lo que pasó: 2027 cumplió (+50 % de ventas con el AST2700 y la subida de precios), pero en 2028 los grandes de la nube, con los centros de datos limitados por la electricidad y la rentabilidad de la IA en duda, recortaron su inversión un 20 %. Los fabricantes de servidores vaciaron inventario, como en 2023, y las ventas de ASPEED cayeron un 25 %. Sobraba sustrato, así que los clientes pidieron devolver la subida de 2026 y Nuvoton ganó un diseño grande de un fabricante de servidores de CPU. El BPA de 2028 se quedó en 220 y el mercado, que pagaba 50 veces el beneficio, pasó a pagar 35. Nada de eso tocó el monopolio; bastó con el ciclo y el múltiplo.</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 el alcista vale +35 % sobre el DCF base y el bajista −47 %, casi todo por el ciclo de inversión en IA</w:t>
      </w:r>
    </w:p>
    <w:p>
      <w:pPr>
        <w:spacing w:after="100"/>
      </w:pPr>
      <w:r>
        <w:t xml:space="preserve">La IA no sustituye el producto: todo servidor necesita un BMC para encenderse, vigilarse y repararse a distancia, y los armarios de IA llevan muchos más (71 en un GB300, frente a uno por placa en un servidor normal) [11]. La IA es, por tanto, la mayor fuente de crecimiento de ASPEED y a la vez su mayor riesgo, porque ata el beneficio a un solo ciclo de inversión que ya va por su tercer año récord. Hay dos amenazas que vienen de la propia IA: que los grandes de la nube, que ya diseñan sus aceleradores, integren la gestión en sus propios chips o en la tarjeta estándar DC-SCM con otro proveedor (posible técnicamente, sin casos públicos), y que las herramientas de diseño con IA abaraten crear un BMC para un rival (el foso es sobre todo de validación y firmware, no de silicio). No vemos riesgo de que la IA haga innecesario el BMC; sí de que reduzca la cuota en los clientes más grandes con el tiempo.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cadena de suministro y la geografía: todo el diseño, el proveedor de servicios de diseño, TSMC y el encapsulado están en Taiwán, una isla con riesgo sísmico y geopolítico [8]. Como diseñador sin fábrica, su consumo directo de energía y agua es pequeño; tiene certificaciones ISO 14001, 14064 y 27001 [28]. El tercer asunto es el gobierno: el fundador es presidente y primer ejecutivo, tratado en la sección de gobierno.</w:t>
      </w:r>
    </w:p>
    <w:p>
      <w:pPr>
        <w:pStyle w:val="Heading2"/>
      </w:pPr>
      <w:r>
        <w:t xml:space="preserve">Controversias</w:t>
      </w:r>
    </w:p>
    <w:p>
      <w:pPr>
        <w:spacing w:after="100"/>
      </w:pPr>
      <w:r>
        <w:t xml:space="preserve">No hemos encontrado sanciones, litigios en contra ni incidentes en los últimos tres años en la prensa leída. Los dos impagos de liquidación de 2026 (27-abr y 11-ago) son de particulares que compraron la acción, no de la empresa [30].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del 4T26 es recuperación de envíos retrasados por el sustrato y qué parte es demanda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nivel sostenible de 2027 del rebote de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de precios de diciembre es permanente o un recargo por el coste del sustrato que se devolverá cuando sobre?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margen bruto del 72 % o del 65 % en 2028 mueve el BPA más de un 10 %.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nube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¿Algún gran cliente de nube ha pedido BMC de otro proveedor o integra la gestión en un chip propio?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amenaza estructural al 80 % de cuota.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Contenido por armario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BMC lleva un armario Vera Rubin frente a los 71 de un GB300?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de 2027-2028 depende del contenido por armario.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hoy las ventas a fabricantes chinos y cuánto se ha perdido frente a BMC locales?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declara como primer factor desfavorable.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hará con una caja que puede pasar de 15.000 M en 2027, además del dividendo del 77 %?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Rinde ≈ 1,5 % y la dirección habla de incubar negocios como Cupola360, que no han tenido peso.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objetivo de Morgan Stanley de 23.456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se burla del objetivo «escalera de color» (23.456 tras el 12.345 de febrero): «¿por qué no 56789?», «el mercado está lleno de ánimo de apuesta», «mejor comprar TSMC». Casi nadie discute el negocio; se discute la credibilidad del banco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caída a −10 % del día del dividendo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 burbuja: «todo es una burbuja», «subió a 100 veces el beneficio», «basura que han inflado los fondos locales»; unos pocos recuerdan que la demanda «no tiene fin a la vista»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resultados del 2T26 y ventas de julio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Admiración por el beneficio (78 TWD en el semestre) y duda por el precio: «¿ganará 200 este año? 80 veces el beneficio», «con 15 veces valdría 2.400», «98 veces el 2T anualizado»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PTT Stock: impago de liquidación del 11-ago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Neutral</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Bromas sobre un particular que compró un lote entero (unos 16 M TWD) por error o por especulación intradía; «esto es cosa de institucionales», «¿de verdad hay minoristas en esta acción?» [22].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«80-100 veces el beneficio»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objeción correcta y la compartimos en parte. A 15.900 TWD la acción cotiza a 79x nuestro BPA de 2026e y a unas 52x el de 2027e; su mediana adelantada de 2020-2024 es 46x. El foro exagera usando el beneficio del semestre; con el BPA del año siguiente el múltiplo es alto pero no inaudito para ASPEED (63x a final de 2022) [23].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los objetivos de los bancos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objetivos han subido de 12.345 a 23.000-23.456 en cuatro meses, al ritmo de las estimaciones (BPA 2027 de 278 a 342 en 90 días) [24, 25]. El consenso sigue a los datos mensuales: si las ventas del 4T26 confirman 6.600-6.800 M, el consenso tiene base; si no, se corregirá deprisa.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Burbuja de las acciones de más de 1.000 TWD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26-jun cayeron a la vez ASPEED, MediaTek, MPI y Yageo: fue una venta de grupo, no de la empresa [26, 27]. Es un riesgo de flujo de dinero, no de negocio, pero real: una acción tan cara por lote depende de fondos e institucionales.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del negocio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Nadie en el foro discute el liderazgo en BMC ni el margen; coincide con las cuentas (margen operativo del 53,9 % en el 2T26) [5].</w:t>
            </w:r>
          </w:p>
        </w:tc>
      </w:tr>
    </w:tbl>
    <w:p>
      <w:pPr>
        <w:spacing w:after="160" w:before="0"/>
      </w:pPr>
    </w:p>
    <w:p>
      <w:pPr>
        <w:spacing w:after="100"/>
      </w:pPr>
      <w:r>
        <w:t xml:space="preserve">El foro no duda del negocio sino del precio: la burla de los objetivos de los bancos, las referencias a 80-100 veces el beneficio y la lectura de burbuja tras la caída de junio. No hay entusiasmo minorista generalizado (la acción es demasiado cara por lote para el pequeño inversor), así que el sentimiento del foro pesa poco en el precio, que mueven los fondos extranjeros y locales. Coincide con nuestra preocupación central, el múltiplo que se paga por un beneficio de ciclo alto, y va en contra del consenso de analistas, unánime en comprar. No aporta riesgos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40 (14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14,0 % real: genera una variación de circulante de 1.320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10.638 M de flujo libre medio en sus tres primeros años, frente a 2.456 M de media real en los tres últimos: justifica el salto (circulante, inversión, márgenes) o ajusta los supuestos. Explicación: Las ventas de 2026e (18.497 M) doblan las de 2025 y triplican la media de 2023-2025: el flujo libre medio de 2026-2028 (10.638 M) sube en la misma proporción. No es un supuesto agresivo de conversión: el flujo libre de los doce meses a junio de 2026 ya fue de 5.098 M con 11.791 M de ventas, y el negocio casi no necesita capex (2,8 % de las ventas). 2026e ya tiene nueve meses de ventas oficiales.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(369,67) supone un 57,7 % anual desde 94,30 (2025): explícalo en valoracion.objetivo_12m.comentario o la confianza es baja. Explicación: El 57,7 % anual desde 2025 sale sobre todo de 2026e, ya publicado en tres cuartas partes (BPA del 1S26 de 78,28, ventas de enero-septiembre de 11.804 M y guía del 4T26): nuestro 2026e (201,38) coincide con el consenso (200,92). De 2026e a 2028e el BPA base crece un 35 % anual, por debajo del consenso de 2027 (342,05). Explicado en valoracion.objetivo_12m.comentario.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33, 39,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(resultado)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 las cuentas 2025: un solo segmento operativo; 2) Informe anual 2025: solo ingresos por familia de producto de 2024 y 2025; 3) Memorando de la conferencia: sin margen por línea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3T24 a 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la empresa: no comparan con el consenso; 2) Prensa (CTEE, TechNews): solo 1T26 y 2T26; 3) PTT y Investing: sin consenso previo fechado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 las cuentas 2025: no hay deuda financiera; 2) Cuentas del 2T26: solo papel comercial a corto ya devuelto; 3) Arrendamientos: vencimientos no relevantes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honorarios de auditoría: solo el periodo de los socios actuales; 2) Cuentas 2020-2025: siempre Deloitte; 3) MOPS bloqueado desde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en dinero con fuente independiente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unidades y cuota; 2) DigiTimes y SEMI: de pago o 403; 3) Report Prime: cuotas (ASPEED 22,5 %) incoherentes con la empresa y otras fuentes, descartado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Nuvoton en BMC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Nuvoton no consultado en MOPS (bloqueado); 2) DigiTimes: de pago; 3) Report Prime 17,8 %: no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voto_cupula_pct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Actas de la junta de 2024 en MOPS: bloqueado desde la nube; 2) Informe anual 2025: resume acuerdos sin porcentajes de la elección; 3) Web de la empresa (gobierno): sin actas en inglés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remuneracion_ceo.total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tramos y totales por grupo, no el total individual; 2) OpenAPI TPEx t187ap29: solo consejeros en conjunto; 3) Suma parcial (10,1 + 5,8 M) sin el reparto de beneficios individual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 negocios de BMC (Pilot de Emulex en 2016): importe sin múltiplo publicado; 2) compras de diseñadores de chips para servidores en 2021-2026: ninguna de BMC y sin cifras comparables; 3) prensa: sin operaciones en el nicho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TPEx OpenAPI: sin saldo de cortos por valor en los conjuntos abiertos; 2) Yahoo: sin dato para Taiwán; 3) MOPS: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2028e y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StockAnalysis: 2028 solo de pago; 2) Yahoo: solo 2026-2027; 3) MarketScreener: búsqueda sin acceso a la página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en MOPS: bloqueado; 2) MSCI y Sustainalytics: sin calificación pública abierta; 3) web de la empresa: solo certificaciones ISO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for the years ended December 31, 2025 and 2024 (auditadas)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ASPEED Technology / Deloitte &amp; Touche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https://www.aspeedtech.com/file/report/2025Q4Report_en.pdf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2024 and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ASPEED Technology / Deloitte &amp; Touche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https://www.aspeedtech.com/file/report/2024Q4Report_en.pdf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2022 and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Technology / Deloitte &amp; Touche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https://www.aspeedtech.com/file/report/2022Q4Report_en.pdf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2021 and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Technology / Deloitte &amp; Touche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https://www.aspeedtech.com/file/report/2021Q4Report_en.pdf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six months ended June 30, 2026 and 2025 (revisados)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Technology / Deloitte &amp; Touche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https://www.aspeedtech.com/file/report/2026Q2Report_en.pdf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three months ended March 31, 2026 and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https://www.aspeedtech.com/file/report/2026Q1Report_en.pdf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nine months ended September 30, 2025 and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https://www.aspeedtech.com/file/report/2025Q3Report_en.pdf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Report (informe anual a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https://www.aspeedtech.com/file/report/2025AnnualReport_en.pdf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mensuales consolidadas 2015-2026 (API de la web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https://www.aspeedtech.com/app/1/financial_infos?years=2026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Memorando de la conferencia con inversores del 24-nov-2025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Fugle (富果)</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https://blog.fugle.tw/post/earnings-call-5274-2025-11-24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expects 25-30% revenue growth next quarter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Taipei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https://www.taipeitimes.com/News/biz/archives/2025/11/25/2003847763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expects significant revenue growth (Computex)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Taipei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https://www.taipeitimes.com/News/biz/archives/2026/06/04/2003858478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股王再添柴火！2外資力挺信驊、目標價衝20888元</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工商時報 (CTEE)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https://www.ctee.com.tw/news/20260806700695-430201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信驊營收展望超預期，小摩力挺優於大盤評等目標價提升至 23,000 元</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https://finance.technews.tw/2026/09/07/jpmorgan-strongly-supports-aspeeds-outperformance-compared-to-the-broader-market/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to acquire Emulex Pilot business unit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https://www.digitimes.com/news/a20160525PB202.html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2020-2025 y ventas mensuales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https://www.aspeedtech.com/financials_reports/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Taiwanese chip company in the AI industry (ASPEED)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Cornell SC Johnson College of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https://business.cornell.edu/centers/2026/10/12/taiwanese-chip-company-in-the-ai-industry/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股王反攻號角響？信驊獲外資喊買、目標價2.2萬元 y 股王再添柴火</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工商時報 (CTEE)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https://www.ctee.com.tw/news/20260729700869-430201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Yahoo Finance (quoteSummary) de Nuvoton, Lattice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https://finance.yahoo.com/quote/4919.TW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Etiqueta BMC (Nuvoton ve más demanda de BMC por la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https://apps.digitimes.com/tag/bmc/00112661.html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OpenAPI del Taipei Exchange: participaciones de consejeros (t187ap11_O, sep-26), remuneración de consejeros (t187ap29_C_O), accionistas de más del 10 % (t187ap02_O) y preavisos de venta (t187ap12_O)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Taipei Exchange (TPEx)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https://www.tpex.org.tw/openapi/v1/mopsfin_t187ap11_O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[情報] 0811櫃買違約交割 信驊 y búsqueda de hilos sobre 信驊</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https://www.ptt.cc/bbs/Stock/M.1786442720.A.A62.html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5274.TWO, 0050.TW y SOXX (bolsa.mjs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https://finance.yahoo.com/quote/5274.TWO/history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Technology: stock forecast (S&amp;P Global Market Intelligence, 16 analistas) y cotización del 20-oct-2026 13:30 CST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https://stockanalysis.com/quote/tpex/5274/forecast/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y estimaciones de ASPEED y de sus comparables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https://finance.yahoo.com/quote/5274.TWO/analysis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台股重挫近1,700點拖累股王 信驊跌停蒸發1,730元創台股紀錄</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Daily News (經濟日報)</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https://money.udn.com/money/amp/story/5607/9590461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千金股崩盤！信驊跌停慘貼息</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StatementDog (財報狗)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https://statementdog.com/news/16903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Investor Conference Brief (resultados del 2T26 y guía del 4T26)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https://www.aspeedtech.com/file/calendar/1788796800000_InvestorConferenceBrief_en.pdf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Taiwan's Aspeed secures ASE chip packaging capacity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https://www.taiwannews.com.tw/news/6439784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Búsqueda de hilos sobre 信驊 (MSCI, objetivos de Morgan Stanley y Goldman, impagos de liquidación del 27-abr y 11-ago)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(foro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https://www.ptt.cc/bbs/Stock/search?q=%E4%BF%A1%E9%A9%8A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10-year government bond yield (2,03 %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https://tradingeconomics.com/taiwan/government-bond-yield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Technology: earnings y consenso (BPA del 2T26 frente al previsto)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https://jp.investing.com/equities/aspeed-technology-inc-earnings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Technology (ISIN TW0005274005): ficha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justETF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https://www.justetf.com/nl/stock-profiles/TW0005274005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USD/TWD (TWD=X), 32,62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https://finance.yahoo.com/quote/TWD=X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[新聞] 信驊目標價 大摩喊出同花順23,456元</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(foro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https://www.ptt.cc/bbs/Stock/M.1780272376.A.009.html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[新聞] 股王信驊跌停 聯發科、印能科技、國巨等</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(foro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https://www.ptt.cc/bbs/Stock/M.1782451517.A.D5D.html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[情報] 5274信驊 115年Q2:40.87 及7月營收</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(foro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https://www.ptt.cc/bbs/Stock/M.1785922126.A.F95.html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years ended December 31, 2019 and 2018 (BPA diluido 24,28 y 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Technology / Deloitte &amp; Touche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https://www.aspeedtech.com/file/report/2019Q4Report_en.pdf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years ended December 31, 2018 and 2017 (BPA diluido 2017: 15,64)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ASPEED Technology / Deloitte &amp; Touche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https://www.aspeedtech.com/file/report/2018Q4Report_en.pdf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83,9 %</w:t>
      </w:r>
      <w:r>
        <w:t xml:space="preserve"> · Secciones con menos del 60 % de campos cubiertos: </w:t>
      </w:r>
      <w:r>
        <w:rPr>
          <w:b/>
          <w:bCs/>
        </w:rPr>
        <w:t xml:space="preserve">transacciones</w:t>
      </w:r>
      <w:r>
        <w:t xml:space="preserve"> · Generado el 20 oct 2026.</w:t>
      </w:r>
    </w:p>
    <w:p>
      <w:pPr>
        <w:pStyle w:val="Nota"/>
        <w:spacing w:after="100"/>
      </w:pPr>
      <w:r>
        <w:t xml:space="preserve">Línea cotizada: 5274 en el Taipei Exchange (TPEx), en TWD; cuentas en TWD (NIIF adoptadas en Taiwán), cierre a 31 de diciembre. MOPS (mops.twse.com.tw) corta la conexión desde la nube: las cuentas auditadas 2018-2025, las revisadas del 1T26 y del 2T26, el informe anual de 2025 y la presentación de septiembre de 2026 se han descargado de la web de la empresa (aspeedtech.com), que publica los mismos documentos, y las participaciones de consejeros, del OpenAPI del TPEx. El precio de la decisión es el cierre del 20-oct-2026 (15.900 TWD, 13:30 de Taipéi, Yahoo y StockAnalysis); las series de bolsa y el movimiento llegan al 19-oct (15.980) porque la barra diaria del 20-oct aún no traía cierre. BPA y DPA reexpresados por los dividendos en acciones de 2022 y 2026. No hay consenso accesible de 2028e ni estudios de mercado de BMC de pago (SEMI, DigiTimes Research): el mercado se mide en unidades con los datos de la empresa y de los analistas.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ASPEED Technology Inc. (5274.TWO)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15.900,00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(4.645,45 – 21.800,00)</c:v>
                </c:pt>
                <c:pt idx="1">
                  <c:v>Precio objetivo de los analistas (17.363,64 – 26.660,00)</c:v>
                </c:pt>
                <c:pt idx="2">
                  <c:v>Comparables: PER NTM (7.345,12 – 14.391,72)</c:v>
                </c:pt>
                <c:pt idx="3">
                  <c:v>DCF (WACC y g ± 0,5) (3.856,02 – 4.601,24)</c:v>
                </c:pt>
                <c:pt idx="4">
                  <c:v>Escenarios (bajista – alcista) (2.217,86 – 5.667,84)</c:v>
                </c:pt>
                <c:pt idx="5">
                  <c:v>DCF con la prima implícita del mercado (4,2 %)</c:v>
                </c:pt>
                <c:pt idx="6">
                  <c:v>Precio actual (15.900,00)</c:v>
                </c:pt>
              </c:strCache>
            </c:strRef>
          </c:cat>
          <c:val>
            <c:numRef>
              <c:f>Hoja1!$B$2:$B$8</c:f>
              <c:numCache>
                <c:formatCode>#,##0</c:formatCode>
                <c:ptCount val="7"/>
                <c:pt idx="0">
                  <c:v>4645.45</c:v>
                </c:pt>
                <c:pt idx="1">
                  <c:v>17363.64</c:v>
                </c:pt>
                <c:pt idx="2">
                  <c:v>7345.12</c:v>
                </c:pt>
                <c:pt idx="3">
                  <c:v>3856.02</c:v>
                </c:pt>
                <c:pt idx="4">
                  <c:v>2217.86</c:v>
                </c:pt>
                <c:pt idx="5">
                  <c:v>4770.71</c:v>
                </c:pt>
                <c:pt idx="6">
                  <c:v>15820.5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(4.645,45 – 21.800,00)</c:v>
                </c:pt>
                <c:pt idx="1">
                  <c:v>Precio objetivo de los analistas (17.363,64 – 26.660,00)</c:v>
                </c:pt>
                <c:pt idx="2">
                  <c:v>Comparables: PER NTM (7.345,12 – 14.391,72)</c:v>
                </c:pt>
                <c:pt idx="3">
                  <c:v>DCF (WACC y g ± 0,5) (3.856,02 – 4.601,24)</c:v>
                </c:pt>
                <c:pt idx="4">
                  <c:v>Escenarios (bajista – alcista) (2.217,86 – 5.667,84)</c:v>
                </c:pt>
                <c:pt idx="5">
                  <c:v>DCF con la prima implícita del mercado (4,2 %)</c:v>
                </c:pt>
                <c:pt idx="6">
                  <c:v>Precio actual (15.900,00)</c:v>
                </c:pt>
              </c:strCache>
            </c:strRef>
          </c:cat>
          <c:val>
            <c:numRef>
              <c:f>Hoja1!$C$2:$C$8</c:f>
              <c:numCache>
                <c:formatCode>#,##0</c:formatCode>
                <c:ptCount val="7"/>
                <c:pt idx="0">
                  <c:v>17154.55</c:v>
                </c:pt>
                <c:pt idx="1">
                  <c:v>9296.36</c:v>
                </c:pt>
                <c:pt idx="2">
                  <c:v>7046.599999999999</c:v>
                </c:pt>
                <c:pt idx="3">
                  <c:v>745.2199999999998</c:v>
                </c:pt>
                <c:pt idx="4">
                  <c:v>3449.98</c:v>
                </c:pt>
                <c:pt idx="5">
                  <c:v>726.6400000000003</c:v>
                </c:pt>
                <c:pt idx="6">
                  <c:v>159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(TWD, millones)</a:t>
            </a:r>
          </a:p>
        </c:rich>
      </c:tx>
      <c:overlay val="0"/>
    </c:title>
    <c:autoTitleDeleted val="0"/>
    <c:plotArea>
      <c:layout/>
      <c:barChart>
        <c:barDir val="col"/>
        <c:grouping val="stacked"/>
        <c:varyColors val="0"/>
        <c:ser>
          <c:idx val="0"/>
          <c:order val="0"/>
          <c:tx>
            <c:strRef>
              <c:f>Hoja1!$B$1</c:f>
              <c:strCache>
                <c:ptCount val="1"/>
                <c:pt idx="0">
                  <c:v>Circuitos multimedia (BMC y chips de servidor)</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6137.4</c:v>
                </c:pt>
                <c:pt idx="1">
                  <c:v>8750.4</c:v>
                </c:pt>
              </c:numCache>
            </c:numRef>
          </c:val>
        </c:ser>
        <c:ser>
          <c:idx val="1"/>
          <c:order val="1"/>
          <c:tx>
            <c:strRef>
              <c:f>Hoja1!$C$1</c:f>
              <c:strCache>
                <c:ptCount val="1"/>
                <c:pt idx="0">
                  <c:v>Periféricos (AV sobre IP)</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262.1</c:v>
                </c:pt>
                <c:pt idx="1">
                  <c:v>259.2</c:v>
                </c:pt>
              </c:numCache>
            </c:numRef>
          </c:val>
        </c:ser>
        <c:ser>
          <c:idx val="2"/>
          <c:order val="2"/>
          <c:tx>
            <c:strRef>
              <c:f>Hoja1!$D$1</c:f>
              <c:strCache>
                <c:ptCount val="1"/>
                <c:pt idx="0">
                  <c:v>Otros (imagen panorámica Cupola360 y servicios)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60.2</c:v>
                </c:pt>
                <c:pt idx="1">
                  <c:v>75.3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Circuitos multimedia (BMC y chips de servidor)</c:v>
                </c:pt>
                <c:pt idx="1">
                  <c:v>Periféricos (AV sobre IP)</c:v>
                </c:pt>
                <c:pt idx="2">
                  <c:v>Otros (imagen panorámica Cupola360 y servicios)</c:v>
                </c:pt>
              </c:strCache>
            </c:strRef>
          </c:cat>
          <c:val>
            <c:numRef>
              <c:f>Hoja1!$B$2:$B$4</c:f>
              <c:numCache>
                <c:formatCode>General</c:formatCode>
                <c:ptCount val="3"/>
                <c:pt idx="0">
                  <c:v>96.3</c:v>
                </c:pt>
                <c:pt idx="1">
                  <c:v>2.9</c:v>
                </c:pt>
                <c:pt idx="2">
                  <c:v>0.8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Taiwán</c:v>
                </c:pt>
                <c:pt idx="1">
                  <c:v>Resto de Asia</c:v>
                </c:pt>
                <c:pt idx="2">
                  <c:v>Europa y América</c:v>
                </c:pt>
              </c:strCache>
            </c:strRef>
          </c:cat>
          <c:val>
            <c:numRef>
              <c:f>Hoja1!$B$2:$B$4</c:f>
              <c:numCache>
                <c:formatCode>0"%"</c:formatCode>
                <c:ptCount val="3"/>
                <c:pt idx="0">
                  <c:v>35.95</c:v>
                </c:pt>
                <c:pt idx="1">
                  <c:v>59.07</c:v>
                </c:pt>
                <c:pt idx="2">
                  <c:v>4.98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BMC vendidos por ASPEED (≈ 80 % del mercado); 2026e-2028e, previsión de un banco estadounidense)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2027e</c:v>
                </c:pt>
                <c:pt idx="3">
                  <c:v>2028e</c:v>
                </c:pt>
              </c:strCache>
            </c:strRef>
          </c:cat>
          <c:val>
            <c:numRef>
              <c:f>Hoja1!$B$2:$B$5</c:f>
              <c:numCache>
                <c:formatCode>#,##0</c:formatCode>
                <c:ptCount val="4"/>
                <c:pt idx="0">
                  <c:v>18</c:v>
                </c:pt>
                <c:pt idx="1">
                  <c:v>32.6</c:v>
                </c:pt>
                <c:pt idx="2">
                  <c:v>49.1</c:v>
                </c:pt>
                <c:pt idx="3">
                  <c:v>62.4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3</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ASPEED</c:v>
                </c:pt>
                <c:pt idx="1">
                  <c:v>Nuvoton Technology</c:v>
                </c:pt>
                <c:pt idx="2">
                  <c:v>Lattice Semiconductor</c:v>
                </c:pt>
                <c:pt idx="3">
                  <c:v>BMC de fabricantes chinos</c:v>
                </c:pt>
                <c:pt idx="4">
                  <c:v>Chips propios de los grandes de la nube</c:v>
                </c:pt>
              </c:strCache>
            </c:strRef>
          </c:cat>
          <c:val>
            <c:numRef>
              <c:f>Hoja1!$B$2:$B$6</c:f>
              <c:numCache>
                <c:formatCode>0.0"%"</c:formatCode>
                <c:ptCount val="5"/>
                <c:pt idx="0">
                  <c:v>51.3</c:v>
                </c:pt>
                <c:pt idx="1">
                  <c:v>-4.2</c:v>
                </c:pt>
                <c:pt idx="2">
                  <c:v>13.3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4</c:v>
                </c:pt>
                <c:pt idx="3">
                  <c:v>3</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(TWD,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3063.6</c:v>
                </c:pt>
                <c:pt idx="1">
                  <c:v>3637.6</c:v>
                </c:pt>
                <c:pt idx="2">
                  <c:v>5210.1</c:v>
                </c:pt>
                <c:pt idx="3">
                  <c:v>3130.4</c:v>
                </c:pt>
                <c:pt idx="4">
                  <c:v>6459.7</c:v>
                </c:pt>
                <c:pt idx="5">
                  <c:v>9084.9</c:v>
                </c:pt>
                <c:pt idx="6">
                  <c:v>18497</c:v>
                </c:pt>
                <c:pt idx="7">
                  <c:v>28670</c:v>
                </c:pt>
                <c:pt idx="8">
                  <c:v>34404</c:v>
                </c:pt>
                <c:pt idx="9">
                  <c:v>30964</c:v>
                </c:pt>
                <c:pt idx="10">
                  <c:v>32822</c:v>
                </c:pt>
                <c:pt idx="11">
                  <c:v>36104</c:v>
                </c:pt>
                <c:pt idx="12">
                  <c:v>38992</c:v>
                </c:pt>
                <c:pt idx="13">
                  <c:v>41332</c:v>
                </c:pt>
                <c:pt idx="14">
                  <c:v>42985</c:v>
                </c:pt>
                <c:pt idx="15">
                  <c:v>44274</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1478.2</c:v>
                </c:pt>
                <c:pt idx="1">
                  <c:v>1871.1</c:v>
                </c:pt>
                <c:pt idx="2">
                  <c:v>2689.2</c:v>
                </c:pt>
                <c:pt idx="3">
                  <c:v>1385.4</c:v>
                </c:pt>
                <c:pt idx="4">
                  <c:v>3174.4</c:v>
                </c:pt>
                <c:pt idx="5">
                  <c:v>4984.4</c:v>
                </c:pt>
                <c:pt idx="6">
                  <c:v>10451</c:v>
                </c:pt>
                <c:pt idx="7">
                  <c:v>16342</c:v>
                </c:pt>
                <c:pt idx="8">
                  <c:v>19610</c:v>
                </c:pt>
                <c:pt idx="9">
                  <c:v>16101</c:v>
                </c:pt>
                <c:pt idx="10">
                  <c:v>17067</c:v>
                </c:pt>
                <c:pt idx="11">
                  <c:v>19135</c:v>
                </c:pt>
                <c:pt idx="12">
                  <c:v>20666</c:v>
                </c:pt>
                <c:pt idx="13">
                  <c:v>21492</c:v>
                </c:pt>
                <c:pt idx="14">
                  <c:v>22352</c:v>
                </c:pt>
                <c:pt idx="15">
                  <c:v>23023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63.2</c:v>
                </c:pt>
                <c:pt idx="1">
                  <c:v>65.3</c:v>
                </c:pt>
                <c:pt idx="2">
                  <c:v>65.1</c:v>
                </c:pt>
                <c:pt idx="3">
                  <c:v>64.1</c:v>
                </c:pt>
                <c:pt idx="4">
                  <c:v>64.3</c:v>
                </c:pt>
                <c:pt idx="5">
                  <c:v>68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48.3</c:v>
                </c:pt>
                <c:pt idx="1">
                  <c:v>51.4</c:v>
                </c:pt>
                <c:pt idx="2">
                  <c:v>51.6</c:v>
                </c:pt>
                <c:pt idx="3">
                  <c:v>44.3</c:v>
                </c:pt>
                <c:pt idx="4">
                  <c:v>49.1</c:v>
                </c:pt>
                <c:pt idx="5">
                  <c:v>54.9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41.5</c:v>
                </c:pt>
                <c:pt idx="1">
                  <c:v>45.4</c:v>
                </c:pt>
                <c:pt idx="2">
                  <c:v>47</c:v>
                </c:pt>
                <c:pt idx="3">
                  <c:v>34.5</c:v>
                </c:pt>
                <c:pt idx="4">
                  <c:v>45.2</c:v>
                </c:pt>
                <c:pt idx="5">
                  <c:v>51.3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32.8</c:v>
                </c:pt>
                <c:pt idx="1">
                  <c:v>36.1</c:v>
                </c:pt>
                <c:pt idx="2">
                  <c:v>40.4</c:v>
                </c:pt>
                <c:pt idx="3">
                  <c:v>32.2</c:v>
                </c:pt>
                <c:pt idx="4">
                  <c:v>39.8</c:v>
                </c:pt>
                <c:pt idx="5">
                  <c:v>43.2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149.3</c:v>
                </c:pt>
                <c:pt idx="1">
                  <c:v>113.7</c:v>
                </c:pt>
                <c:pt idx="2">
                  <c:v>103.8</c:v>
                </c:pt>
                <c:pt idx="3">
                  <c:v>65.7</c:v>
                </c:pt>
                <c:pt idx="4">
                  <c:v>17.3</c:v>
                </c:pt>
                <c:pt idx="5">
                  <c:v>16.1</c:v>
                </c:pt>
                <c:pt idx="6">
                  <c:v>52.4</c:v>
                </c:pt>
                <c:pt idx="7">
                  <c:v>72.3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61</c:v>
                </c:pt>
                <c:pt idx="1">
                  <c:v>83</c:v>
                </c:pt>
                <c:pt idx="2">
                  <c:v>69</c:v>
                </c:pt>
                <c:pt idx="3">
                  <c:v>83</c:v>
                </c:pt>
                <c:pt idx="4">
                  <c:v>81</c:v>
                </c:pt>
                <c:pt idx="5">
                  <c:v>65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54</c:v>
                </c:pt>
                <c:pt idx="1">
                  <c:v>46</c:v>
                </c:pt>
                <c:pt idx="2">
                  <c:v>80</c:v>
                </c:pt>
                <c:pt idx="3">
                  <c:v>100</c:v>
                </c:pt>
                <c:pt idx="4">
                  <c:v>57</c:v>
                </c:pt>
                <c:pt idx="5">
                  <c:v>35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33</c:v>
                </c:pt>
                <c:pt idx="1">
                  <c:v>76</c:v>
                </c:pt>
                <c:pt idx="2">
                  <c:v>64</c:v>
                </c:pt>
                <c:pt idx="3">
                  <c:v>79</c:v>
                </c:pt>
                <c:pt idx="4">
                  <c:v>67</c:v>
                </c:pt>
                <c:pt idx="5">
                  <c:v>77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(TWD,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1016</c:v>
                </c:pt>
                <c:pt idx="1">
                  <c:v>1544.6000000000001</c:v>
                </c:pt>
                <c:pt idx="2">
                  <c:v>2122.4</c:v>
                </c:pt>
                <c:pt idx="3">
                  <c:v>340.69999999999993</c:v>
                </c:pt>
                <c:pt idx="4">
                  <c:v>2899.2999999999997</c:v>
                </c:pt>
                <c:pt idx="5">
                  <c:v>4129.4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1004.7</c:v>
                </c:pt>
                <c:pt idx="1">
                  <c:v>1312.9</c:v>
                </c:pt>
                <c:pt idx="2">
                  <c:v>2105.6</c:v>
                </c:pt>
                <c:pt idx="3">
                  <c:v>1006.8</c:v>
                </c:pt>
                <c:pt idx="4">
                  <c:v>2571.3</c:v>
                </c:pt>
                <c:pt idx="5">
                  <c:v>3927.8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87.6</c:v>
                </c:pt>
                <c:pt idx="1">
                  <c:v>117.9</c:v>
                </c:pt>
                <c:pt idx="2">
                  <c:v>173.8</c:v>
                </c:pt>
                <c:pt idx="3">
                  <c:v>59.7</c:v>
                </c:pt>
                <c:pt idx="4">
                  <c:v>128</c:v>
                </c:pt>
                <c:pt idx="5">
                  <c:v>221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10.1</c:v>
                </c:pt>
                <c:pt idx="1">
                  <c:v>10.1</c:v>
                </c:pt>
                <c:pt idx="2">
                  <c:v>10.1</c:v>
                </c:pt>
                <c:pt idx="3">
                  <c:v>10.1</c:v>
                </c:pt>
                <c:pt idx="4">
                  <c:v>10.1</c:v>
                </c:pt>
                <c:pt idx="5">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33.4</c:v>
                </c:pt>
                <c:pt idx="1">
                  <c:v>40.1</c:v>
                </c:pt>
                <c:pt idx="2">
                  <c:v>52.4</c:v>
                </c:pt>
                <c:pt idx="3">
                  <c:v>24.2</c:v>
                </c:pt>
                <c:pt idx="4">
                  <c:v>54.3</c:v>
                </c:pt>
                <c:pt idx="5">
                  <c:v>59.5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-1.23</c:v>
                </c:pt>
                <c:pt idx="1">
                  <c:v>-1.31</c:v>
                </c:pt>
                <c:pt idx="2">
                  <c:v>-1.23</c:v>
                </c:pt>
                <c:pt idx="3">
                  <c:v>-1.41</c:v>
                </c:pt>
                <c:pt idx="4">
                  <c:v>-1.2</c:v>
                </c:pt>
                <c:pt idx="5">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(TWD,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752.9</c:v>
                </c:pt>
                <c:pt idx="1">
                  <c:v>892.2</c:v>
                </c:pt>
                <c:pt idx="2">
                  <c:v>1202.4</c:v>
                </c:pt>
                <c:pt idx="3">
                  <c:v>1701.9</c:v>
                </c:pt>
                <c:pt idx="4">
                  <c:v>756.4</c:v>
                </c:pt>
                <c:pt idx="5">
                  <c:v>1966.7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Otro externo</c:v>
                </c:pt>
                <c:pt idx="3">
                  <c:v>Independiente</c:v>
                </c:pt>
              </c:strCache>
            </c:strRef>
          </c:cat>
          <c:val>
            <c:numRef>
              <c:f>Hoja1!$B$2:$B$5</c:f>
              <c:numCache>
                <c:formatCode>0</c:formatCode>
                <c:ptCount val="4"/>
                <c:pt idx="0">
                  <c:v>1</c:v>
                </c:pt>
                <c:pt idx="1">
                  <c:v>3</c:v>
                </c:pt>
                <c:pt idx="2">
                  <c:v>1</c:v>
                </c:pt>
                <c:pt idx="3">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Chris Lin y sociedades vinculadas (Linvest Wealth, Linvest Fortune)</c:v>
                </c:pt>
                <c:pt idx="1">
                  <c:v>Linvest Wealth Corp.</c:v>
                </c:pt>
                <c:pt idx="2">
                  <c:v>Fondo de Pensiones Laborales (nuevo y viejo)</c:v>
                </c:pt>
                <c:pt idx="3">
                  <c:v>Fuh Hwa (mandato de Fubon Life)</c:v>
                </c:pt>
                <c:pt idx="4">
                  <c:v>Cathay Life Insurance</c:v>
                </c:pt>
                <c:pt idx="5">
                  <c:v>Xian Hua Investment Co.</c:v>
                </c:pt>
                <c:pt idx="6">
                  <c:v>Norges Bank</c:v>
                </c:pt>
              </c:strCache>
            </c:strRef>
          </c:cat>
          <c:val>
            <c:numRef>
              <c:f>Hoja1!$B$2:$B$8</c:f>
              <c:numCache>
                <c:formatCode>0.0"%"</c:formatCode>
                <c:ptCount val="7"/>
                <c:pt idx="0">
                  <c:v>18.04</c:v>
                </c:pt>
                <c:pt idx="1">
                  <c:v>13.9</c:v>
                </c:pt>
                <c:pt idx="2">
                  <c:v>4.78</c:v>
                </c:pt>
                <c:pt idx="3">
                  <c:v>3.46</c:v>
                </c:pt>
                <c:pt idx="4">
                  <c:v>2.34</c:v>
                </c:pt>
                <c:pt idx="5">
                  <c:v>1.57</c:v>
                </c:pt>
                <c:pt idx="6">
                  <c:v>1.51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44.2</c:v>
                </c:pt>
                <c:pt idx="1">
                  <c:v>54.8</c:v>
                </c:pt>
                <c:pt idx="2">
                  <c:v>-16.8</c:v>
                </c:pt>
                <c:pt idx="3">
                  <c:v>68.2</c:v>
                </c:pt>
                <c:pt idx="4">
                  <c:v>81.9</c:v>
                </c:pt>
                <c:pt idx="5">
                  <c:v>110.4</c:v>
                </c:pt>
                <c:pt idx="6">
                  <c:v>-47.1</c:v>
                </c:pt>
                <c:pt idx="7">
                  <c:v>88.3</c:v>
                </c:pt>
                <c:pt idx="8">
                  <c:v>7</c:v>
                </c:pt>
                <c:pt idx="9">
                  <c:v>120.9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19.6</c:v>
                </c:pt>
                <c:pt idx="1">
                  <c:v>18.1</c:v>
                </c:pt>
                <c:pt idx="2">
                  <c:v>-4.9</c:v>
                </c:pt>
                <c:pt idx="3">
                  <c:v>33.5</c:v>
                </c:pt>
                <c:pt idx="4">
                  <c:v>31.1</c:v>
                </c:pt>
                <c:pt idx="5">
                  <c:v>21.9</c:v>
                </c:pt>
                <c:pt idx="6">
                  <c:v>-21.2</c:v>
                </c:pt>
                <c:pt idx="7">
                  <c:v>27.5</c:v>
                </c:pt>
                <c:pt idx="8">
                  <c:v>48.6</c:v>
                </c:pt>
                <c:pt idx="9">
                  <c:v>36.9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38.6</c:v>
                </c:pt>
                <c:pt idx="1">
                  <c:v>64.2</c:v>
                </c:pt>
                <c:pt idx="2">
                  <c:v>22.6</c:v>
                </c:pt>
                <c:pt idx="3">
                  <c:v>83.8</c:v>
                </c:pt>
                <c:pt idx="4">
                  <c:v>38.5</c:v>
                </c:pt>
                <c:pt idx="5">
                  <c:v>53.9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46.3</c:v>
                </c:pt>
                <c:pt idx="1">
                  <c:v>46.3</c:v>
                </c:pt>
                <c:pt idx="2">
                  <c:v>46.3</c:v>
                </c:pt>
                <c:pt idx="3">
                  <c:v>46.3</c:v>
                </c:pt>
                <c:pt idx="4">
                  <c:v>46.3</c:v>
                </c:pt>
                <c:pt idx="5">
                  <c:v>46.3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(TWD,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6625</c:v>
                </c:pt>
                <c:pt idx="1">
                  <c:v>11051</c:v>
                </c:pt>
                <c:pt idx="2">
                  <c:v>14237</c:v>
                </c:pt>
                <c:pt idx="3">
                  <c:v>12789</c:v>
                </c:pt>
                <c:pt idx="4">
                  <c:v>12726</c:v>
                </c:pt>
                <c:pt idx="5">
                  <c:v>14116</c:v>
                </c:pt>
                <c:pt idx="6">
                  <c:v>15337</c:v>
                </c:pt>
                <c:pt idx="7">
                  <c:v>16026</c:v>
                </c:pt>
                <c:pt idx="8">
                  <c:v>16776</c:v>
                </c:pt>
                <c:pt idx="9">
                  <c:v>17337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(TWD,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84127</c:v>
                </c:pt>
                <c:pt idx="1">
                  <c:v>83957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(TWD) · precio actual 15.900,00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2217.86</c:v>
                </c:pt>
                <c:pt idx="1">
                  <c:v>4187.06</c:v>
                </c:pt>
                <c:pt idx="2">
                  <c:v>5667.84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15.900,00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(4.645,45 – 21.800,00)</c:v>
                </c:pt>
                <c:pt idx="1">
                  <c:v>Precio objetivo de los analistas (17.363,64 – 26.660,00)</c:v>
                </c:pt>
                <c:pt idx="2">
                  <c:v>Comparables: PER NTM (7.345,12 – 14.391,72)</c:v>
                </c:pt>
                <c:pt idx="3">
                  <c:v>DCF (WACC y g ± 0,5) (3.856,02 – 4.601,24)</c:v>
                </c:pt>
                <c:pt idx="4">
                  <c:v>Escenarios (bajista – alcista) (2.217,86 – 5.667,84)</c:v>
                </c:pt>
                <c:pt idx="5">
                  <c:v>DCF con la prima implícita del mercado (4,2 %)</c:v>
                </c:pt>
                <c:pt idx="6">
                  <c:v>Precio actual (15.900,00)</c:v>
                </c:pt>
              </c:strCache>
            </c:strRef>
          </c:cat>
          <c:val>
            <c:numRef>
              <c:f>Hoja1!$B$2:$B$8</c:f>
              <c:numCache>
                <c:formatCode>#,##0</c:formatCode>
                <c:ptCount val="7"/>
                <c:pt idx="0">
                  <c:v>4645.45</c:v>
                </c:pt>
                <c:pt idx="1">
                  <c:v>17363.64</c:v>
                </c:pt>
                <c:pt idx="2">
                  <c:v>7345.12</c:v>
                </c:pt>
                <c:pt idx="3">
                  <c:v>3856.02</c:v>
                </c:pt>
                <c:pt idx="4">
                  <c:v>2217.86</c:v>
                </c:pt>
                <c:pt idx="5">
                  <c:v>4770.71</c:v>
                </c:pt>
                <c:pt idx="6">
                  <c:v>15820.5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(4.645,45 – 21.800,00)</c:v>
                </c:pt>
                <c:pt idx="1">
                  <c:v>Precio objetivo de los analistas (17.363,64 – 26.660,00)</c:v>
                </c:pt>
                <c:pt idx="2">
                  <c:v>Comparables: PER NTM (7.345,12 – 14.391,72)</c:v>
                </c:pt>
                <c:pt idx="3">
                  <c:v>DCF (WACC y g ± 0,5) (3.856,02 – 4.601,24)</c:v>
                </c:pt>
                <c:pt idx="4">
                  <c:v>Escenarios (bajista – alcista) (2.217,86 – 5.667,84)</c:v>
                </c:pt>
                <c:pt idx="5">
                  <c:v>DCF con la prima implícita del mercado (4,2 %)</c:v>
                </c:pt>
                <c:pt idx="6">
                  <c:v>Precio actual (15.900,00)</c:v>
                </c:pt>
              </c:strCache>
            </c:strRef>
          </c:cat>
          <c:val>
            <c:numRef>
              <c:f>Hoja1!$C$2:$C$8</c:f>
              <c:numCache>
                <c:formatCode>#,##0</c:formatCode>
                <c:ptCount val="7"/>
                <c:pt idx="0">
                  <c:v>17154.55</c:v>
                </c:pt>
                <c:pt idx="1">
                  <c:v>9296.36</c:v>
                </c:pt>
                <c:pt idx="2">
                  <c:v>7046.599999999999</c:v>
                </c:pt>
                <c:pt idx="3">
                  <c:v>745.2199999999998</c:v>
                </c:pt>
                <c:pt idx="4">
                  <c:v>3449.98</c:v>
                </c:pt>
                <c:pt idx="5">
                  <c:v>726.6400000000003</c:v>
                </c:pt>
                <c:pt idx="6">
                  <c:v>159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