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InterContinental Hotels Group PLC</w:t>
      </w:r>
    </w:p>
    <w:p>
      <w:pPr>
        <w:spacing w:after="60"/>
        <w:rPr>
          <w:color w:val="52514E"/>
          <w:sz w:val="22"/>
          <w:szCs w:val="22"/>
        </w:rPr>
      </w:pPr>
      <w:r>
        <w:rPr>
          <w:color w:val="52514E"/>
          <w:sz w:val="22"/>
          <w:szCs w:val="22"/>
        </w:rPr>
        <w:t xml:space="preserve">IHG (LSE) · London Stock Exchange (en USD desde el 2-ene-2026); ADR 1:1 en NYSE · ISIN GB00BHJYC057 · Consumo discrecional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167,75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158,01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-4,7 % (base +6,8 %)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77,45 USD · mercado 94,46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24.877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18,4x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InterContinental Hotels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IHG (LSE) / GB00BHJYC057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(en USD desde el 2-ene-2026); ADR 1:1 en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(GICS) / Hoteles, complejos y cruceros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Windsor (Reino Unido) · 2003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www.ihgplc.com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167,75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120,16 – 175,89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24.877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28.944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58 M USD/día en Londres y ≈ 34 M USD/día en el ADR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158,01 USD</w:t>
      </w:r>
      <w:r>
        <w:t xml:space="preserve"> frente a 167,75 · Rentabilidad a 12 meses </w:t>
      </w:r>
      <w:r>
        <w:rPr>
          <w:b/>
          <w:bCs/>
        </w:rPr>
        <w:t xml:space="preserve">-4,7 % (base +6,8 %)</w:t>
      </w:r>
      <w:r>
        <w:t xml:space="preserve"> · Valor intrínseco 77,45 USD · con la prima implícita del mercado: 94,46 (-43,7 %) · Alcista / bajista -46,3 % / -72,0 %</w:t>
      </w:r>
    </w:p>
    <w:p>
      <w:pPr>
        <w:spacing w:after="100"/>
      </w:pPr>
      <w:r>
        <w:rPr>
          <w:b/>
        </w:rPr>
        <w:t xml:space="preserve">La recomendación y por qué.</w:t>
      </w:r>
      <w:r>
        <w:t xml:space="preserve"> Mantener, con convicción media; no es compra. El objetivo a 12 meses es de 158,01 USD (nuestro BPA de 2028e × el PER de la regla común, ponderado 25/50/25): −4,7 % con el dividendo, y +6,8 % en el caso base. No llega al 15 % ponderado ni al 12 % del base, y el valor intrínseco (77,45 USD) está un 54 % por debajo del precio de 167,75 USD (cierre del 19-oct-2026). La convicción es media porque las dos reglas (la de 12 meses y la del valor intrínseco) apuntan lejos de una compra y el negocio es de calidad; la convicción bajaría con un RevPAR de EE. UU. negativo tras el Mundial y subiría con una caída del precio hacia el valor real o con tipos más bajos.</w:t>
      </w:r>
    </w:p>
    <w:p>
      <w:pPr>
        <w:spacing w:after="100"/>
      </w:pPr>
      <w:r>
        <w:rPr>
          <w:b/>
        </w:rPr>
        <w:t xml:space="preserve">El negocio.</w:t>
      </w:r>
      <w:r>
        <w:t xml:space="preserve"> IHG pone marca, reservas y fidelidad a ≈ 7.100 hoteles de otros (Holiday Inn Express, Holiday Inn, Crowne Plaza, InterContinental, Kimpton, Six Senses) y cobra una comisión sobre lo que facturan: menos del 1 % de las habitaciones son suyas [3]. Ingresos de segmentos de 2.468 M USD en 2025 con un margen de comisiones del 64,8 % [1].</w:t>
      </w:r>
    </w:p>
    <w:p>
      <w:pPr>
        <w:spacing w:after="100"/>
      </w:pPr>
      <w:r>
        <w:rPr>
          <w:b/>
        </w:rPr>
        <w:t xml:space="preserve">Finanzas.</w:t>
      </w:r>
      <w:r>
        <w:t xml:space="preserve"> El BPA ajustado pasó de 2,82 USD en 2022 a 5,01 en 2025 (+21 % anual) con ingresos +10 % anual, margen al alza y recompras que bajaron las acciones un 16 % desde 2021 [1, 5]. En el 1S26, BPA +13 % y RevPAR +4,1 % [2]. Patrimonio negativo (−2.978 M) por las recompras y deuda neta de 2,6 veces el EBITDA [2]. ROIC a mano del ≈ 35 % frente a un WACC del 9,8 %: pasa la calidad (≈ +25 puntos) y el crecimiento previsto es sostenible.</w:t>
      </w:r>
    </w:p>
    <w:p>
      <w:pPr>
        <w:spacing w:after="100"/>
      </w:pPr>
      <w:r>
        <w:rPr>
          <w:b/>
        </w:rPr>
        <w:t xml:space="preserve">Equipo y gobierno.</w:t>
      </w:r>
      <w:r>
        <w:t xml:space="preserve"> Elie Maalouf, consejero delegado desde 2023, ha cumplido el algoritmo de crecimiento de 2024 [2]. Consejo mayoritariamente independiente; la política de remuneración solo tuvo un 69,5 % a favor en 2025 [21].</w:t>
      </w:r>
    </w:p>
    <w:p>
      <w:pPr>
        <w:spacing w:after="100"/>
      </w:pPr>
      <w:r>
        <w:rPr>
          <w:b/>
        </w:rPr>
        <w:t xml:space="preserve">Valoración.</w:t>
      </w:r>
      <w:r>
        <w:t xml:space="preserve"> El DCF da 78,03 USD (−53,5 %) y el DCF inverso pide ingresos +16 % anual: el precio solo cuadra con una rentabilidad exigida del 6,5 %, con el bono de EE. UU. al 5,15 %. Con la prima del mercado (4,2 %) el DCF sube a 94,46 USD. La regla a 12 meses baja el PER de 26,7 veces a 24,8 (mitad de camino hacia la mediana de cinco años, 23,1) y el bajista lo lleva al mínimo de 15,5. Los analistas esperan 164,67 USD de media (16; 120-195) [31].</w:t>
      </w:r>
    </w:p>
    <w:p>
      <w:pPr>
        <w:spacing w:after="100"/>
      </w:pPr>
      <w:r>
        <w:rPr>
          <w:b/>
        </w:rPr>
        <w:t xml:space="preserve">Riesgos y catalizadores.</w:t>
      </w:r>
      <w:r>
        <w:t xml:space="preserve"> El mayor riesgo es el ciclo de viajes en EE. UU. tras el Mundial unido a un múltiplo alto; después, los agentes de IA como intermediarios de la reserva (exposición media, −5 a −10 % del valor a 3-5 años), China y Oriente Medio y la competencia por firmar hoteles. Próximo dato: avance del 3T el 22-oct-2026 [40].</w:t>
      </w:r>
    </w:p>
    <w:p>
      <w:pPr>
        <w:spacing w:after="100"/>
      </w:pPr>
      <w:r>
        <w:rPr>
          <w:b/>
        </w:rPr>
        <w:t xml:space="preserve">Qué cambiaría la decisión.</w:t>
      </w:r>
      <w:r>
        <w:t xml:space="preserve"> Comprar exigiría a la vez una rentabilidad ponderada del 15 % y un precio por debajo del valor intrínseco: hoy, por debajo de 77,45 USD. Mantener entre 77,45 y 177,68 USD; vender por encima de 177,68. Una bajada fuerte de los tipos de EE. UU. o un crecimiento de la red por encima del 6 % sostenido mejorarían el valor real.</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158,01 USD</w:t>
      </w:r>
      <w:r>
        <w:t xml:space="preserve"> (rentabilidad -4,7 % (base +6,8 %)) · Valor intrínseco: 77,45 USD (-53,8 % sobre 167,75) · con la prima implícita del mercado: 94,46 (-43,7 %)</w:t>
      </w:r>
    </w:p>
    <w:p>
      <w:pPr>
        <w:spacing w:after="100"/>
      </w:pPr>
      <w:r>
        <w:t xml:space="preserve">IHG es una de las mejores empresas del sector: cobra comisiones sobre las ventas de ≈ 7.100 hoteles que pagan otros, con un ROIC del ≈ 35 %, un foso amplio (fidelidad del 67 % de las noches, contratos de 15-30 años) y un BPA que crece un 12-15 % al año con recompras. Pero a 26,7 veces el BPA de los próximos 12 meses el precio ya descuenta esa calidad: el DCF vale la mitad con el bono de EE. UU. al 5,15 % y la regla a 12 meses no da rentabilidad suficiente con un bajista de recesión de viajes.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5,72 = 88,66 · 24,8x × 7,15 = 177,32 · 24,8x × 7,61 = 188,73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 /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164,67 (nuestro base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 / -72,0 %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9,8 % y 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77,45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77,45 y 177,68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177,68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77,45 USD: Comprar (ponderada ≥ 15 %, base ≥ 12 % y valor intrínseco por encima).</w:t>
      </w:r>
    </w:p>
    <w:p>
      <w:pPr>
        <w:pStyle w:val="ListParagraph"/>
        <w:numPr>
          <w:ilvl w:val="0"/>
          <w:numId w:val="2"/>
        </w:numPr>
        <w:spacing w:after="60"/>
      </w:pPr>
      <w:r>
        <w:t xml:space="preserve">Precio entre 77,45 y 177,68 USD: Mantener.</w:t>
      </w:r>
    </w:p>
    <w:p>
      <w:pPr>
        <w:pStyle w:val="ListParagraph"/>
        <w:numPr>
          <w:ilvl w:val="0"/>
          <w:numId w:val="2"/>
        </w:numPr>
        <w:spacing w:after="60"/>
      </w:pPr>
      <w:r>
        <w:t xml:space="preserve">Precio por encima de 177,68 USD: Vender o reducir (ponderada ≤ −10 %).</w:t>
      </w:r>
    </w:p>
    <w:p>
      <w:pPr>
        <w:pStyle w:val="ListParagraph"/>
        <w:numPr>
          <w:ilvl w:val="0"/>
          <w:numId w:val="2"/>
        </w:numPr>
        <w:spacing w:after="60"/>
      </w:pPr>
      <w:r>
        <w:t xml:space="preserve">Bono de EE. UU. a 10 años por debajo del 4 %: revisar el valor intrínseco al alza (≈ +25 %).</w:t>
      </w:r>
    </w:p>
    <w:p>
      <w:pPr>
        <w:pStyle w:val="ListParagraph"/>
        <w:numPr>
          <w:ilvl w:val="0"/>
          <w:numId w:val="2"/>
        </w:numPr>
        <w:spacing w:after="60"/>
      </w:pPr>
      <w:r>
        <w:t xml:space="preserve">RevPAR de EE. UU. negativo dos trimestres o caída del canal directo: revisar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IHG seguirá subiendo el BPA un 12-15 % al año (red +4-5 %, RevPAR +2-3 %, margen +100-150 pb y recompras de ≈ 900 M al año) y que el PER de 25-27 veces es el normal para un negocio de comisiones; los analistas esperan 164,67 USD, un 2 % menos que hoy.</w:t>
      </w:r>
    </w:p>
    <w:p>
      <w:pPr>
        <w:keepNext/>
        <w:spacing w:after="100"/>
      </w:pPr>
      <w:r>
        <w:rPr>
          <w:b/>
          <w:bCs/>
        </w:rPr>
        <w:t xml:space="preserve">Lo que creemos nosotros.</w:t>
      </w:r>
    </w:p>
    <w:p>
      <w:pPr>
        <w:spacing w:after="100"/>
      </w:pPr>
      <w:r>
        <w:t xml:space="preserve">Coincidimos en el negocio y en el BPA (−2/−3 % por no contar recompras nuevas) y discrepamos en el precio: con la tasa libre al 5,15 % el flujo libre de IHG (3,8 % sobre la capitalización) no compensa el riesgo de un ciclo de viajes que ya ha restado el 75 % del resultado una vez (2020).</w:t>
      </w:r>
    </w:p>
    <w:p>
      <w:pPr>
        <w:keepNext/>
        <w:spacing w:after="100"/>
      </w:pPr>
      <w:r>
        <w:rPr>
          <w:b/>
          <w:bCs/>
        </w:rPr>
        <w:t xml:space="preserve">Por qué podemos tener razón.</w:t>
      </w:r>
    </w:p>
    <w:p>
      <w:pPr>
        <w:spacing w:after="100"/>
      </w:pPr>
      <w:r>
        <w:t xml:space="preserve">La historia adelantada muestra que IHG cotizó a 15,5 veces en 2022 y a 19-23 veces en 2017-2023; el PER actual es el más alto de la serie sin pandemia. La IA añade un riesgo nuevo justo en la distribución, que es la razón de ser de la marca.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7,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Modelo de comisiones</w:t>
      </w:r>
      <w:r>
        <w:t xml:space="preserve">: menos del 1 % de las habitaciones son propias; margen de comisiones del 64,8 %.</w:t>
      </w:r>
    </w:p>
    <w:p>
      <w:pPr>
        <w:pStyle w:val="ListParagraph"/>
        <w:numPr>
          <w:ilvl w:val="0"/>
          <w:numId w:val="2"/>
        </w:numPr>
        <w:spacing w:after="60"/>
      </w:pPr>
      <w:r>
        <w:rPr>
          <w:b/>
        </w:rPr>
        <w:t xml:space="preserve">ROIC del ≈ 35 %</w:t>
      </w:r>
      <w:r>
        <w:t xml:space="preserve">: ≈ 25 puntos sobre el WACC con inversión neta de ≈ 200 M al año.</w:t>
      </w:r>
    </w:p>
    <w:p>
      <w:pPr>
        <w:pStyle w:val="ListParagraph"/>
        <w:numPr>
          <w:ilvl w:val="0"/>
          <w:numId w:val="2"/>
        </w:numPr>
        <w:spacing w:after="60"/>
      </w:pPr>
      <w:r>
        <w:rPr>
          <w:b/>
        </w:rPr>
        <w:t xml:space="preserve">Crecimiento visible</w:t>
      </w:r>
      <w:r>
        <w:t xml:space="preserve">: cartera de 348.000 habitaciones (33 % del sistema), la mitad en obra.</w:t>
      </w:r>
    </w:p>
    <w:p>
      <w:pPr>
        <w:pStyle w:val="ListParagraph"/>
        <w:numPr>
          <w:ilvl w:val="0"/>
          <w:numId w:val="2"/>
        </w:numPr>
        <w:spacing w:after="60"/>
      </w:pPr>
      <w:r>
        <w:rPr>
          <w:b/>
        </w:rPr>
        <w:t xml:space="preserve">Fidelidad</w:t>
      </w:r>
      <w:r>
        <w:t xml:space="preserve">: más de 160 M de socios y el 67 % de las noches.</w:t>
      </w:r>
    </w:p>
    <w:p>
      <w:pPr>
        <w:pStyle w:val="ListParagraph"/>
        <w:numPr>
          <w:ilvl w:val="0"/>
          <w:numId w:val="2"/>
        </w:numPr>
        <w:spacing w:after="60"/>
      </w:pPr>
      <w:r>
        <w:rPr>
          <w:b/>
        </w:rPr>
        <w:t xml:space="preserve">Recompras y dividendo</w:t>
      </w:r>
      <w:r>
        <w:t xml:space="preserve">: 950 M de recompra en 2026 y dividendo +10 % al año.</w:t>
      </w:r>
    </w:p>
    <w:p>
      <w:pPr>
        <w:pStyle w:val="Heading2"/>
      </w:pPr>
      <w:r>
        <w:t xml:space="preserve">En contra</w:t>
      </w:r>
    </w:p>
    <w:p>
      <w:pPr>
        <w:pStyle w:val="ListParagraph"/>
        <w:numPr>
          <w:ilvl w:val="0"/>
          <w:numId w:val="2"/>
        </w:numPr>
        <w:spacing w:after="60"/>
      </w:pPr>
      <w:r>
        <w:rPr>
          <w:b/>
        </w:rPr>
        <w:t xml:space="preserve">Caro</w:t>
      </w:r>
      <w:r>
        <w:t xml:space="preserve">: 26,7 veces el BPA adelantado frente a una mediana de 23,1 y un mínimo de 15,5.</w:t>
      </w:r>
    </w:p>
    <w:p>
      <w:pPr>
        <w:pStyle w:val="ListParagraph"/>
        <w:numPr>
          <w:ilvl w:val="0"/>
          <w:numId w:val="2"/>
        </w:numPr>
        <w:spacing w:after="60"/>
      </w:pPr>
      <w:r>
        <w:rPr>
          <w:b/>
        </w:rPr>
        <w:t xml:space="preserve">Valor real a la mitad</w:t>
      </w:r>
      <w:r>
        <w:t xml:space="preserve">: DCF de 78 USD con el bono al 5,15 %.</w:t>
      </w:r>
    </w:p>
    <w:p>
      <w:pPr>
        <w:pStyle w:val="ListParagraph"/>
        <w:numPr>
          <w:ilvl w:val="0"/>
          <w:numId w:val="2"/>
        </w:numPr>
        <w:spacing w:after="60"/>
      </w:pPr>
      <w:r>
        <w:rPr>
          <w:b/>
        </w:rPr>
        <w:t xml:space="preserve">Ciclo</w:t>
      </w:r>
      <w:r>
        <w:t xml:space="preserve">: EE. UU. es el 66 % del resultado regional; en 2020 el resultado cayó un 75 %.</w:t>
      </w:r>
    </w:p>
    <w:p>
      <w:pPr>
        <w:pStyle w:val="ListParagraph"/>
        <w:numPr>
          <w:ilvl w:val="0"/>
          <w:numId w:val="2"/>
        </w:numPr>
        <w:spacing w:after="60"/>
      </w:pPr>
      <w:r>
        <w:rPr>
          <w:b/>
        </w:rPr>
        <w:t xml:space="preserve">IA en la reserva</w:t>
      </w:r>
      <w:r>
        <w:t xml:space="preserve">: los agentes pueden convertirse en un nuevo intermediario.</w:t>
      </w:r>
    </w:p>
    <w:p>
      <w:pPr>
        <w:pStyle w:val="ListParagraph"/>
        <w:numPr>
          <w:ilvl w:val="0"/>
          <w:numId w:val="2"/>
        </w:numPr>
        <w:spacing w:after="60"/>
      </w:pPr>
      <w:r>
        <w:rPr>
          <w:b/>
        </w:rPr>
        <w:t xml:space="preserve">Patrimonio negativo</w:t>
      </w:r>
      <w:r>
        <w:t xml:space="preserve">: −2.978 M; menos colchón en una recesión.</w:t>
      </w:r>
    </w:p>
    <w:p>
      <w:pPr>
        <w:pStyle w:val="Heading2"/>
      </w:pPr>
      <w:r>
        <w:t xml:space="preserve">Qué tiene que pasar para que la tesis funcione</w:t>
      </w:r>
    </w:p>
    <w:p>
      <w:pPr>
        <w:spacing w:after="100"/>
      </w:pPr>
      <w:r>
        <w:t xml:space="preserve">La tesis de mantener depende de que el RevPAR de EE. UU. siga positivo tras el Mundial y de que la red crezca un 4-5 % con el margen subiendo. La señal en contra sería un RevPAR de EE. UU. negativo dos trimestres seguidos, una caída del canal directo digital o una recompra menor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RevPAR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66 % del resultado regional.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neto de la red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volumen del puente de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comisiones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subida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margen del DCF.</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 fidelidad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67 % de las noches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 intermediación por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 USD consenso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5,60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objetivo a 12 meses.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 / 18,4x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31,5x / 26,2x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IHG nace en 2003 de la división de Six Continents (la antigua cervecera Bass) en dos empresas: los hoteles (IHG) y los pubs (Mitchells &amp; Butlers) [3]. Bass había comprado Holiday Inn (fundada en 1952 en Memphis) en 1988-1990 e InterContinental en 1998. Desde 2003 IHG vendió casi todos sus hoteles para quedarse con las marcas, la franquicia y la gestión: hoy menos del 1 % de sus habitaciones es propio o arrendado [3]. Compró marcas en vez de edificios: Kimpton (2015), Regent (2018), Six Senses (2019) y Ruby (2025), y creó otras (avid, voco, Garner, Vignette) [1, 3]. La pandemia hundió el resultado un 75 % en 2020; desde 2022 el modelo de comisiones, con recompras de 500-950 M al año, ha llevado el BPA ajustado de 2,82 USD (2022) a 5,01 (2025) [1, 5]. Elie Maalouf es consejero delegado desde julio de 2023 y la acción cotiza en USD desde enero de 2026 [3,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Kemmons Wilson abre el primer Holiday Inn en Memphis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Bass compra Holiday Inn (1988-1990) e InterContinental (1998); nace Holiday Inn Express (1991).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Six Continents se divide: IHG sale a bolsa en Londres con los hoteles y Mitchells &amp; Butlers con los pubs.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casi todos los hoteles propios: IHG pasa a vivir de comisiones de franquicia y gestión.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Kimpton, Regent (51 %) y Six Senses (300 M USD); lanzamiento de avid y voco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ingresos de segmentos −52 % y resultado −75 %; se suspende el dividendo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Elie Maalouf consejero delegado; algoritmo de crecimiento con BPA +12-15 % anual; lanzamiento de Garner [3,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Ruby; BPA ajustado de 5,01 USD (+16 %); la acción pasa a cotizar en USD (2-ene-2026) [1, 32].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IHG es el cuarto grupo hotelero del mundo por habitaciones: ≈ 7.100 hoteles y 1,05 M de habitaciones en más de cien países bajo 21 marcas, de la gama media (Holiday Inn Express, con ≈ 3.300 hoteles, Holiday Inn, avid, Garner) a las estancias largas (Staybridge, Candlewood, Atwell), la gama alta (Crowne Plaza, voco, Hotel Indigo, Kimpton, Ruby) y el lujo (InterContinental, Regent, Six Senses, Vignette) [1, 3]. No es dueña de los hoteles: el 73 % de las habitaciones son franquicias y el 27 % los gestiona para sus propietarios; menos del 1 % es propio o arrendado [3]. Su cliente directo es el propietario del hotel, al que vende marca, reservas, fidelidad (IHG One Rewards, más de 160 M de socios), tecnología y compras; el huésped paga al hotel. EE. UU. y Canadá son la mitad de la red y Américas el 66 % del resultado regional; tiene 348.000 habitaciones en cartera, el 33 % del sistema actual [2].</w:t>
      </w:r>
    </w:p>
    <w:p>
      <w:pPr>
        <w:pStyle w:val="Heading2"/>
      </w:pPr>
      <w:r>
        <w:t xml:space="preserve">Cómo gana dinero</w:t>
      </w:r>
    </w:p>
    <w:p>
      <w:pPr>
        <w:spacing w:after="100"/>
      </w:pPr>
      <w:r>
        <w:t xml:space="preserve">IHG cobra comisiones recurrentes: la franquicia paga un porcentaje de los ingresos por habitaciones del hotel, y la gestión una comisión base sobre las ventas más un incentivo sobre el beneficio del hotel [3]. Se suman tasas de tecnología y servicios, las comisiones de las tarjetas de crédito de marca compartida y la venta de puntos (segmento Central, que pasó de −66 a +36 M de resultado en 2025) [1]. Los ingresos crecen con la red neta (+4,5-5 % al año) y el RevPAR; los costes del negocio de comisiones crecen un 1-3 %, de ahí un margen de comisiones del 64,8 % que sube 100-150 pb al año [1, 2]. Apalancamiento operativo alto y estacionalidad suave (el 2T y el 3T son los más fuertes). Marketing, reservas y fidelidad se pagan con el Fondo del Sistema, que se financia con tasas de los hoteles y no da margen a IHG a lo largo del tiempo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China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Central (ingresos auxiliares y gastos centrales)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Seguros (cautiva)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China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Central (ingresos auxiliares y gastos centrales)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Seguros (cautiva)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IHG cobra a ≈ 7.100 hoteles de terceros: franquicia (73 % de las habitaciones), gestión (27 %) y menos del 1 % en propiedad o arrendamiento [3]. La franquicia paga una comisión sobre los ingresos por habitaciones y la gestión una base más un incentivo sobre el beneficio del hotel; los contratos duran 15-30 años y las bajas son del ≈ 1,5 % del sistema al año [2, 3]. Ningún propietario es relevante por sí solo. El poder de precios se ve en que los hoteles de la marca reciben del sistema de IHG el 83 % de sus ingresos por habitaciones (fidelidad, web, app, ventas) y en que la empresa sube las tasas de tecnología y servicios sin perder firmas (+8 % en el 1S26) [2, 9]. El huésped final paga al hotel, no a IHG: el riesgo de precio lo asume el propietario y llega a IHG vía RevPAR.</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RevPAR global (variación)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(2025); +4,1 %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−1,6 % y −2,0 % en el 3T y 4T25; +5,2 % en el 2T26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Habitaciones en el sistema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987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 (2025); 1.049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neto ajustado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+5,0 % interanual a junio de 2026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proyectos (miles de habitaciones)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327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(2025); 348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33 % del sistema actual; la mitad en construcción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Firmas (habitaciones)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102.054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(+9 % sin Ruby ni NOVUM)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49.200 en el 1S26 (+8 % orgánico)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comisiones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65,9 % en el 1S26; objetivo +100-150 pb al año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Penetración de la fidelidad (noches)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67 %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 en EE. UU.; más de 160 M de socios [2,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industria hotelera mundial, de la que IHG cobra comisiones por marca, distribución y gestión. IHG la cifra en ≈ 750.000 M USD de ingresos, con un 57 % de las habitaciones afiliadas a una cadena y un 24 % en manos de los cinco grandes (IHG, Marriott, Hilton, Wyndham y Accor) según STR [3]. El perímetro útil para la cuota es el de habitaciones: IHG tiene 1,05 M de ≈ 19 M de habitaciones del mundo (≈ 5,5 %, estimación propia con la cuota de los cinco grandes) [2, 3]. Segunda fuente: los ingresos de la industria crecieron un 4,2 % anual de 2000 a 2025 frente al 2,9 % del PIB y superaron al PIB en 19 de 26 años [2, 7]. Por fuera quedan los alquileres turísticos (Airbnb), que compiten por la demanda de 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750.000 M USD de ingresos de la industria hotelera mundial en 2025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a industria hotelera mundial; 2025 de IHG/STR, resto con el 4,2 % anual histórico y el +3,6 % previsto de noche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viajes (noches de hotel)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Noches consumidas +2,7 % anual en 2015-2025 y +3,6 % previsto hasta 2035 (Oxford Economics); EE. UU. +2,4 % y China +4,0 %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las marcas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57 % de las habitaciones de cadena y 79 % de la cartera mundial de proyectos (STR): las marcas ganan cuota de forma continua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económico y RevPAR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EE. UU. de IHG −1,6 % y −2,0 % en el 3T y 4T25 y +5,2 % en el 2T26; en 2009 la industria cayó ≈ 17 % y en 2020 IHG −52 % [1, 2,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nueva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neta de EE. UU. +0,4 % en 2026 y +0,8 % en 2027 (STR): poca oferta sostiene el RevPAR y las conversiones a marca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Gran China −1,6 % en 2025 y +3,1 % en el 1S26; aperturas récord (15.200 habitaciones en el 1S26) con comisiones bajas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Geopolítica y viaje internacional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Oriente Medio −19 % de RevPAR en el 2T26 por el conflicto (5 % del sistema de IHG)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compiten por firmar propietarios con marcas, fidelidad y dinero clave; IHG paga 177-206 M USD al año en dinero clave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propietarios son muchos y pequeños, pero pueden cambiar de bandera al vencer el contrato (bajas del 1,5 % anual)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agencias en línea (Booking, Expedia) cobran comisiones altas por la reserva que no llega por el canal propio; la fidelidad (67 % de las noches) lo limita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escala de fidelidad y tecnología: los cinco grandes tienen el 24 % del mundo y el 79 % de la cartera es de marca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Alquileres turísticos (Airbnb: 12.241 M USD de ingresos en 2025) en ocio; agentes de IA que reserven fuera del canal propio [2, 19].</w:t>
            </w:r>
          </w:p>
        </w:tc>
      </w:tr>
    </w:tbl>
    <w:p>
      <w:pPr>
        <w:spacing w:after="160" w:before="0"/>
      </w:pPr>
    </w:p>
    <w:p>
      <w:pPr>
        <w:pStyle w:val="Heading2"/>
      </w:pPr>
      <w:r>
        <w:t xml:space="preserve">Ciclo</w:t>
      </w:r>
    </w:p>
    <w:p>
      <w:pPr>
        <w:spacing w:after="100"/>
      </w:pPr>
      <w:r>
        <w:t xml:space="preserve">El RevPAR mundial creció un 1,5 % en 2025 y un 4,1 % en el 1S26, con EE. UU. saliendo de dos trimestres negativos gracias a una economía más fuerte y al Mundial de fútbol [1, 2]. Es un sector cíclico: en 2009 el RevPAR cayó en torno a un 17 %, en 2020 los ingresos de segmentos de IHG cayeron un 52 % y el resultado un 75 %, y en 2022 la recuperación fue completa [5, 17]. Indicadores para seguir: RevPAR de EE. UU. trimestral, ocupación (+1,0 punto en el 1S26) y oferta nueva (+0,4 % en EE. UU.) [2].</w:t>
      </w:r>
    </w:p>
    <w:p>
      <w:pPr>
        <w:pStyle w:val="Heading2"/>
      </w:pPr>
      <w:r>
        <w:t xml:space="preserve">Regulación</w:t>
      </w:r>
    </w:p>
    <w:p>
      <w:pPr>
        <w:spacing w:after="100"/>
      </w:pPr>
      <w:r>
        <w:t xml:space="preserve">No hay regulación específica de precios; afectan las normas de franquicia de EE. UU. (FTC), las de comisiones y comparación de precios con las agencias en línea en Europa (Ley de Mercados Digitales, que obliga a Booking a eliminar la paridad de tarifas desde 2024), la fiscalidad de las tarjetas de crédito y del consumidor y las normas laborales en hoteles gestionados (IHG es empleador en los gestionados de EE. UU.) [3]. La reforma fiscal de EE. UU. de 2025 redujo los impuestos pagados en 2025 [1].</w:t>
      </w:r>
    </w:p>
    <w:p>
      <w:pPr>
        <w:pStyle w:val="Heading2"/>
      </w:pPr>
      <w:r>
        <w:t xml:space="preserve">Tendencias y disrupción</w:t>
      </w:r>
    </w:p>
    <w:p>
      <w:pPr>
        <w:spacing w:after="100"/>
      </w:pPr>
      <w:r>
        <w:t xml:space="preserve">Tres tendencias: (1) conversiones de hoteles independientes a marcas (43 % de las aperturas de IHG en el 1S26), que aceleran el crecimiento sin obra nueva [2]; (2) marcas de media gama y estancias largas en EE. UU. (Garner, avid, Atwell) y lujo y estilo de vida, que pagan más comisión por habitación [2]; (3) la IA: buscadores conversacionales y agentes de reserva (Google en modo IA, ChatGPT) que pueden desplazar la búsqueda y la reserva fuera del canal propio. IHG participa en el piloto de reserva con agentes de Google (las reservas siguen siendo directas) y lanzó un complemento para ChatGPT [2,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4.º grupo hotelero del mundo por habitaciones (1,05 M) tras Marriott, Hilton y Wyndham; líder en media gama alta con Holiday Inn Express (3.300 hoteles) [2,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Marriott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grupo (≈ 1,7 M de habitaciones); ingresos con reembolsos de costes, por eso el margen NIIF es bajo; mayor peso de lujo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Hilton Worldwide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HLT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neto de habitaciones del 6-7 % y la mayor prima en bolsa; modelo casi idéntico al de IHG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Wyndham Hotels &amp; Resorts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 pura de gama económica; más expuesta al viajero de bajo presupuesto de EE. UU.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Choice Hotels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Franquicia de gama económica y media en EE. UU.; compró Radisson Américas en 2022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Europa, Oriente Medio y Asia-Pacífico; separa los activos de Ennismore. Ingresos convertidos a 1,1215 USD/EUR (5.639 M EUR)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Airbnb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ABNB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Sustituto en ocio; empieza a ofrecer hoteles y servicios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IHG One Rewards: más de 160 M de socios y ≈ 67 % de las noches; más hoteles atraen más socios y al revés. El sistema aporta el 83 % de los ingresos por habitaciones del hotel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15-30 años con penalizaciones y bajas del ≈ 1,5 % anual del sistema [2,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marcas, Holiday Inn Express con 3.300 hoteles; firmas récord con propietarios (+8 % en el 1S26)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tecnología, reservas y fidelidad: costes del negocio de comisiones planos o a la baja (−3 % en 2025) con ingresos +7 %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cinco grandes tienen el 24 % del mundo y el 79 % de la cartera mundial es de marca: pocos pueden igualar la fidelidad [1].</w:t>
            </w:r>
          </w:p>
        </w:tc>
      </w:tr>
    </w:tbl>
    <w:p>
      <w:pPr>
        <w:spacing w:after="160" w:before="0"/>
      </w:pPr>
    </w:p>
    <w:p>
      <w:pPr>
        <w:pStyle w:val="Heading2"/>
      </w:pPr>
      <w:r>
        <w:t xml:space="preserve">Amenazas</w:t>
      </w:r>
    </w:p>
    <w:p>
      <w:pPr>
        <w:spacing w:after="100"/>
      </w:pPr>
      <w:r>
        <w:t xml:space="preserve">Tres amenazas. La primera, que los agentes de IA (Google, OpenAI) se conviertan en el nuevo intermediario y cobren como una agencia en línea o rompan el vínculo con la fidelidad; IHG lo mitiga con la fidelidad (67 % de las noches) y con acuerdos para que la reserva siga siendo directa, pero la probabilidad a cinco años es media [2]. La segunda, la competencia por firmar propietarios: Hilton crece más deprisa en habitaciones y todos pagan más dinero clave. La tercera, un ciclo malo en EE. UU. (la mitad del sistema y el 66 % del resultado regional) [3].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2018-2025: ingresos </w:t>
      </w:r>
      <w:r>
        <w:rPr>
          <w:b/>
          <w:bCs/>
        </w:rPr>
        <w:t xml:space="preserve">3,6 %</w:t>
      </w:r>
      <w:r>
        <w:t xml:space="preserve">, EBITDA </w:t>
      </w:r>
      <w:r>
        <w:rPr>
          <w:b/>
          <w:bCs/>
        </w:rPr>
        <w:t xml:space="preserve">5,0 %</w:t>
      </w:r>
      <w:r>
        <w:t xml:space="preserve">, BPA </w:t>
      </w:r>
      <w:r>
        <w:rPr>
          <w:b/>
          <w:bCs/>
        </w:rPr>
        <w:t xml:space="preserve">8,0 %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de los segmentos reportables pasaron de 2.083 M USD en 2019 a 2.468 M en 2025 (+18 %) y el resultado de 865 a 1.265 M (+46 %): el margen subió del 41,5 % al 51,3 % [1, 6]. 2020 (992 M de ingresos y 219 M de resultado) y 2021 no son comparables por la pandemia [5]. La palanca es el negocio de comisiones: los ingresos por comisiones crecieron un 7 % en 2025 (1.897 M) con los costes del negocio un 3 % más bajos, y el margen de comisiones subió 3,6 puntos, al 64,8 %; en 2024-2025 se sumaron además dos escalones de ingresos auxiliares (≈ 40 M de la nueva tarjeta de crédito de EE. UU. y ≈ 25 M de venta de puntos) [1, 3]. En el 1S26 los ingresos subieron un 7 % (6 % subyacente) y el resultado un 10 %, con un margen de comisiones del 65,9 % (+1,2 puntos) [2]. Hoteles en propiedad o arrendados (544 M de ingresos, 43 M de resultado en 2025) diluyen el margen [7].</w:t>
      </w:r>
    </w:p>
    <w:p>
      <w:pPr>
        <w:pStyle w:val="Heading2"/>
      </w:pPr>
      <w:r>
        <w:t xml:space="preserve">Ajustes y partidas no recurrentes</w:t>
      </w:r>
    </w:p>
    <w:p>
      <w:pPr>
        <w:spacing w:after="100"/>
      </w:pPr>
      <w:r>
        <w:t xml:space="preserve">La cuenta usa las medidas de la empresa: ingresos y resultado de los segmentos reportables, interés ajustado (sin el interés del Fondo del Sistema) e impuesto y beneficio ajustados [1]. Quedan fuera: el resultado del Fondo del Sistema y reembolsos (−46 M USD en 2025, −83 M en 2024, +19 M en 2023), que se gestiona para cerrar a cero a largo plazo con las aportaciones de los hoteles; los excepcionales (−21 M en 2025, 0 en 2024, +28 M en 2023); las diferencias de cambio intragrupo (+37 M en 2025) y la revalorización del precio aplazado de compras (−8 M) [1, 4]. En NIIF el BPA básico de 2025 fue 490,9 centavos frente a 501,3 del ajustado y los ingresos totales 5.189 M (con 2.721 M del Fondo y reembolsos) [1]. El Fondo pierde en contabilidad cuando crece el programa de fidelidad porque los puntos se cobran antes de reconocer el ingreso: no es un coste para el accionista mientras el saldo de ingresos diferidos siga creciendo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IHG publica semestres y avances de actividad trimestrales; los semestres van en la base de segmentos reportables (EBITDA = resultado + la mitad de la amortización del año, estimación propia; el del 1S26 cuadra con el EBITDA ajustado de 12 meses de 1.392 M) [1, 2, 11]. En los resultados del 1S26 (11-ago-2026) el BPA ajustado subió un 13 %, a 274,7 centavos, el RevPAR global un 4,1 % (Américas +4,8 %, EMEAA +3,0 %, Gran China +3,1 %) y la red neta un 5,0 % [2]. La dirección reiteró que cumplirá el consenso de beneficio de 2026, estrechó el interés ajustado a 230-240 M y mantuvo el aumento de costes del negocio de comisiones en el 1-3 % [2]. Cambio de discurso frente a febrero: EE. UU. pasó de RevPAR negativo en el 3T y 4T25 (−1,6 % y −2,0 %) a +5,2 % en el 2T26, con el Mundial de fútbol aportando ≈ 1 punto al trimestre, mientras Oriente Medio cayó un 19 % en el 2T por el conflicto [1, 2]. Los analistas preguntaron por la sostenibilidad del RevPAR de EE. UU. tras el Mundial, el peso del dinero clave (83 M en el semestre), las bajas de hoteles (1,5 % anual), la IA en reservas y el contrato de alojamiento de la Fuerza Aérea; la dirección no dio guía de RevPAR para 2027 [9]. Próximo dato: avance del 3T el 22-oct-2026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(2019: Compra de Six Senses (300 M USD, febrero de 2019) [6].; 2025: Compra de la marca Ruby (120 M USD pagados; marca registrada por 136 M), sin hoteles en propiedad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patrimonio es negativo (−2.978 M USD a 30-jun-2026) porque IHG ha devuelto más de lo que gana: 5.000 M en cinco años entre dividendos y recompras, financiados en parte con deuda [2]. No es un problema de solvencia: la deuda neta (3.663 M con arrendamientos) es 2,63 veces el EBITDA ajustado de 12 meses, dentro del objetivo de 2,5-3,0 veces que mantiene el grado de inversión [2]. El circulante comercial (clientes + existencias − proveedores) es pequeño, 162 M en 2025 (6,6 % de los ingresos de segmentos); el Fondo del Sistema financia con sus ingresos diferidos parte del activo de contratos (dinero clave pagado a propietarios, 798 M) [1]. La deuda bruta subió de 3.274 M en 2024 a 4.201 M en 2025 por las recompras [8].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4.164</w:t>
      </w:r>
      <w:r>
        <w:t xml:space="preserve">, conversión </w:t>
      </w:r>
      <w:r>
        <w:rPr>
          <w:b/>
          <w:bCs/>
        </w:rPr>
        <w:t xml:space="preserve">103 %</w:t>
      </w:r>
      <w:r>
        <w:t xml:space="preserve"> del beneficio neto; adquisiciones 446, dividendos 1.927, recompras 2.973.</w:t>
      </w:r>
    </w:p>
    <w:p>
      <w:pPr>
        <w:spacing w:after="100"/>
      </w:pPr>
      <w:r>
        <w:t xml:space="preserve">La conversión es alta: el flujo libre ajustado de la empresa fue de 893 M USD en 2025 (655 M en 2024) frente a un beneficio ajustado de 774 M, y de 2016 a 2025 superó en conjunto el 100 % del beneficio [1, 7]. Ese flujo ya descuenta el dinero clave que IHG paga a propietarios para firmar hoteles (177 M en 2025, 206 M en 2024), que va dentro del flujo operativo y no en la inversión [1]. La inversión del estado de flujos (inmovilizado y software) es de 77 M; la inversión bruta total fue de 269 M (dinero clave 179, mantenimiento 31, reciclable 16 y Fondo del Sistema 43) y la neta de 185 M [1]. Guía: dinero clave y mantenimiento de 200-250 M al año y bruta de hasta 350 M [10]. En 2025 el flujo se usó en recompras (897 M), dividendos (270 M) y la marca Ruby (120 M) [1]. El flujo de 2025 incluye 107 M de ingresos diferidos (74 M de fidelidad y 37 M de la tarjeta) que se repiten mientras el programa crezca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firmada el 16-feb-2026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cifras son limpias pero hay que entender tres capas. Primera, el Fondo del Sistema: 2.721 M USD de ingresos y gastos en 2025 que entran en la cuenta NIIF sin ser del accionista; su resultado (−46 M en 2025) se excluye del ajustado y la empresa lo gestiona para cerrar a cero a largo plazo [1, 2]. Segunda, el dinero clave: los pagos a propietarios para firmar se activan como activos de contratos (798 M) y se amortizan restando ingresos (52 M en 2025), así que no aparecen como amortización [1]. Tercera, los excepcionales son pequeños y no recurrentes (21 M en 2025, sobre todo reorganización). El BPA ajustado se separa poco del básico (501,3 frente a 490,9 centavos en 2025) [1]. Los indicadores del motor (Altman, ROE) pierden sentido con patrimonio negativo; el Beneish no se calcula porque la cuenta va en base de segmentos sin coste de ventas.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−2.741 M USD a fin de 2025 y −2.978 M a junio de 2026: invalida ROE y Altman; la solvencia la da el flujo libre (893 M) y la deuda neta de 2,6 veces el EBITDA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recurrentes del Fondo del Sistema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M USD en 2024 y −46 M en 2025, +9 M en el 1S26: si el Fondo no cerrara a cero, el accionista acabaría pagando la diferencia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Dinero clave activado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177-206 M USD al año pagados a propietarios; se amortiza contra ingresos (52 M en 2025) y no como gasto: el EBITDA no lo recoge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auxiliares con escalones contractuales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tarjeta de crédito de EE. UU. y la venta de puntos aportaron ≈ 65 M de mejora en 2025; la empresa dice que su crecimiento se normaliza desde 2026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335 M en 2025 (el 60 % del capital invertido medio); ha subido más de un 5 % en 1 de 6 años: compras pequeñas. ROIC publicado 165,3 %; sin fondo de comercio, 411,0 %.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9,8 %.</w:t>
      </w:r>
    </w:p>
    <w:p>
      <w:pPr>
        <w:spacing w:after="100"/>
      </w:pPr>
      <w:r>
        <w:t xml:space="preserve">El ROIC del motor (165 % en 2025) no sirve: el capital invertido contable es de solo 557 M porque las recompras y los dividendos extraordinarios dejaron el patrimonio en −2.978 M [2]. La medida exigente, sobre el capital operativo del activo (fondo de comercio e intangibles, inmovilizado, derechos de uso, dinero clave pagado a propietarios, costes de contratos y circulante: ≈ 2.640 M) y con el NOPAT de 2025 (923 M), da un ≈ 35 % frente a un WACC del 9,8 %: ≈ +25 puntos [1, 3]. Lo explica el modelo de comisiones: IHG cobra un porcentaje de los ingresos de ≈ 7.100 hoteles que construyen y pagan otros, con un margen de comisiones del 64,8 % [1]. Tendencia: el resultado de segmentos subió de 828 M (2022) a 1.265 M (2025) mientras la inversión neta anual seguía en 185-253 M, así que el rendimiento del capital nuevo es muy alto; el riesgo es el dinero clave, que crece (83 M solo en el 1S26) y que todos los grupos pagan cada vez más para firmar hoteles [2, 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4.121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825 M USD (798 M netos de descubiertos y caja restringida) y línea de crédito sindicada de 1.500 M sin disponer hasta diciembre de 2030, sin covenants financieros, a 30-jun-2026 [2]. En septiembre de 2026 emitió 850 M EUR de bonos (uno de 350 M al 4,0 % a 2029) y en agosto venció el bono de 350 M GBP [2, 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Baa2 (Moody's), deuda sénior no garantizada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Ingresos diferidos de 2.258 M USD a 30-jun-2026 (894 M a corto y 1.364 M a largo), sobre todo puntos de IHG One Rewards cobrados a los hoteles y aún no canjeados y cobros anticipados de la tarjeta de crédito de EE. UU.: pertenecen al Fondo del Sistema y se cancelan con estancias, no con caja del accionista [1, 2]. Pensiones: 67 M de obligaciones netas [2]. Planes de remuneración diferida: 337 M de pasivo cubiertos por 337 M de inversiones [2]. Precio contingente de Regent y Ruby y garantías de rendimiento a propietarios de hoteles gestionados (contingentes, pequeñas) [1, 3]. Dividendo a cuenta de 64,5 centavos (≈ 96 M) pagado el 1-oct-2026, posterior al balance [2]. Sin covenants financieros en la línea bancaria [2].</w:t>
      </w:r>
    </w:p>
    <w:p>
      <w:pPr>
        <w:pStyle w:val="Heading1"/>
      </w:pPr>
      <w:r>
        <w:t xml:space="preserve">12. Asignación de capital</w:t>
      </w:r>
    </w:p>
    <w:p>
      <w:pPr>
        <w:pStyle w:val="Confianza"/>
        <w:spacing w:after="100"/>
      </w:pPr>
      <w:r>
        <w:t xml:space="preserve">Confianza: Alta</w:t>
      </w:r>
    </w:p>
    <w:p>
      <w:pPr>
        <w:spacing w:after="100"/>
      </w:pPr>
      <w:r>
        <w:t xml:space="preserve">Marco declarado en 2024: dividendo ordinario que crece de forma sostenible (+10 % en cada uno de los últimos cuatro años: 184,5 centavos en 2025 y a cuenta de 64,5 en 2026), deuda neta de 2,5-3,0 veces el EBITDA ajustado para el grado de inversión, y devolución del exceso con recompras periódicas: 950 M USD en 2026 (42 % hecho a 30 de junio), tras 900 M en 2025, 800 M en 2024, 750 M en 2023 y 500 M en 2022 [1, 2]. Dinero clave y mantenimiento de 200-250 M anuales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Regent Hotels &amp; Resorts (51 %, resto en 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9 hoteles abiertos y en cartera a 25 hoy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Six Senses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16 abiertos y 18 en cartera a 27 abiertos y 33 en cartera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Ruby (hoteles urbanos de lujo asequible)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30 a 42 hoteles abiertos y en cartera; primeras firmas en Nueva York y Chicago [1, 2].</w:t>
            </w:r>
          </w:p>
        </w:tc>
      </w:tr>
    </w:tbl>
    <w:p>
      <w:pPr>
        <w:spacing w:after="160" w:before="0"/>
      </w:pPr>
    </w:p>
    <w:p>
      <w:pPr>
        <w:spacing w:after="100"/>
      </w:pPr>
      <w:r>
        <w:t xml:space="preserve">La dirección asigna bien el capital en un negocio que casi no lo necesita: en 2021-2025 el resultado de segmentos pasó de 534 a 1.265 M USD con una inversión neta de 185-253 M al año, y las acciones medias bajaron de 183 a 154 M (−16 %) por las recompras [1, 5]. Las compras han sido de marcas, pequeñas y sin deterioros relevantes (Kimpton 2015, Regent, Six Senses, Ruby) [2]. El riesgo es el apalancamiento: devolver más de lo que se gana dejó el patrimonio en −2.978 M y la deuda neta en 2,6 veces el EBITDA, sin margen si llega una recesión del turismo como la de 2020, cuando IHG suspendió el dividendo [2,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Elie Maalouf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Américas de 2015 a 2023 y en el consejo desde 2018; antes presidente de HMSHost. Con él el BPA ajustado subió de 375,7 centavos (2023) a 501,3 (2025) y el margen de comisiones de 59,3 % a 64,8 % [1, 3]. Participación estimada con su tenencia de 1.843 % del salario en acciones propias (≈ 160.000 acciones; estimación propia).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Glover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IHG desde 2012 (finanzas de Américas y control); consejero desde marzo de 2023. Ha llevado el apalancamiento al objetivo de 2,5-3,0 veces con recompras de 900-950 M al año [2,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Deanna Oppenheimer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directiva de Barclays y Washington Mutual; presidenta desde junio de 2022. Baja médica de octubre de 2025 a febrero de 2026, con Graham Allan de presidente en funciones [3,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Jolyon Bulley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Gran China; responsable de la región que da el 66 % del resultado regional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Kenneth Macpherson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EMEAA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en Rentokil y Sedexo; EMEAA pasó de 217 M USD de resultado en 2019 a 303 M en 2025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Algoritmo de 2024: BPA ajustado +12-15 % anual de media; comisiones +un dígito alto; margen de comisiones +100-150 pb</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+15 % (432,4 centavos); margen +190 pb (61,2 %)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algoritmo; costes del negocio de comisiones planos o a la baja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+16 % (501,3); margen +360 pb; costes −3 %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Cumplir el consenso de beneficio (1.401 M de resultado de segmentos); interés ajustado 230-240 M; costes +1-3 %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resultado +10 %, BPA +13 %; guía reiterada en agosto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Recuperar el nivel de 2019 y seguir con recompras de 750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 segmentos 1.019 M (+18 % sobre 2019); BPA 375,7 centavos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y creíble: el algoritmo publicado en 2024 se ha cumplido o superado dos años seguidos (BPA +15 % y +16 % frente al +12-15 %) [1, 2]. Maalouf y Glover llevan desde 2023 y la mayoría de la dirección viene de dentro. Riesgo de sucesión menor: la presidenta estuvo de baja médica cuatro meses y Sir Ron Kalifa dejó el consejo en mayo de 2026 [20, 25]. El consejo incorporó a Nicholas Cadbury (finanzas de IAG y ex Whitbread) en marzo de 2026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Deanna Oppenheimer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Elie Maalouf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Glover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Graham Allan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sénior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Negocio responsable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de Haast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Negocio responsable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Duriya Farooqui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Negocio responsable, voz del empleado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Byron Grote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Angie Risley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Nombramientos, Negocio responsable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Sharon Rothstein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Negocio responsable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Nicholas Cadbury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Negocio responsable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firmada el 16-feb-2026 [3]</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0,04 / ventas 0,13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PineStone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7,93 % al 6,99 % (11-sep-2026) [27]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 desde 2024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Boron Investments B.V.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2025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5,12 % al 4,90 % [3]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 Bank of Canada (gestoras)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3,88 % al 2,99 % (9-oct-2026)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5,43 M de acciones de 152,6 M emitidas a 30-sep-2026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Byron Grote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Tejas Katre (directora de personas)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total del consejero delegado en 2025: 10,317 M GBP (13,87 M USD a 1,345 USD/GBP de media de 2025, conversión propia): salario de 1,082 M, beneficios y pensión 0,533 M, bonus anual de 1,863 M (169,3 % del salario) y plan a largo plazo de 6,839 M [3]. El plan a largo plazo mide el crecimiento del BPA ajustado, el flujo libre, el crecimiento del sistema y la rentabilidad total para el accionista frente a un grupo de comparables globales [3]. La política de 2025 subió la cuantía y el grupo de comparables pasó a ser global (Marriott, Hilton): obtuvo solo el 69,51 % de votos a favor (30,49 % en contra) y el informe de remuneración el 79,0 %, ambos por debajo del 80 % del Código británico, lo que obligó a consultar a los accionistas [3, 21]. En 2026 el informe obtuvo el 94,50 % y la presidenta de la comisión, Angie Risley, solo el 80,12 % en su reelección [20]. Hay recuperación (malus y clawback) y una tenencia mínima de acciones del 1.000 % del salario [3]. Ratio con el empleado mediano: 214 a 1 [3].</w:t>
      </w:r>
    </w:p>
    <w:p>
      <w:pPr>
        <w:pStyle w:val="Heading2"/>
      </w:pPr>
      <w:r>
        <w:t xml:space="preserve">Operaciones vinculadas, estructura de control y defensas</w:t>
      </w:r>
    </w:p>
    <w:p>
      <w:pPr>
        <w:spacing w:after="100"/>
      </w:pPr>
      <w:r>
        <w:t xml:space="preserve">Sin accionista de control: el mayor (PineStone) tiene el 6,99 % y los seis primeros notificados suman ≈ 31 % [3, 27]. Una acción, un voto; sin blindajes ni límites de voto. Cotiza en Londres (FTSE 100) y en Nueva York con ADR 1:1. Operaciones vinculadas no relevantes. La autorización de recompra de la junta de 2026 obtuvo el 99,88 % [20].</w:t>
      </w:r>
    </w:p>
    <w:p>
      <w:pPr>
        <w:pStyle w:val="Heading2"/>
      </w:pPr>
      <w:r>
        <w:t xml:space="preserve">Señales de alerta</w:t>
      </w:r>
    </w:p>
    <w:p>
      <w:pPr>
        <w:pStyle w:val="ListParagraph"/>
        <w:numPr>
          <w:ilvl w:val="0"/>
          <w:numId w:val="2"/>
        </w:numPr>
        <w:spacing w:after="60"/>
      </w:pPr>
      <w:r>
        <w:t xml:space="preserve">Política de remuneración de 2025 aprobada con solo el 69,51 % y el informe con el 79,0 %; en 2026 la presidenta de la comisión de remuneración, reelegida con el 80,12 % [20, 21].</w:t>
      </w:r>
    </w:p>
    <w:p>
      <w:pPr>
        <w:pStyle w:val="ListParagraph"/>
        <w:numPr>
          <w:ilvl w:val="0"/>
          <w:numId w:val="2"/>
        </w:numPr>
        <w:spacing w:after="60"/>
      </w:pPr>
      <w:r>
        <w:t xml:space="preserve">Baja médica de la presidenta de octubre de 2025 a febrero de 2026 y salida de Sir Ron Kalifa del consejo en mayo de 2026 [20,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Sin guía numérica de beneficio: la empresa dice que cumplirá el consenso de beneficio y BPA de 2026 (reiterado el 11-ago-2026) y da partidas: costes del negocio de comisiones +1-3 %, interés ajustado de 230-240 M USD (estrechado en agosto), tipo ajustado del 26-27 %, dinero clave y mantenimiento de 200-250 M y recompra de 950 M en 2026 [2]. A medio plazo, el algoritmo de 2024: ingresos por comisiones +un dígito alto al año, margen de comisiones +100-150 pb al año, conversión del ≈ 100 % del beneficio en flujo libre y BPA ajustado +12-15 % anual de media [2]. Próximo dato: avance del 3T el 22-oct-2026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recopilado por IHG, 16 analistas, 15-oct-2026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recopilado por IHG, 16 analistas, 15-oct-2026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4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 – 195,00</w:t>
            </w:r>
          </w:p>
        </w:tc>
      </w:tr>
    </w:tbl>
    <w:p>
      <w:pPr>
        <w:spacing w:after="160" w:before="0"/>
      </w:pPr>
    </w:p>
    <w:p>
      <w:pPr>
        <w:pStyle w:val="Heading2"/>
      </w:pPr>
      <w:r>
        <w:t xml:space="preserve">Revisiones de estimaciones</w:t>
      </w:r>
    </w:p>
    <w:p>
      <w:pPr>
        <w:spacing w:after="100"/>
      </w:pPr>
      <w:r>
        <w:t xml:space="preserve">El consenso de BPA de 2026 recopilado por la empresa subió de 566 centavos (14-ene-2026, 15 analistas) a 579 (15-oct-2026) y el resultado de segmentos de 1.370 a 1.401 M USD (+2 %) [29]. En 3 meses (Yahoo) el BPA de 2026 pasó de 5,71 a 5,77 USD y el de 2027 de 6,46 a 6,53 (+1 %) [31]. Las subidas vienen del RevPAR de EE. UU. del 2T y de la mejora del margen; el objetivo medio (164,67 USD en Yahoo y MarketScreener) está un 2 % por debajo del precio, con una horquilla de 120-195 [30, 31]. Cambios recientes: UBS a Comprar con 188 USD (2-sep-2026), Bernstein mantiene Mantener (23-sep), Zacks a «strong sell» (28-jul) [37, 38].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Rentabilidades del ADR en USD frente al MSCI ACWI (ACWI) y al sector ocio de EE. UU. (PEJ), con dividendos [28]. IHG ha batido al mundo en 3, 5 y 10 años (35,5 %, 21,5 % y 16,6 % anual frente a 22,5 %, 10,5 % y 12,5 %): pasó de 91 USD a fin de 2023 a 168,92 por la subida del BPA (+33 % en 2025 sobre 2023) y del múltiplo [28]. En 12 meses sube un 42,2 % frente al 14,7 % del ACWI, con dos tramos: +30 % de abril a junio de 2026 (aceleración del RevPAR de EE. UU., Mundial y avance del 1T) y −10 % en julio [28]. La línea de Londres cotiza en USD desde el 2-ene-2026 [32]; su historia anterior en Yahoo está convertida al cambio de hoy y no se usa.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 +7,7 % / +18,9 % / +37,9 %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 +35,4 %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con el mercado y con todo el sector de viajes por el conflicto de Oriente Medio y el petróleo; los resultados de 2025 (17-feb) batieron y anunciaron 950 M USD de recompra; sin hecho propio negativo [28,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Alza general del 8-abr (+7 %, ACWI +3,2 %), avance del 1T con RevPAR de EE. UU. mejor de lo temido (7-may), conversaciones EE. UU.-Irán que bajaron el petróleo (6-may) y el Mundial de fútbol en EE. UU.; mayor subida de un mes +14,3 % (17-jun) [28, 36,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los valores de viajes por tensiones geopolíticas (8-jul) y rebaja de Zacks a «strong sell» (28-jul); IHG cayó más que Marriott e Hilton (−1 a −5 %) ante el temor a un 2S más flojo en EE. UU.; los resultados del 1S (11-ago) batieron y la caída se recuperó [2, 37,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3T (RevPAR, aperturas, recompras) el 22-oct-2026 a las 7:00 de Londres; sin cuenta de resultados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participaciones: PineStone 6,99 %, RBC 2,99 % y Fiera 2,70 %; son gestoras con cambios pequeños por encima y por debajo de los umbrales, sin colocación anunciada ni probable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bonos de 850 M EUR para refinanciar vencimientos; deuda ordinaria, sin acciones ni convertibles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sube a Comprar con objetivo de 188 USD (2-sep); Bernstein mantiene Mantener (23-sep); Jefferies en Comprar desde dic-2025; objetivo medio de 16 analistas 164,67 USD, un 2 % bajo el precio [31,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consejero Byron Grote compra ADR; en agosto vendió acciones Tejas Katre (directivo) tras la entrega de acciones por objetivos: importes pequeños, sin señal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 2026: BPA ajustado de 2,747 USD (+13 %), RevPAR mundial +4,1 %, recompra de 950 M en curso y cumplimiento del consenso del año reiterado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a un 3 % de su máximo de cinco años, en tendencia alcista (11 % sobre la media de 200 sesiones), tras subir un 38 % en 12 meses; la herramienta no da avisos P [28]. Las tres subidas y bajadas fuertes tienen causa conocida: el ciclo de viajes, la geopolítica y el petróleo, y resultados que baten; ninguna viene de un hecho propio pendiente. No hay colocaciones, ampliaciones, ofertas ni litigios abiertos: el bono de 850 M EUR es deuda ordinaria y los avisos de participación son de gestoras. El avance del 3T del 22-oct puede mover el precio, pero los resultados cercanos no aplazan una decisión (regla 11).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Cierres del ADR de NYSE (1:1 con la acción, en USD) [28]. Se excluyen 2020 y 2021: el beneficio hundido por la pandemia da PER de más de 40 veces que no dicen nada. El cierre de 2018 es anterior a la consolidación de acciones y al dividendo extraordinario de 262,1 centavos pagado en enero de 2019; el efecto neto en el precio comparable es menor del 1 % (estimación propia). IHG cotiza hoy por encima de su mediana histórica: la acción ha subido más que el beneficio desde 2023, porque el mercado paga ya el algoritmo de crecimiento (BPA +12-15 % anual) y la recompra del 4-5 % del capital al año, como hace con Hilton y Marriott.</w:t>
      </w:r>
    </w:p>
    <w:p>
      <w:pPr>
        <w:pStyle w:val="Heading1"/>
      </w:pPr>
      <w:r>
        <w:t xml:space="preserve">18. Comparables cotizados</w:t>
      </w:r>
    </w:p>
    <w:p>
      <w:pPr>
        <w:pStyle w:val="Confianza"/>
        <w:spacing w:after="100"/>
      </w:pPr>
      <w:r>
        <w:t xml:space="preserve">Confianza: Media</w:t>
      </w:r>
    </w:p>
    <w:p>
      <w:pPr>
        <w:spacing w:after="100"/>
      </w:pPr>
      <w:r>
        <w:t xml:space="preserve">Grupos hoteleros cotizados que cobran comisiones de marca, franquicia o gestión: Marriott, Hilton y Hyatt (los más parecidos en modelo y mezcla), Wyndham y Choice (franquicia pura de gama económica en EE. UU.), Accor (Europa y Oriente Medio), H World y Jin Jiang (China) y Meliá (más propietaria). Cifras de Yahoo del 20-oct-2026 en USD (EUR a 1,1215 y CNY a 6,6664) [31]. Ojo: Marriott, Hilton e Hyatt incluyen en sus ingresos los reembolsos de costes de los hoteles, así que su EV/ventas y su margen no son comparables con los de IHG en base de segmentos; Airbnb queda fuera (otro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IHG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Marriott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Hilton Worldwide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Hyatt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Wyndham Hotels &amp; Resorts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Choice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 World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Jin Jiang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Meliá Hotels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14,7x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14,6x / 29,7x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 / 5,8x / 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 mediana del PER de los próximos 12 meses es de 14,6 veces, pero la muestra tiene dos grupos: los tres grandes de EE. UU. (Marriott 29,7, Hilton 33,2 e Hyatt 35,5 veces) y el resto, con más propiedad inmobiliaria, más gama económica o más China (12,7-17,1 veces) [31]. IHG, a ≈ 26 veces su BPA de los próximos 12 meses, cotiza con descuento frente a Marriott y Hilton y con prima frente al resto: su modelo es el de los primeros (98 % de comisiones, margen de comisiones del 65 %, crecimiento del BPA del 12-15 % con recompras), pero tiene más peso de media gama, de EMEAA y de China. Por EV/EBITDA de 12 meses (≈ 21 veces) pasa lo mismo. El múltiplo de referencia útil es el de Hilton y Marriott menos un descuento, no la mediana del grupo.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Ruby (marca, sin hoteles en propiedad)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marca; múltiplo no publicado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Radisson Hotels Americas (franquicia, 624 hoteles)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Choice Hotels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tres hoteles en propiedad; múltiplo no publicado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Leisure Group (marcas de resorts y distribución)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Hyatt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 en caja a KKR y KSL; múltiplo no publicado en la nota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Senses Hotels Resorts Spas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de lujo con 16 hoteles abiertos; múltiplo no publicado [6].</w:t>
            </w:r>
          </w:p>
        </w:tc>
      </w:tr>
    </w:tbl>
    <w:p>
      <w:pPr>
        <w:spacing w:after="160" w:before="0"/>
      </w:pPr>
    </w:p>
    <w:p>
      <w:pPr>
        <w:spacing w:after="160" w:before="0"/>
      </w:pPr>
    </w:p>
    <w:p>
      <w:pPr>
        <w:spacing w:after="100"/>
      </w:pPr>
      <w:r>
        <w:t xml:space="preserve">Las compras del sector son de marcas y plataformas de franquicia, pequeñas frente a IHG y casi nunca con múltiplo publicado: no sirven para valorar el control de IHG y pesan 0 en la síntesis. IHG no tiene accionista de control, capitaliza ≈ 25.000 M USD y su mayor accionista tiene el 7 %: una oferta es posible (Marriott o Hilton por tamaño) pero chocaría con la competencia en EE. UU. y no se descuenta.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(+7,0 %, fijo) es el consenso (2.642 M [29]) y lo que da el 1S26 (+6,8 %) con un RevPAR de EE. UU. más flojo en el 2S tras el Mundial [2]. Después, el crecimiento baja del 6,0 % al 3,0 % en 2033e: la red neta crece hoy un 4,5-5 % (cartera del 33 % del sistema, la mitad en obra) y el RevPAR un 1-2 % real, como el PIB nominal de viajes [2, 7]. El histórico 2018-2025 (+3,6 % anual) está deprimido por la pandemia; 2022-2025 creció un 10 % anual con la recuperación [1]. El consenso de 2027e y 2028e (+5,9 % y +5,2 % [29, 30]) está en línea con el base.</w:t>
      </w:r>
    </w:p>
    <w:p>
      <w:pPr>
        <w:keepNext/>
        <w:spacing w:after="100"/>
      </w:pPr>
      <w:r>
        <w:rPr>
          <w:b/>
          <w:bCs/>
        </w:rPr>
        <w:t xml:space="preserve">Márgenes.</w:t>
      </w:r>
    </w:p>
    <w:p>
      <w:pPr>
        <w:spacing w:after="100"/>
      </w:pPr>
      <w:r>
        <w:t xml:space="preserve">Margen EBITDA del 54,0 % en 2025 (resultado de segmentos + amortización); sube al 55,7 % en 2026e (consenso 1.471 M [29]) y al 60,5 % desde 2031e. El algoritmo de 2024 promete +100-150 pb al año de margen de comisiones, y se ha cumplido (59,3 % en 2023, 64,8 % en 2025, 65,9 % en el 1S26) porque los costes del negocio de comisiones crecen un 1-3 % frente a ingresos +6-7 % [1, 2]. Paramos la mejora en 2031e porque la tasa de bajas, el dinero clave y la presión de los propietarios ponen techo: Hilton, con el mismo modelo, está en márgenes parecidos [16].</w:t>
      </w:r>
    </w:p>
    <w:p>
      <w:pPr>
        <w:keepNext/>
        <w:spacing w:after="100"/>
      </w:pPr>
      <w:r>
        <w:rPr>
          <w:b/>
          <w:bCs/>
        </w:rPr>
        <w:t xml:space="preserve">Inversión y circulante.</w:t>
      </w:r>
    </w:p>
    <w:p>
      <w:pPr>
        <w:spacing w:after="100"/>
      </w:pPr>
      <w:r>
        <w:t xml:space="preserve">Inversión del 7,5 % de los ingresos (7,0 % desde 2029e) que incluye el dinero clave pagado a propietarios para firmar hoteles (en NIIF va en el flujo operativo y no en el capex), el inmovilizado y software y los pagos de arrendamientos: la guía es de 200-250 M al año y la inversión neta de 2025 fue de 185 M (7,5 %) [1, 10]. Amortización del 2,7 % (67 M en 2025). Circulante del 6,5 % de los ingresos, el 6,6 % de 2025 sin los saldos de contratos del Fondo del Sistema [8]. Tipo del 27 %, la guía de 26-27 % [2].</w:t>
      </w:r>
    </w:p>
    <w:p>
      <w:pPr>
        <w:keepNext/>
        <w:spacing w:after="100"/>
      </w:pPr>
      <w:r>
        <w:rPr>
          <w:b/>
          <w:bCs/>
        </w:rPr>
        <w:t xml:space="preserve">Coste del capital.</w:t>
      </w:r>
    </w:p>
    <w:p>
      <w:pPr>
        <w:spacing w:after="100"/>
      </w:pPr>
      <w:r>
        <w:t xml:space="preserve">Tasa libre del 5,15 % (bono del Tesoro a 10 años, 19-oct-2026 [35]), porque las cuentas, el precio y la deuda están en USD. Beta de 1,05: la mensual a cinco años frente al MSCI ACWI es de 1,21 y la semanal a dos años de 0,78 [28]; tomamos una intermedia, la de un negocio cíclico de viajes con apalancamiento financiero moderado. Prima de mercado del 5,5 %. Coste de la deuda del 5,6 % (bonos en EUR y GBP con cobertura a USD, el último de 850 M EUR en septiembre [37]) y peso de la deuda del 16 % a valor de mercado (≈ 4.500 M de deuda y arrendamientos frente a ≈ 24.900 M de capitalización). WACC del 9,83 %; con la prima implícita de Damodaran (4,20 % [36]) sería del 8,7 %.</w:t>
      </w:r>
    </w:p>
    <w:p>
      <w:pPr>
        <w:keepNext/>
        <w:spacing w:after="100"/>
      </w:pPr>
      <w:r>
        <w:rPr>
          <w:b/>
          <w:bCs/>
        </w:rPr>
        <w:t xml:space="preserve">Valor terminal.</w:t>
      </w:r>
    </w:p>
    <w:p>
      <w:pPr>
        <w:spacing w:after="100"/>
      </w:pPr>
      <w:r>
        <w:t xml:space="preserve">Crecimiento a perpetuidad del 2,5 %: inflación esperada de EE. UU. (≈ 2-2,5 %) más poco crecimiento real, por debajo de la tasa libre menos medio punto (4,65 %). Un negocio de marcas con foso podría crecer algo más que el PIB nominal durante décadas por las conversiones de hoteles independientes a marcas, pero el valor terminal ya pesa el 62 %; preferimos no pagar ese crecimiento dos veces. Múltiplo de salida de referencia de 18 veces el EBITDA, por debajo del actual (20,8 veces) y en el rango de Marriott e Hilton.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 (reinvierte el 18 %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1.194 M, el 12 % del NOPAT, con un capex bruto medio del 7,2 %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+4,5 % (5,0 % interanual a junio [2]), RevPAR ≈ +2,5 % en el año (+4,1 % en el 1S26 con el Mundial; 2S más flojo en EE. UU. y Oriente Medio [2,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+4,5 % con la cartera de 348.000 habitaciones (33 % del sistema) [2] y RevPAR +1,5 %, sin el empuje del Mundial.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+4,0 % y RevPAR +1,3 %: el crecimiento converge hacia el de la industria (≈ 4 % nominal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+3,8 % y RevPAR +1,2 %.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 neta +3,5 % y RevPAR +1,0 %.</w:t>
            </w:r>
          </w:p>
        </w:tc>
      </w:tr>
    </w:tbl>
    <w:p>
      <w:pPr>
        <w:spacing w:after="160" w:before="0"/>
      </w:pPr>
    </w:p>
    <w:p>
      <w:pPr>
        <w:spacing w:after="100"/>
      </w:pPr>
      <w:r>
        <w:t xml:space="preserve">Sí. El crecimiento proyectado (4,8 % anual) está por debajo de lo que IHG ha demostrado fuera de la pandemia (red neta +4-5 % y RevPAR +1-3 % al año) y casi no necesita capital: la reinversión acumulada es el 12 % del NOPAT. La prueba en un negocio de activos ligeros es el poder de precios y la cuota: IHG pasa del 5,5 % a ≈ 6,4 % de las habitaciones mundiales en 2033e si su red crece un 4 % y la industria un 2 % (estimación propia con [3]), coherente con el 79 % de marca en la cartera mundial frente al 57 % del parque actual; el foso (fidelidad del 67 % de las noches, contratos de 15-30 años) es amplio [2, 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91 % justifica el precio (base: 60,5 %)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9,8 %)</w:t>
            </w:r>
          </w:p>
        </w:tc>
      </w:tr>
    </w:tbl>
    <w:p>
      <w:pPr>
        <w:spacing w:after="160" w:before="0"/>
      </w:pPr>
    </w:p>
    <w:p>
      <w:pPr>
        <w:spacing w:after="100"/>
      </w:pPr>
      <w:r>
        <w:t xml:space="preserve">El DCF da 78,03 USD por acción, un 53,5 % por debajo del precio, con un WACC del 9,83 % y un valor terminal que pesa el 62 %. El DCF inverso explica la distancia: para justificar 167,75 USD harían falta ingresos +16,2 % anual en 2027e-2033e (el base es del 4,5 %) o, con nuestro crecimiento, ningún margen razonable; la rentabilidad anual implícita en el precio es del 6,5 %, apenas 1,4 puntos sobre el bono de EE. UU. (5,15 %) y por debajo del WACC (9,8 %) y de lo que pide el mercado (8,7 %). Con la prima implícita del mercado el valor sube a 94,46 USD, aún un 44 % por debajo. Es exigente frente a la historia: con el mismo bono, IHG cotiza a un rendimiento del flujo libre del 3,8 %. El mercado paga la calidad (ROIC del ≈ 35 %, foso amplio, BPA +15 % al año con recompras) como si los tipos fueran a bajar o el crecimiento fuera a durar mucho más que nuestra proyección. Es el mismo patrón que Marriott e Hilton (29-33 veces): todo el sector cotiza por encima de su valor con estos tipos.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de viajes en EE. UU. en 2027 (como en 2009 o en el 3T-4T25, pero más larga): el RevPAR cae un 10-15 %, los ingresos de segmentos un 8 % y el margen cuatro puntos; después la red crece un punto y medio menos por más bajas y menos firmas, y los agentes de IA cobran comisión por las reservas. WACC +0,5 puntos y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neta +4-4,5 % y RevPAR +1-2,5 % al año; margen de comisiones +100-150 pb al año hasta 2030 y después estable; recompras al ritmo de la caja libre (no incluidas en el DCF, que valora la empresa).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vuelve a RevPAR +3-4 % y las conversiones aceleran la red al 6 % (como Hilton): un punto y medio más de crecimiento y de margen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67,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73,28 USD (-56,3 %).</w:t>
      </w:r>
    </w:p>
    <w:p>
      <w:pPr>
        <w:spacing w:after="100"/>
      </w:pPr>
      <w:r>
        <w:t xml:space="preserve">Los tres escenarios quedan por debajo del precio: el alcista vale 90,12 USD (−46 %) y el bajista 46,92 (−72 %). No hay asimetría a favor: incluso con un crecimiento como el de Hilton y el margen de comisiones subiendo hasta el 62 %, el flujo libre descontado al 9,8 % no llega al precio. El valor depende sobre todo del WACC y del terminal (cada medio punto de WACC mueve el valor ≈ 10 %), no del ciclo: por eso la decisión a 12 meses la da el múltiplo y no el DCF.</w:t>
      </w:r>
    </w:p>
    <w:p>
      <w:pPr>
        <w:pStyle w:val="Heading1"/>
      </w:pPr>
      <w:r>
        <w:t xml:space="preserve">22. Suma de partes</w:t>
      </w:r>
    </w:p>
    <w:p>
      <w:pPr>
        <w:pStyle w:val="Confianza"/>
        <w:spacing w:after="100"/>
      </w:pPr>
      <w:r>
        <w:t xml:space="preserve">Confianza: Alta</w:t>
      </w:r>
    </w:p>
    <w:p>
      <w:pPr>
        <w:spacing w:after="100"/>
      </w:pPr>
      <w:r>
        <w:t xml:space="preserve">No aplica: el 98 % del resultado de segmentos viene del mismo negocio de comisiones de marca, franquicia y gestión en tres regiones (Américas, EMEAA y Gran China) con el mismo modelo, los mismos sistemas y la misma fidelidad; los pocos hoteles en propiedad y arrendamiento y la aseguradora cautiva no tienen peso para valorarlos aparte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67,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intrínseco ponderado (largo plazo):</w:t>
      </w:r>
      <w:r>
        <w:t xml:space="preserve"> 77,45 USD (-53,8 % sobre 167,75).</w:t>
      </w:r>
    </w:p>
    <w:p>
      <w:pPr>
        <w:spacing w:after="100"/>
      </w:pPr>
      <w:r>
        <w:t xml:space="preserve">Pesos: DCF 45 %, escenarios 45 % y comparables 10 %. El DCF es el método más limpio para un negocio de comisiones con poca inversión y flujos previsibles, y los escenarios recogen el ciclo de viajes. Los comparables pesan poco porque la muestra está partida: Marriott, Hilton e Hyatt cotizan a 30-35 veces y el resto, con inmuebles, gama económica o China, a 13-17; la mediana (14,6) infravalora a IHG y la de los tres grandes la sobrevaloraría. Las transacciones no tienen múltiplos publicados y pesan 0. La dispersión es enorme: los métodos intrínsecos dan 47-108 USD y el mercado y los analistas 120-195. La diferencia es la tasa de descuento: la acción solo tiene sentido a este precio con una rentabilidad exigida del 6,5 %.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(26.7x) a mitad de camino hacia abajo, hacia la mediana de 5 años (23.1x)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r>
    </w:tbl>
    <w:p>
      <w:pPr>
        <w:spacing w:after="160" w:before="0"/>
      </w:pPr>
    </w:p>
    <w:p>
      <w:pPr>
        <w:spacing w:after="100"/>
      </w:pPr>
      <w:r>
        <w:rPr>
          <w:b/>
          <w:bCs/>
        </w:rPr>
        <w:t xml:space="preserve">Objetivo a 12 meses (ponderado):</w:t>
      </w:r>
      <w:r>
        <w:t xml:space="preserve"> 158,01 USD · rentabilidad -4,7 % (base +6,8 %) · señal Mantener.</w:t>
      </w:r>
    </w:p>
    <w:p>
      <w:pPr>
        <w:spacing w:after="100"/>
      </w:pPr>
      <w:r>
        <w:t xml:space="preserve">Para comparar, con la regla v2 (historia al cierre, mismo precio): 20,7x / 24,3x / 24,3x, -1,9 %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(5,68 USD) queda un 2 % por debajo del consenso (5,79) y el de 2028e (7,15) un 3 % por debajo (7,34 [30]): la diferencia es casi entera de las recompras, que el consenso incluye (≈ 900 M al año, un 3-4 % menos de acciones cada año) y nosotros no, salvo lo que queda de la de 2026 [29]. En ventas y margen coincidimos. Nuestro precio base a 12 meses (177,32 USD) está un 7,7 % por encima del objetivo medio de los analistas (164,67; horquilla 120-195) [31].</w:t>
      </w:r>
    </w:p>
    <w:p>
      <w:pPr>
        <w:keepNext/>
        <w:spacing w:after="100"/>
      </w:pPr>
      <w:r>
        <w:rPr>
          <w:b/>
          <w:bCs/>
        </w:rPr>
        <w:t xml:space="preserve">Del valor intrínseco al objetivo a 12 meses.</w:t>
      </w:r>
    </w:p>
    <w:p>
      <w:pPr>
        <w:spacing w:after="100"/>
      </w:pPr>
      <w:r>
        <w:t xml:space="preserve">El objetivo a 12 meses (158,01 USD ponderado; 177,32 en el base) está más de un 100 % por encima del valor intrínseco (77,45 USD): el mercado valora IHG por el múltiplo del beneficio y el DCF no lo justifica con un bono al 5,15 %. Cerrar esa distancia no depende de un catalizador con fecha sino de los tipos de interés (un bono al 4 % sube el DCF ≈ 25 %) o de años de crecimiento por encima del previsto. La tesis no es a 12 meses: el base da +6,8 % con el dividendo y el ponderado −4,7 %, porque el bajista (una recesión de viajes) devolvería el PER al mínimo de 2022.</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del 3T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EE. UU. tras el Mundial, red neta, firmas y ritmo de la recompra; posible cambio en la frase de cumplir 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recompra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 la recompra (950 M en 2026) y algoritmo de crecimiento; dividendo +10 %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y avance del 1T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(69,5 % en 2025) y primer RevPAR sin el Mundial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difícil con el 2T26 del Mundial en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reserva con agentes de IA (Google, OpenAI)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reserva sigue siendo directa y con fidelidad, reduce el riesgo de intermediación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depende mucho de la tasa libre: −1 punto sube el DCF ≈ 25 %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cotiza a 26,7 veces el BPA de los próximos 12 meses frente a una mediana adelantada de cinco años de 23,1 y un mínimo de 15,5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 si vuelve a la mediana; −42 % al mínimo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+12-15 % al año con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Rebajas del consenso de BPA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viajes en EE. UU. (la mitad del sistema y el 66 % del resultado regional): recesión, menos viajes internacionales a EE. UU., fin del efecto Mundial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−45 % (bajista de la regla)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sobre las ventas de los hoteles, no sobre su beneficio, en la franquicia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EE. UU.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que se conviertan en el nuevo intermediario de la reserva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Fidelidad del 67 % de las noches; acuerdos para que la reserva siga siendo directa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canal directo digital (26 % de los ingresos por habitaciones)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 China y Oriente Medio: demanda débil, geopolítica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China es el 7 % de los ingresos de segmentos; Oriente Medio menos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RevPAR de Gran China negativo; conflicto en el Golfo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por firmar propietarios: más dinero clave y comisiones más bajas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Firmas +8 % en el 1S26; marcas de conversión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Dinero clave por encima de 250 M al año o bajas por encima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patrimonio negativo y deuda neta de 2,6 veces el EBITDA para seguir recomprando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en una crisis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y vencimientos escalonados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calificación o recompra suspendida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Airbnb y alquileres de corta estancia en 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IHG está en negocios y gama media de carretera, donde Airbnb pesa poco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Airbnb ganando cuota en viaje de negocios</w:t>
            </w:r>
          </w:p>
        </w:tc>
      </w:tr>
    </w:tbl>
    <w:p>
      <w:pPr>
        <w:spacing w:after="160" w:before="0"/>
      </w:pPr>
    </w:p>
    <w:p>
      <w:pPr>
        <w:pStyle w:val="Heading2"/>
      </w:pPr>
      <w:r>
        <w:t xml:space="preserve">Pre-mortem</w:t>
      </w:r>
    </w:p>
    <w:p>
      <w:pPr>
        <w:spacing w:after="100"/>
      </w:pPr>
      <w:r>
        <w:t xml:space="preserve">Octubre de 2029: la acción ha perdido un 40 %. La economía de EE. UU. entró en recesión a mediados de 2027 y el RevPAR del país cayó un 10 % en un año, justo después del pico del Mundial de 2026. El BPA de 2027 bajó un 10 % y el mercado dejó de pagar 26 veces: el PER volvió a 16, como en 2022. Al mismo tiempo, Google y OpenAI llevaban dos años vendiendo hoteles dentro de sus agentes: la mitad de los huéspedes jóvenes reservaba sin entrar en la aplicación de IHG, y los propietarios empezaron a preguntar para qué pagaban la comisión de marca si la reserva venía del agente. IHG respondió con más dinero clave y rebajas de tasas para retener hoteles; el margen de comisiones dejó de subir. Con el patrimonio negativo y la deuda en 3 veces el EBITDA, la empresa frenó la recompra y el BPA dejó de crecer por esa vía. Los indicadores que lo habrían anticipado: el RevPAR de EE. UU. del 3T26 y 4T26, la caída del canal directo digital y las bajas de hoteles por encima del 2 %.</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a −10 % a 3-5 años (con la oportunidad de costes, ≈ −5 %)</w:t>
      </w:r>
    </w:p>
    <w:p>
      <w:pPr>
        <w:spacing w:after="100"/>
      </w:pPr>
      <w:r>
        <w:t xml:space="preserve">La IA toca la parte más valiosa de IHG: la distribución. Hoy el sistema de IHG aporta el 83 % de los ingresos por habitaciones de sus hoteles y la fidelidad el 67 % de las noches (73 % en EE. UU.) [2]; el canal digital directo es el 26 % [10]. Si los agentes de Google u OpenAI se convierten en el sitio donde se elige y se reserva, pueden cobrar como una agencia en línea (15-20 %) y debilitar el vínculo con la fidelidad, que es lo que justifica la comisión de marca. IHG ya está en el piloto de reservas con agentes de Google, en el que la reserva sigue siendo directa, y tiene un complemento para ChatGPT [2, 10]. A favor: la IA baja costes de atención y operaciones (los costes del negocio de comisiones apenas crecen) y una marca con datos de 160 M de socios es útil a los agentes. Señal de alarma: caída del canal directo digital o de la penetración de la fidelidad.</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IHG es lo que afecta a los hoteles de sus propietarios y a la marca: (1) emisiones y energía de ≈ 7.100 hoteles que no controla (objetivos de reducción por habitación y estándares de marca que encarecen la obra para el propietario) [3]; (2) seguridad de los huéspedes y trata de personas en hoteles franquiciados, un riesgo de demandas para todas las marcas en EE. UU. [3]; y (3) ciberseguridad y datos de más de 160 M de socios de IHG One Rewards, que es el activo que la protege de las agencias y de los agentes de IA [2]. El efecto en las cifras es indirecto: costes de los propietarios, reputación y litigios, no consumo propio.</w:t>
      </w:r>
    </w:p>
    <w:p>
      <w:pPr>
        <w:pStyle w:val="Heading2"/>
      </w:pPr>
      <w:r>
        <w:t xml:space="preserve">Controversias</w:t>
      </w:r>
    </w:p>
    <w:p>
      <w:pPr>
        <w:spacing w:after="100"/>
      </w:pPr>
      <w:r>
        <w:t xml:space="preserve">Ciberataque de septiembre de 2022 que dejó sin servicio las reservas y las aplicaciones durante días. Política de remuneración aprobada con solo el 69,51 % a favor en la junta de 2025 [21]; remuneración del consejero delegado de 13,87 M USD en 2025 [3]. Demandas en EE. UU. contra varias marcas hoteleras por trata de personas en hoteles franquiciados, sin cifras relevantes para IHG en sus cuentas [3]. Calificaciones de MSCI, Sustainalytics o CDP no comprobadas en fuente primaria.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RevPAR de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+5,2 % del 2T26 en EE. UU. fue el Mundial y qué RevPAR esperan para 2027 sin él?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66 % del resultado regional; el bajista de la regla es una recesión de viajes allí.</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condiciones económicas (comisión, puntos de fidelidad, datos del cliente) se reserva a través de los agentes de Google y de ChatGPT, y qué parte de las reservas viene ya de ahí?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agente cobra como una agencia, el margen de los propietarios y el valor de la marca bajan.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Dinero clave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dinero clave se pagó por habitación firmada en 2025-2026 frente a 2019, y qué retorno exigen?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inversión que sostiene la red; si sube más que las comisiones, el ROIC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Tarjeta de crédito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aportan las comisiones de las tarjetas de crédito de marca compartida al resultado de Central y cuánto crecen tras la renovación de los acuerdos?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Explican buena parte del salto de Central de −66 a +36 M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qué deuda neta sobre EBITDA mantendrían la recompra en una recesión como la de 2020?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son ≈ 3-4 puntos del crecimiento del BPA al año.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artículos alcistas en tres meses (cartera de proyectos, recompras, entrada en Japón con la tesis de consumo en «K»); el de marzo pedía prudencia por valoración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propio: titulares de recomendaciones (UBS a Comprar), máximos de 52 semanas en junio y quejas de socios de la fidelidad sobre el estatus vitalicio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y Yahoo (noticias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Atención renovada en octubre y subidas del valor razonable de los analistas tras los resultados del 1S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Kalkine Media (Reino Unido)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julio, presión vendedora por la prudencia sobre el viaje y la geopolítica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debate de gestores (Globe and Mail)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gestor vendió IHG por valoración para comprar Constellation Software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crecimiento del BPA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950 M USD de recompra en 2026 (4 % del capital) y BPA +13 % en el 1S26; pero se financia en parte con deuda (2,6 veces el EBITDA).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 26 veces el BPA de 12 meses frente a una mediana histórica de 23; el objetivo medio de los analistas (164,67) está por debajo del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en EE. UU. y geopolítica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parte: caída del turismo internacional a EE. UU. (reunión en la Casa Blanca en septiembre) y Oriente Medio −19 % en el 2T26, pero el RevPAR de EE. UU. de IHG creció un 5,2 % en el 2T26 [39].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Programa de fidelidad (estatus, desayuno)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Quejas de socios; la penetración de la fidelidad siguió subiendo (≈ 67 % de las noches).</w:t>
            </w:r>
          </w:p>
        </w:tc>
      </w:tr>
    </w:tbl>
    <w:p>
      <w:pPr>
        <w:spacing w:after="160" w:before="0"/>
      </w:pPr>
    </w:p>
    <w:p>
      <w:pPr>
        <w:spacing w:after="100"/>
      </w:pPr>
      <w:r>
        <w:t xml:space="preserve">El sentimiento es moderadamente positivo y sigue a los resultados: recompras, crecimiento del BPA y RevPAR de EE. UU. Nadie en los foros habla del riesgo de que los agentes de IA desintermedien la reserva, que es el riesgo estructural que el informe recoge; el debate de particulares es escaso y no hay euforia ni capitulación. La duda más repetida es la valoración, coherente con un objetivo medio de los analistas por debajo del precio. No aporta un riesgo nuevo ni contradice al consenso.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44 (30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6,5 % frente a 6,6 % real: genera una variación de circulante de 10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 13, 23.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1S24/2S24 no descargadas (solo 1S25, que da el 1S24 como comparativo); 2) investor pack de marzo de 2026 (solo anuales); 3) informe anual 2024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 (fecha de nombramiento de PwC)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informe de la comisión de auditoría (grep «appointed», «tender»): no da el año; 2) 20-F Item 16C: no descargado aparte; 3) búsqueda en las notas de resultados: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8-K de Choice (Radisson) e Hyatt (ALG): sin múltiplo; 2) resultados de IHG de 2019 y 2025 (Six Senses, Ruby): sin múltiplo; 3) búsqueda en prensa del sector: múltiplos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posiciones cortas de la FCA (no consultado: hoja diaria); 2) Yahoo (corto del ADR, no representativo);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to 31 December 2025 (cuentas, segmentos, medidas no NIIF, flujos,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https://www.ihgplc.com/~/media/Files/I/Ihg-Plc/results/2026/full-year-2025/full-year-results-for-the-year-to-31-dec-2025.pdf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 Year Results to 30 June 2026 (cuenta, balance, deuda neta, recompras, perspectivas)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https://www.ihgplc.com/~/media/Files/I/Ihg-Plc/results/2026/half-year-results-2026/stock-exchange-announcement.pdf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Form 20-F 2025 (notas, KPI, historial de dividendos,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https://www.ihgplc.com/~/media/Files/I/Ihg-Plc/investors/annual-report/2025/ihg-ar25-interactive.pdf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to 31 December 2023 (cifras de 2022 y 2023 por segmentos y BPA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https://www.ihgplc.com/~/media/Files/I/Ihg-Plc/results/2024/full-year-2023/full-year-results-for-the-year-to-31-dec-2023.pdf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results 2021 (cifras de 2020 y 2021: segmentos, interés y BPA ajustados)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https://www.ihgplc.com/~/media/Files/I/Ihg-Plc/results/2022/prelims-2021/stock-exchange-announcement-prelim-2021.pdf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2019 (cifras de 2018 reexpresadas con NIIF 16 y de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https://www.ihgplc.com/~/media/Files/I/Ihg-Plc/results/2020/prelims2020/stock-exchange-announcement.pdf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investor pack, March 2026 (ingresos y resultado por región 2019-2025, capex, algoritmo de crecimiento)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https://www.ihgplc.com/~/media/Files/I/Ihg-Plc/investors/ihg-full-investor-pack-march-2026.pdf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IHG (20-F): balance, flujos y deuda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https://data.sec.gov/api/xbrl/companyfacts/CIK0000858446.json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presentación y preguntas de los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https://www.ihgplc.com/~/media/Files/I/Ihg-Plc/results/2026/half-year-results-2026/ihg-hy26-presentation-and-q-a-transcript.pdf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los resultados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https://www.ihgplc.com/~/media/Files/I/Ihg-Plc/results/2026/full-year-2025/transcript-2025-full-year-results.pdf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Results to 30 June 2025 (cifras del 1S24 y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https://www.ihgplc.com/~/media/Files/I/Ihg-Plc/results/2025/2025-half-year/half-year-results-to-30-june-2025.pdf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a 30-sep-2026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https://www.sec.gov/Archives/edgar/data/858446/000165495426008728/a2681x.htm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Trading Update y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https://www.ihgplc.com/~/media/Files/I/Ihg-Plc/results/2026/q1-trading-update/stock-exchange-announcement.pdf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Admission to Trading: emisión de bonos de 850 M EUR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https://www.sec.gov/Archives/edgar/data/858446/000165495426008593/a6254w.htm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Marriott International (XBRL: ingresos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https://data.sec.gov/api/xbrl/companyfacts/CIK0001048286.json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Hilton Worldwide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https://data.sec.gov/api/xbrl/companyfacts/CIK0001585689.json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Wyndham Hotels &amp; Resorts y de Choice Hotels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https://data.sec.gov/api/xbrl/companyfacts/CIK0001722684.json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de Accor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Accor SA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de Airbnb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https://data.sec.gov/api/xbrl/companyfacts/CIK0001559720.json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2026 Annual General Meeting (7-may-2026)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https://www.ihgplc.com/~/media/Files/I/Ihg-Plc/investors/agm/2026/results-of-annual-general-meeting-2026.pdf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2025 Annual General Meeting (6-K): política de remuneración 69,51 % a favor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https://www.sec.gov/Archives/edgar/data/858446/000165495425005254/a9347h.htm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ADR de Byron Grote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https://www.sec.gov/Archives/edgar/data/858446/000165495426008338/a6669u.htm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venta de Tejas Katre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https://www.sec.gov/Archives/edgar/data/858446/000165495426007715/a1704r.htm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PineStone (6,99 %), Fiera (2,70 %) y RBC (2,99 %)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https://www.sec.gov/Archives/edgar/data/858446/000165495426008975/a3617z.htm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Non-Executive Chair update: baja temporal (21-oct-2025) y vuelta (11-feb-2026) de la presidenta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https://www.sec.gov/Archives/edgar/data/858446/000165495426001101/a5989s.htm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Non-Executive Director Appointment: Nicholas Cadbury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https://www.sec.gov/Archives/edgar/data/858446/000165495425013939/a5638l.htm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PineStone 6,99 % (6-K, 15-sep-2026) y Fiera 2,70 % (18-sep-2026)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https://www.sec.gov/Archives/edgar/data/858446/000165495426008458/a4573v.htm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Yahoo Finance: IHG (ADR, NYSE), IHG.L (Londres, en USD desde el 2-ene-2026), ACWI y PEJ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https://finance.yahoo.com/quote/IHG.L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consensus and coverage (consenso recopilado por la empresa, 16 analistas,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https://www.ihgplc.com/en/investors/analyst-consensus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estimaciones 2026-2028 y objetivo medio (16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https://www.marketscreener.com/quote/stock/INTERCONTINENTAL-HOTELS-G-50387540/finances/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IHG y comparables (precio, capitalización, valor empresa, EBITDA, PER adelantado,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https://query2.finance.yahoo.com/v10/finance/quoteSummary/IHG.L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in trading currency of IHG's Ordinary Shares to US Dollars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https://www.ihgplc.com/~/media/Files/I/Ihg-Plc/investors/change-in-trading-currency-of-ihgs-ordinary-shares-to-us-dollars.pdf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Choice Hotels: compra de Radisson Hotels Americas (675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Choice Hotels International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https://www.sec.gov/Archives/edgar/data/1046311/000119312522172398/d358861dex991.htm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Hyatt to Acquire Apple Leisure Group (2.700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https://www.businesswire.com/news/home/20210815005011/en/Hyatt-to-Acquire-Apple-Leisure-Group-Expanding-Global-Brand-Presence-in-Luxury-Leisure-Travel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rebaja IHG a «strong sell» (28-jul-2026)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https://www.marketbeat.com/instant-alerts/intercontinental-hotels-group-nyseihg-downgraded-to-strong-sell-rating-by-zacks-research-2026-07-30/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IHG: UBS sube a Comprar con objetivo de 188 USD (2-sep-2026); Jefferies a Comprar (dic-2025)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(titulares de Briefing.com)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https://api.stocktwits.com/api/2/streams/symbol/IHG.json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«Cruise operators, airlines, and hotels fall on renewed geopolitical tensions» (8-jul-2026) y «Travel stocks move higher as oil tumbles on US-Iran deal talks»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https://seekingalpha.com/api/sa/combined/IHG.xml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Q3 Trading Update Webcast and Q&amp;A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Hotels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https://www.ihgplc.com/~/media/Files/I/Ihg-Plc/results/2026/q3-trading-update/2026-q3-trading-update-webcast-and-q-and-a.pdf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«InterContinental Hotels Group (LSE:IHG) Is Drawing Fresh Attention» y valor razonable tras subidas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https://finance.yahoo.com/quote/IHG.L/news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 «Is softer travel demand weighing on InterContinental Hotels?» y «IHG faces renewed selling pressure as travel sector caution weighs»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https://kalkine.co.uk/news/consumer/is-softer-travel-demand-weighing-on-intercontinental-hotels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 gestor que vende IHG para comprar Constellation Software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 (vía 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del BCE (EUR/USD 1,1215) y del CFETS (USD/CNY 6,6664) para convertir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y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https://www.ecb.europa.eu/stats/policy_and_exchange_rates/euro_reference_exchange_rates/html/index.en.html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USD, ejercicio natural. La cuenta va en la base de «segmentos reportables» de IHG: sin los ingresos y costes del Fondo del Sistema (marketing, reservas y fidelidad que pagan los hoteles y que IHG gasta en su nombre, sin margen a lo largo del tiempo), sin los costes reembolsados por los hoteles gestionados y sin excepcionales; es la base de la guía, del BPA ajustado y del consenso [1, 3]. El balance y los flujos son los NIIF del 20-F (XBRL de la SEC) [8], con los activos y pasivos de contratos fuera del circulante porque mezclan los ingresos diferidos de la fidelidad del Fondo [3]. La acción cotiza en Londres en USD desde el 2-ene-2026 [32]; la historia de precios es la del ADR de NYSE (1:1, en USD), porque Yahoo convierte la historia de Londres en GBp al cambio de hoy [28]. Precio: cierre del 19-oct-2026 en Londres (167,75 USD); la sesión del 20-oct estaba abierta al hacer el análisis (167,45-167,55 USD a las 10:43 UTC [31]) y la decisión se comprueba con el precio del día en las pruebas de robustez. El PER actual de la regla usa el BPA de los próximos 12 meses (2,4 meses de 2026e y 9,6 de 2027e), la misma base que la historia. Avance del 3T el 22-oct-2026, dos días después del corte [40]. Calificaciones ESG sin comprobar. Una acción ≈ 150 EUR (1,1215 USD por EUR [44]).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InterContinental Hotels Group PLC (IHG (LSE))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167,75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(120,16 – 175,89)</c:v>
                </c:pt>
                <c:pt idx="1">
                  <c:v>Precio objetivo de los analistas (120,00 – 195,00)</c:v>
                </c:pt>
                <c:pt idx="2">
                  <c:v>Comparables: PER NTM (91,64 – 190,32)</c:v>
                </c:pt>
                <c:pt idx="3">
                  <c:v>DCF (WACC y g ± 0,5) (67,50 – 91,81)</c:v>
                </c:pt>
                <c:pt idx="4">
                  <c:v>Escenarios (bajista – alcista) (46,92 – 90,12)</c:v>
                </c:pt>
                <c:pt idx="5">
                  <c:v>DCF con la prima implícita del mercado (4,2 %)</c:v>
                </c:pt>
                <c:pt idx="6">
                  <c:v>Precio actual (167,75)</c:v>
                </c:pt>
              </c:strCache>
            </c:strRef>
          </c:cat>
          <c:val>
            <c:numRef>
              <c:f>Hoja1!$B$2:$B$8</c:f>
              <c:numCache>
                <c:formatCode>#,##0</c:formatCode>
                <c:ptCount val="7"/>
                <c:pt idx="0">
                  <c:v>120.16</c:v>
                </c:pt>
                <c:pt idx="1">
                  <c:v>120</c:v>
                </c:pt>
                <c:pt idx="2">
                  <c:v>91.64</c:v>
                </c:pt>
                <c:pt idx="3">
                  <c:v>67.5</c:v>
                </c:pt>
                <c:pt idx="4">
                  <c:v>46.92</c:v>
                </c:pt>
                <c:pt idx="5">
                  <c:v>88.23</c:v>
                </c:pt>
                <c:pt idx="6">
                  <c:v>166.91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(120,16 – 175,89)</c:v>
                </c:pt>
                <c:pt idx="1">
                  <c:v>Precio objetivo de los analistas (120,00 – 195,00)</c:v>
                </c:pt>
                <c:pt idx="2">
                  <c:v>Comparables: PER NTM (91,64 – 190,32)</c:v>
                </c:pt>
                <c:pt idx="3">
                  <c:v>DCF (WACC y g ± 0,5) (67,50 – 91,81)</c:v>
                </c:pt>
                <c:pt idx="4">
                  <c:v>Escenarios (bajista – alcista) (46,92 – 90,12)</c:v>
                </c:pt>
                <c:pt idx="5">
                  <c:v>DCF con la prima implícita del mercado (4,2 %)</c:v>
                </c:pt>
                <c:pt idx="6">
                  <c:v>Precio actual (167,75)</c:v>
                </c:pt>
              </c:strCache>
            </c:strRef>
          </c:cat>
          <c:val>
            <c:numRef>
              <c:f>Hoja1!$C$2:$C$8</c:f>
              <c:numCache>
                <c:formatCode>#,##0</c:formatCode>
                <c:ptCount val="7"/>
                <c:pt idx="0">
                  <c:v>55.72999999999999</c:v>
                </c:pt>
                <c:pt idx="1">
                  <c:v>75</c:v>
                </c:pt>
                <c:pt idx="2">
                  <c:v>98.67999999999999</c:v>
                </c:pt>
                <c:pt idx="3">
                  <c:v>24.310000000000002</c:v>
                </c:pt>
                <c:pt idx="4">
                  <c:v>43.2</c:v>
                </c:pt>
                <c:pt idx="5">
                  <c:v>20.39999999999999</c:v>
                </c:pt>
                <c:pt idx="6">
                  <c:v>1.6800000000000068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1040</c:v>
                </c:pt>
                <c:pt idx="1">
                  <c:v>512</c:v>
                </c:pt>
                <c:pt idx="2">
                  <c:v>774</c:v>
                </c:pt>
                <c:pt idx="3">
                  <c:v>1005</c:v>
                </c:pt>
                <c:pt idx="4">
                  <c:v>1105</c:v>
                </c:pt>
                <c:pt idx="5">
                  <c:v>1141</c:v>
                </c:pt>
                <c:pt idx="6">
                  <c:v>1129</c:v>
                </c:pt>
              </c:numCache>
            </c:numRef>
          </c:val>
        </c:ser>
        <c:ser>
          <c:idx val="1"/>
          <c:order val="1"/>
          <c:tx>
            <c:strRef>
              <c:f>Hoja1!$C$1</c:f>
              <c:strCache>
                <c:ptCount val="1"/>
                <c:pt idx="0">
                  <c:v>EMEAA</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723</c:v>
                </c:pt>
                <c:pt idx="1">
                  <c:v>221</c:v>
                </c:pt>
                <c:pt idx="2">
                  <c:v>303</c:v>
                </c:pt>
                <c:pt idx="3">
                  <c:v>552</c:v>
                </c:pt>
                <c:pt idx="4">
                  <c:v>677</c:v>
                </c:pt>
                <c:pt idx="5">
                  <c:v>748</c:v>
                </c:pt>
                <c:pt idx="6">
                  <c:v>811</c:v>
                </c:pt>
              </c:numCache>
            </c:numRef>
          </c:val>
        </c:ser>
        <c:ser>
          <c:idx val="2"/>
          <c:order val="2"/>
          <c:tx>
            <c:strRef>
              <c:f>Hoja1!$D$1</c:f>
              <c:strCache>
                <c:ptCount val="1"/>
                <c:pt idx="0">
                  <c:v>Gran China</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135</c:v>
                </c:pt>
                <c:pt idx="1">
                  <c:v>77</c:v>
                </c:pt>
                <c:pt idx="2">
                  <c:v>116</c:v>
                </c:pt>
                <c:pt idx="3">
                  <c:v>87</c:v>
                </c:pt>
                <c:pt idx="4">
                  <c:v>161</c:v>
                </c:pt>
                <c:pt idx="5">
                  <c:v>161</c:v>
                </c:pt>
                <c:pt idx="6">
                  <c:v>165</c:v>
                </c:pt>
              </c:numCache>
            </c:numRef>
          </c:val>
        </c:ser>
        <c:ser>
          <c:idx val="3"/>
          <c:order val="3"/>
          <c:tx>
            <c:strRef>
              <c:f>Hoja1!$E$1</c:f>
              <c:strCache>
                <c:ptCount val="1"/>
                <c:pt idx="0">
                  <c:v>Central (ingresos auxiliares y gastos centrales)</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185</c:v>
                </c:pt>
                <c:pt idx="1">
                  <c:v>182</c:v>
                </c:pt>
                <c:pt idx="2">
                  <c:v>197</c:v>
                </c:pt>
                <c:pt idx="3">
                  <c:v>199</c:v>
                </c:pt>
                <c:pt idx="4">
                  <c:v>200</c:v>
                </c:pt>
                <c:pt idx="5">
                  <c:v>239</c:v>
                </c:pt>
                <c:pt idx="6">
                  <c:v>336</c:v>
                </c:pt>
              </c:numCache>
            </c:numRef>
          </c:val>
        </c:ser>
        <c:ser>
          <c:idx val="4"/>
          <c:order val="4"/>
          <c:tx>
            <c:strRef>
              <c:f>Hoja1!$F$1</c:f>
              <c:strCache>
                <c:ptCount val="1"/>
                <c:pt idx="0">
                  <c:v>Seguros (cautiva)</c:v>
                </c:pt>
              </c:strCache>
            </c:strRef>
          </c:tx>
          <c:spPr>
            <a:solidFill>
              <a:srgbClr val="E87BA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Hoja1!$F$2:$F$8</c:f>
              <c:numCache>
                <c:formatCode>#,##0</c:formatCode>
                <c:ptCount val="7"/>
                <c:pt idx="4">
                  <c:v>21</c:v>
                </c:pt>
                <c:pt idx="5">
                  <c:v>23</c:v>
                </c:pt>
                <c:pt idx="6">
                  <c:v>27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Américas</c:v>
                </c:pt>
                <c:pt idx="1">
                  <c:v>EMEAA</c:v>
                </c:pt>
                <c:pt idx="2">
                  <c:v>Gran China</c:v>
                </c:pt>
                <c:pt idx="3">
                  <c:v>Central (ingresos auxiliares y gastos centrales)</c:v>
                </c:pt>
                <c:pt idx="4">
                  <c:v>Seguros (cautiva)</c:v>
                </c:pt>
              </c:strCache>
            </c:strRef>
          </c:cat>
          <c:val>
            <c:numRef>
              <c:f>Hoja1!$B$2:$B$6</c:f>
              <c:numCache>
                <c:formatCode>General</c:formatCode>
                <c:ptCount val="5"/>
                <c:pt idx="0">
                  <c:v>45.7</c:v>
                </c:pt>
                <c:pt idx="1">
                  <c:v>32.9</c:v>
                </c:pt>
                <c:pt idx="2">
                  <c:v>6.7</c:v>
                </c:pt>
                <c:pt idx="3">
                  <c:v>13.6</c:v>
                </c:pt>
                <c:pt idx="4">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c:v>
                </c:pt>
                <c:pt idx="1">
                  <c:v>EMEAA</c:v>
                </c:pt>
                <c:pt idx="2">
                  <c:v>Gran China</c:v>
                </c:pt>
                <c:pt idx="3">
                  <c:v>Central y seguros (global)</c:v>
                </c:pt>
              </c:strCache>
            </c:strRef>
          </c:cat>
          <c:val>
            <c:numRef>
              <c:f>Hoja1!$B$2:$B$5</c:f>
              <c:numCache>
                <c:formatCode>0"%"</c:formatCode>
                <c:ptCount val="4"/>
                <c:pt idx="0">
                  <c:v>45.7</c:v>
                </c:pt>
                <c:pt idx="1">
                  <c:v>32.9</c:v>
                </c:pt>
                <c:pt idx="2">
                  <c:v>6.7</c:v>
                </c:pt>
                <c:pt idx="3">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la industria hotelera mundial; 2025 de IHG/STR, resto con el 4,2 % anual histórico y el +3,6 % previsto de noches,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2023</c:v>
                </c:pt>
                <c:pt idx="1">
                  <c:v>2024</c:v>
                </c:pt>
                <c:pt idx="2">
                  <c:v>2025</c:v>
                </c:pt>
                <c:pt idx="3">
                  <c:v>2026e</c:v>
                </c:pt>
                <c:pt idx="4">
                  <c:v>2027e</c:v>
                </c:pt>
                <c:pt idx="5">
                  <c:v>2028e</c:v>
                </c:pt>
              </c:strCache>
            </c:strRef>
          </c:cat>
          <c:val>
            <c:numRef>
              <c:f>Hoja1!$B$2:$B$7</c:f>
              <c:numCache>
                <c:formatCode>#,##0</c:formatCode>
                <c:ptCount val="6"/>
                <c:pt idx="0">
                  <c:v>690000</c:v>
                </c:pt>
                <c:pt idx="1">
                  <c:v>720000</c:v>
                </c:pt>
                <c:pt idx="2">
                  <c:v>750000</c:v>
                </c:pt>
                <c:pt idx="3">
                  <c:v>780000</c:v>
                </c:pt>
                <c:pt idx="4">
                  <c:v>810000</c:v>
                </c:pt>
                <c:pt idx="5">
                  <c:v>845000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IHG</c:v>
                </c:pt>
                <c:pt idx="1">
                  <c:v>Marriott International</c:v>
                </c:pt>
                <c:pt idx="2">
                  <c:v>Hilton Worldwide</c:v>
                </c:pt>
                <c:pt idx="3">
                  <c:v>Wyndham Hotels &amp; Resorts</c:v>
                </c:pt>
                <c:pt idx="4">
                  <c:v>Choice Hotels International</c:v>
                </c:pt>
                <c:pt idx="5">
                  <c:v>Accor</c:v>
                </c:pt>
                <c:pt idx="6">
                  <c:v>Airbnb</c:v>
                </c:pt>
              </c:strCache>
            </c:strRef>
          </c:cat>
          <c:val>
            <c:numRef>
              <c:f>Hoja1!$B$2:$B$8</c:f>
              <c:numCache>
                <c:formatCode>0.0"%"</c:formatCode>
                <c:ptCount val="7"/>
                <c:pt idx="0">
                  <c:v>51.3</c:v>
                </c:pt>
                <c:pt idx="1">
                  <c:v>15.8</c:v>
                </c:pt>
                <c:pt idx="2">
                  <c:v>22.4</c:v>
                </c:pt>
                <c:pt idx="3">
                  <c:v>28.1</c:v>
                </c:pt>
                <c:pt idx="4">
                  <c:v>28.1</c:v>
                </c:pt>
                <c:pt idx="5">
                  <c:v>14.3</c:v>
                </c:pt>
                <c:pt idx="6">
                  <c:v>20.8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1933</c:v>
                </c:pt>
                <c:pt idx="1">
                  <c:v>2083</c:v>
                </c:pt>
                <c:pt idx="2">
                  <c:v>992</c:v>
                </c:pt>
                <c:pt idx="3">
                  <c:v>1390</c:v>
                </c:pt>
                <c:pt idx="4">
                  <c:v>1843</c:v>
                </c:pt>
                <c:pt idx="5">
                  <c:v>2164</c:v>
                </c:pt>
                <c:pt idx="6">
                  <c:v>2312</c:v>
                </c:pt>
                <c:pt idx="7">
                  <c:v>2468</c:v>
                </c:pt>
                <c:pt idx="8">
                  <c:v>2641</c:v>
                </c:pt>
                <c:pt idx="9">
                  <c:v>2799</c:v>
                </c:pt>
                <c:pt idx="10">
                  <c:v>2948</c:v>
                </c:pt>
                <c:pt idx="11">
                  <c:v>3095</c:v>
                </c:pt>
                <c:pt idx="12">
                  <c:v>3234</c:v>
                </c:pt>
                <c:pt idx="13">
                  <c:v>3364</c:v>
                </c:pt>
                <c:pt idx="14">
                  <c:v>3481</c:v>
                </c:pt>
                <c:pt idx="15">
                  <c:v>3586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947</c:v>
                </c:pt>
                <c:pt idx="1">
                  <c:v>981</c:v>
                </c:pt>
                <c:pt idx="2">
                  <c:v>329</c:v>
                </c:pt>
                <c:pt idx="3">
                  <c:v>632</c:v>
                </c:pt>
                <c:pt idx="4">
                  <c:v>896</c:v>
                </c:pt>
                <c:pt idx="5">
                  <c:v>1086</c:v>
                </c:pt>
                <c:pt idx="6">
                  <c:v>1189</c:v>
                </c:pt>
                <c:pt idx="7">
                  <c:v>1332</c:v>
                </c:pt>
                <c:pt idx="8">
                  <c:v>1471</c:v>
                </c:pt>
                <c:pt idx="9">
                  <c:v>1598</c:v>
                </c:pt>
                <c:pt idx="10">
                  <c:v>1724</c:v>
                </c:pt>
                <c:pt idx="11">
                  <c:v>1841</c:v>
                </c:pt>
                <c:pt idx="12">
                  <c:v>1941</c:v>
                </c:pt>
                <c:pt idx="13">
                  <c:v>2035</c:v>
                </c:pt>
                <c:pt idx="14">
                  <c:v>2106</c:v>
                </c:pt>
                <c:pt idx="15">
                  <c:v>2169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49</c:v>
                </c:pt>
                <c:pt idx="1">
                  <c:v>47.1</c:v>
                </c:pt>
                <c:pt idx="2">
                  <c:v>33.2</c:v>
                </c:pt>
                <c:pt idx="3">
                  <c:v>45.5</c:v>
                </c:pt>
                <c:pt idx="4">
                  <c:v>48.6</c:v>
                </c:pt>
                <c:pt idx="5">
                  <c:v>50.2</c:v>
                </c:pt>
                <c:pt idx="6">
                  <c:v>51.4</c:v>
                </c:pt>
                <c:pt idx="7">
                  <c:v>54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43</c:v>
                </c:pt>
                <c:pt idx="1">
                  <c:v>41.5</c:v>
                </c:pt>
                <c:pt idx="2">
                  <c:v>22.1</c:v>
                </c:pt>
                <c:pt idx="3">
                  <c:v>38.4</c:v>
                </c:pt>
                <c:pt idx="4">
                  <c:v>44.9</c:v>
                </c:pt>
                <c:pt idx="5">
                  <c:v>47.1</c:v>
                </c:pt>
                <c:pt idx="6">
                  <c:v>48.6</c:v>
                </c:pt>
                <c:pt idx="7">
                  <c:v>51.3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28.8</c:v>
                </c:pt>
                <c:pt idx="1">
                  <c:v>26.6</c:v>
                </c:pt>
                <c:pt idx="2">
                  <c:v>5.7</c:v>
                </c:pt>
                <c:pt idx="3">
                  <c:v>19.4</c:v>
                </c:pt>
                <c:pt idx="4">
                  <c:v>27.7</c:v>
                </c:pt>
                <c:pt idx="5">
                  <c:v>29.3</c:v>
                </c:pt>
                <c:pt idx="6">
                  <c:v>30.1</c:v>
                </c:pt>
                <c:pt idx="7">
                  <c:v>31.4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6</c:v>
                </c:pt>
                <c:pt idx="3">
                  <c:v>7.4</c:v>
                </c:pt>
                <c:pt idx="4">
                  <c:v>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115</c:v>
                </c:pt>
                <c:pt idx="1">
                  <c:v>117</c:v>
                </c:pt>
                <c:pt idx="2">
                  <c:v>189</c:v>
                </c:pt>
                <c:pt idx="3">
                  <c:v>151</c:v>
                </c:pt>
                <c:pt idx="4">
                  <c:v>128</c:v>
                </c:pt>
                <c:pt idx="5">
                  <c:v>125</c:v>
                </c:pt>
                <c:pt idx="6">
                  <c:v>124</c:v>
                </c:pt>
                <c:pt idx="7">
                  <c:v>123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c:v>
                </c:pt>
                <c:pt idx="1">
                  <c:v>2</c:v>
                </c:pt>
                <c:pt idx="2">
                  <c:v>3</c:v>
                </c:pt>
                <c:pt idx="3">
                  <c:v>2</c:v>
                </c:pt>
                <c:pt idx="4">
                  <c:v>2</c:v>
                </c:pt>
                <c:pt idx="5">
                  <c:v>2</c:v>
                </c:pt>
                <c:pt idx="6">
                  <c:v>1</c:v>
                </c:pt>
                <c:pt idx="7">
                  <c:v>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228</c:v>
                </c:pt>
                <c:pt idx="1">
                  <c:v>188</c:v>
                </c:pt>
                <c:pt idx="2">
                  <c:v>257</c:v>
                </c:pt>
                <c:pt idx="3">
                  <c:v>279</c:v>
                </c:pt>
                <c:pt idx="4">
                  <c:v>269</c:v>
                </c:pt>
                <c:pt idx="5">
                  <c:v>241</c:v>
                </c:pt>
                <c:pt idx="6">
                  <c:v>211</c:v>
                </c:pt>
                <c:pt idx="7">
                  <c:v>217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516</c:v>
                </c:pt>
                <c:pt idx="1">
                  <c:v>415</c:v>
                </c:pt>
                <c:pt idx="2">
                  <c:v>-4</c:v>
                </c:pt>
                <c:pt idx="3">
                  <c:v>552</c:v>
                </c:pt>
                <c:pt idx="4">
                  <c:v>511</c:v>
                </c:pt>
                <c:pt idx="5">
                  <c:v>783</c:v>
                </c:pt>
                <c:pt idx="6">
                  <c:v>600</c:v>
                </c:pt>
                <c:pt idx="7">
                  <c:v>791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557</c:v>
                </c:pt>
                <c:pt idx="1">
                  <c:v>555</c:v>
                </c:pt>
                <c:pt idx="2">
                  <c:v>57</c:v>
                </c:pt>
                <c:pt idx="3">
                  <c:v>269</c:v>
                </c:pt>
                <c:pt idx="4">
                  <c:v>511</c:v>
                </c:pt>
                <c:pt idx="5">
                  <c:v>635</c:v>
                </c:pt>
                <c:pt idx="6">
                  <c:v>697</c:v>
                </c:pt>
                <c:pt idx="7">
                  <c:v>774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76.3</c:v>
                </c:pt>
                <c:pt idx="1">
                  <c:v>65.2</c:v>
                </c:pt>
                <c:pt idx="2">
                  <c:v>15.1</c:v>
                </c:pt>
                <c:pt idx="3">
                  <c:v>70.9</c:v>
                </c:pt>
                <c:pt idx="4">
                  <c:v>207.4</c:v>
                </c:pt>
                <c:pt idx="5">
                  <c:v>258.9</c:v>
                </c:pt>
                <c:pt idx="6">
                  <c:v>234.7</c:v>
                </c:pt>
                <c:pt idx="7">
                  <c:v>165.3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9.8</c:v>
                </c:pt>
                <c:pt idx="1">
                  <c:v>9.8</c:v>
                </c:pt>
                <c:pt idx="2">
                  <c:v>9.8</c:v>
                </c:pt>
                <c:pt idx="3">
                  <c:v>9.8</c:v>
                </c:pt>
                <c:pt idx="4">
                  <c:v>9.8</c:v>
                </c:pt>
                <c:pt idx="5">
                  <c:v>9.8</c:v>
                </c:pt>
                <c:pt idx="6">
                  <c:v>9.8</c:v>
                </c:pt>
                <c:pt idx="7">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-48.9</c:v>
                </c:pt>
                <c:pt idx="1">
                  <c:v>-42.5</c:v>
                </c:pt>
                <c:pt idx="2">
                  <c:v>-3.4</c:v>
                </c:pt>
                <c:pt idx="3">
                  <c:v>-16.1</c:v>
                </c:pt>
                <c:pt idx="4">
                  <c:v>-33</c:v>
                </c:pt>
                <c:pt idx="5">
                  <c:v>-35.6</c:v>
                </c:pt>
                <c:pt idx="6">
                  <c:v>-32.7</c:v>
                </c:pt>
                <c:pt idx="7">
                  <c:v>-30.6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2.09</c:v>
                </c:pt>
                <c:pt idx="1">
                  <c:v>2.68</c:v>
                </c:pt>
                <c:pt idx="2">
                  <c:v>7.73</c:v>
                </c:pt>
                <c:pt idx="3">
                  <c:v>2.87</c:v>
                </c:pt>
                <c:pt idx="4">
                  <c:v>2.06</c:v>
                </c:pt>
                <c:pt idx="5">
                  <c:v>2.09</c:v>
                </c:pt>
                <c:pt idx="6">
                  <c:v>2.25</c:v>
                </c:pt>
                <c:pt idx="7">
                  <c:v>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470</c:v>
                </c:pt>
                <c:pt idx="1">
                  <c:v>585</c:v>
                </c:pt>
                <c:pt idx="2">
                  <c:v>535</c:v>
                </c:pt>
                <c:pt idx="3">
                  <c:v>1050</c:v>
                </c:pt>
                <c:pt idx="4">
                  <c:v>990</c:v>
                </c:pt>
                <c:pt idx="5">
                  <c:v>1400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34</c:v>
                </c:pt>
                <c:pt idx="1">
                  <c:v>292</c:v>
                </c:pt>
                <c:pt idx="2">
                  <c:v>0</c:v>
                </c:pt>
                <c:pt idx="3">
                  <c:v>0</c:v>
                </c:pt>
                <c:pt idx="4">
                  <c:v>0</c:v>
                </c:pt>
                <c:pt idx="5">
                  <c:v>0</c:v>
                </c:pt>
                <c:pt idx="6">
                  <c:v>0</c:v>
                </c:pt>
                <c:pt idx="7">
                  <c:v>120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199</c:v>
                </c:pt>
                <c:pt idx="1">
                  <c:v>721</c:v>
                </c:pt>
                <c:pt idx="2">
                  <c:v>0</c:v>
                </c:pt>
                <c:pt idx="3">
                  <c:v>0</c:v>
                </c:pt>
                <c:pt idx="4">
                  <c:v>233</c:v>
                </c:pt>
                <c:pt idx="5">
                  <c:v>245</c:v>
                </c:pt>
                <c:pt idx="6">
                  <c:v>259</c:v>
                </c:pt>
                <c:pt idx="7">
                  <c:v>270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482</c:v>
                </c:pt>
                <c:pt idx="5">
                  <c:v>790</c:v>
                </c:pt>
                <c:pt idx="6">
                  <c:v>804</c:v>
                </c:pt>
                <c:pt idx="7">
                  <c:v>897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8</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PineStone Asset Management</c:v>
                </c:pt>
                <c:pt idx="1">
                  <c:v>BlackRock</c:v>
                </c:pt>
                <c:pt idx="2">
                  <c:v>Boron Investments B.V.</c:v>
                </c:pt>
                <c:pt idx="3">
                  <c:v>FMR (Fidelity)</c:v>
                </c:pt>
                <c:pt idx="4">
                  <c:v>The Capital Group</c:v>
                </c:pt>
                <c:pt idx="5">
                  <c:v>Royal Bank of Canada (gestoras)</c:v>
                </c:pt>
                <c:pt idx="6">
                  <c:v>Autocartera</c:v>
                </c:pt>
              </c:strCache>
            </c:strRef>
          </c:cat>
          <c:val>
            <c:numRef>
              <c:f>Hoja1!$B$2:$B$8</c:f>
              <c:numCache>
                <c:formatCode>0.0"%"</c:formatCode>
                <c:ptCount val="7"/>
                <c:pt idx="0">
                  <c:v>6.99</c:v>
                </c:pt>
                <c:pt idx="1">
                  <c:v>6.14</c:v>
                </c:pt>
                <c:pt idx="2">
                  <c:v>5.01</c:v>
                </c:pt>
                <c:pt idx="3">
                  <c:v>5.01</c:v>
                </c:pt>
                <c:pt idx="4">
                  <c:v>4.9</c:v>
                </c:pt>
                <c:pt idx="5">
                  <c:v>2.99</c:v>
                </c:pt>
                <c:pt idx="6">
                  <c:v>3.56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c:v>
                </c:pt>
                <c:pt idx="1">
                  <c:v>39.7</c:v>
                </c:pt>
                <c:pt idx="2">
                  <c:v>-12.5</c:v>
                </c:pt>
                <c:pt idx="3">
                  <c:v>27.1</c:v>
                </c:pt>
                <c:pt idx="4">
                  <c:v>-5.2</c:v>
                </c:pt>
                <c:pt idx="5">
                  <c:v>0.1</c:v>
                </c:pt>
                <c:pt idx="6">
                  <c:v>-8.7</c:v>
                </c:pt>
                <c:pt idx="7">
                  <c:v>59.6</c:v>
                </c:pt>
                <c:pt idx="8">
                  <c:v>39.1</c:v>
                </c:pt>
                <c:pt idx="9">
                  <c:v>15.8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8.4</c:v>
                </c:pt>
                <c:pt idx="1">
                  <c:v>24.3</c:v>
                </c:pt>
                <c:pt idx="2">
                  <c:v>-9.1</c:v>
                </c:pt>
                <c:pt idx="3">
                  <c:v>26.6</c:v>
                </c:pt>
                <c:pt idx="4">
                  <c:v>16.3</c:v>
                </c:pt>
                <c:pt idx="5">
                  <c:v>18.7</c:v>
                </c:pt>
                <c:pt idx="6">
                  <c:v>-18.4</c:v>
                </c:pt>
                <c:pt idx="7">
                  <c:v>22.3</c:v>
                </c:pt>
                <c:pt idx="8">
                  <c:v>17.4</c:v>
                </c:pt>
                <c:pt idx="9">
                  <c:v>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13.6</c:v>
                </c:pt>
                <c:pt idx="1">
                  <c:v>15.5</c:v>
                </c:pt>
                <c:pt idx="2">
                  <c:v>43.8</c:v>
                </c:pt>
                <c:pt idx="3">
                  <c:v>21.8</c:v>
                </c:pt>
                <c:pt idx="4">
                  <c:v>13.9</c:v>
                </c:pt>
                <c:pt idx="5">
                  <c:v>16.3</c:v>
                </c:pt>
                <c:pt idx="6">
                  <c:v>19.2</c:v>
                </c:pt>
                <c:pt idx="7">
                  <c:v>18.9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15.9</c:v>
                </c:pt>
                <c:pt idx="1">
                  <c:v>15.9</c:v>
                </c:pt>
                <c:pt idx="2">
                  <c:v>15.9</c:v>
                </c:pt>
                <c:pt idx="3">
                  <c:v>15.9</c:v>
                </c:pt>
                <c:pt idx="4">
                  <c:v>15.9</c:v>
                </c:pt>
                <c:pt idx="5">
                  <c:v>15.9</c:v>
                </c:pt>
                <c:pt idx="6">
                  <c:v>15.9</c:v>
                </c:pt>
                <c:pt idx="7">
                  <c:v>15.9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IHG</c:v>
                </c:pt>
                <c:pt idx="1">
                  <c:v>Marriott International</c:v>
                </c:pt>
                <c:pt idx="2">
                  <c:v>Hilton Worldwide</c:v>
                </c:pt>
                <c:pt idx="3">
                  <c:v>Hyatt Hotels</c:v>
                </c:pt>
                <c:pt idx="4">
                  <c:v>Wyndham Hotels &amp; Resorts</c:v>
                </c:pt>
                <c:pt idx="5">
                  <c:v>Choice Hotels</c:v>
                </c:pt>
                <c:pt idx="6">
                  <c:v>Accor</c:v>
                </c:pt>
                <c:pt idx="7">
                  <c:v>H World Group</c:v>
                </c:pt>
                <c:pt idx="8">
                  <c:v>Jin Jiang Hotels</c:v>
                </c:pt>
                <c:pt idx="9">
                  <c:v>Meliá Hotels</c:v>
                </c:pt>
              </c:strCache>
            </c:strRef>
          </c:cat>
          <c:val>
            <c:numRef>
              <c:f>Hoja1!$B$2:$B$11</c:f>
              <c:numCache>
                <c:formatCode>0.0"x"</c:formatCode>
                <c:ptCount val="10"/>
                <c:pt idx="0">
                  <c:v>18.4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885</c:v>
                </c:pt>
                <c:pt idx="1">
                  <c:v>967</c:v>
                </c:pt>
                <c:pt idx="2">
                  <c:v>1050</c:v>
                </c:pt>
                <c:pt idx="3">
                  <c:v>1141</c:v>
                </c:pt>
                <c:pt idx="4">
                  <c:v>1205</c:v>
                </c:pt>
                <c:pt idx="5">
                  <c:v>1266</c:v>
                </c:pt>
                <c:pt idx="6">
                  <c:v>1312</c:v>
                </c:pt>
                <c:pt idx="7">
                  <c:v>1352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6013</c:v>
                </c:pt>
                <c:pt idx="1">
                  <c:v>9625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167,75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46.92</c:v>
                </c:pt>
                <c:pt idx="1">
                  <c:v>78.03</c:v>
                </c:pt>
                <c:pt idx="2">
                  <c:v>90.12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167,75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(120,16 – 175,89)</c:v>
                </c:pt>
                <c:pt idx="1">
                  <c:v>Precio objetivo de los analistas (120,00 – 195,00)</c:v>
                </c:pt>
                <c:pt idx="2">
                  <c:v>Comparables: PER NTM (91,64 – 190,32)</c:v>
                </c:pt>
                <c:pt idx="3">
                  <c:v>DCF (WACC y g ± 0,5) (67,50 – 91,81)</c:v>
                </c:pt>
                <c:pt idx="4">
                  <c:v>Escenarios (bajista – alcista) (46,92 – 90,12)</c:v>
                </c:pt>
                <c:pt idx="5">
                  <c:v>DCF con la prima implícita del mercado (4,2 %)</c:v>
                </c:pt>
                <c:pt idx="6">
                  <c:v>Precio actual (167,75)</c:v>
                </c:pt>
              </c:strCache>
            </c:strRef>
          </c:cat>
          <c:val>
            <c:numRef>
              <c:f>Hoja1!$B$2:$B$8</c:f>
              <c:numCache>
                <c:formatCode>#,##0</c:formatCode>
                <c:ptCount val="7"/>
                <c:pt idx="0">
                  <c:v>120.16</c:v>
                </c:pt>
                <c:pt idx="1">
                  <c:v>120</c:v>
                </c:pt>
                <c:pt idx="2">
                  <c:v>91.64</c:v>
                </c:pt>
                <c:pt idx="3">
                  <c:v>67.5</c:v>
                </c:pt>
                <c:pt idx="4">
                  <c:v>46.92</c:v>
                </c:pt>
                <c:pt idx="5">
                  <c:v>88.23</c:v>
                </c:pt>
                <c:pt idx="6">
                  <c:v>166.91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(120,16 – 175,89)</c:v>
                </c:pt>
                <c:pt idx="1">
                  <c:v>Precio objetivo de los analistas (120,00 – 195,00)</c:v>
                </c:pt>
                <c:pt idx="2">
                  <c:v>Comparables: PER NTM (91,64 – 190,32)</c:v>
                </c:pt>
                <c:pt idx="3">
                  <c:v>DCF (WACC y g ± 0,5) (67,50 – 91,81)</c:v>
                </c:pt>
                <c:pt idx="4">
                  <c:v>Escenarios (bajista – alcista) (46,92 – 90,12)</c:v>
                </c:pt>
                <c:pt idx="5">
                  <c:v>DCF con la prima implícita del mercado (4,2 %)</c:v>
                </c:pt>
                <c:pt idx="6">
                  <c:v>Precio actual (167,75)</c:v>
                </c:pt>
              </c:strCache>
            </c:strRef>
          </c:cat>
          <c:val>
            <c:numRef>
              <c:f>Hoja1!$C$2:$C$8</c:f>
              <c:numCache>
                <c:formatCode>#,##0</c:formatCode>
                <c:ptCount val="7"/>
                <c:pt idx="0">
                  <c:v>55.72999999999999</c:v>
                </c:pt>
                <c:pt idx="1">
                  <c:v>75</c:v>
                </c:pt>
                <c:pt idx="2">
                  <c:v>98.67999999999999</c:v>
                </c:pt>
                <c:pt idx="3">
                  <c:v>24.310000000000002</c:v>
                </c:pt>
                <c:pt idx="4">
                  <c:v>43.2</c:v>
                </c:pt>
                <c:pt idx="5">
                  <c:v>20.39999999999999</c:v>
                </c:pt>
                <c:pt idx="6">
                  <c:v>1.6800000000000068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