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Eni S.p.A.</w:t>
      </w:r>
    </w:p>
    <w:p>
      <w:pPr>
        <w:spacing w:after="60"/>
        <w:rPr>
          <w:color w:val="52514E"/>
          <w:sz w:val="22"/>
          <w:szCs w:val="22"/>
        </w:rPr>
      </w:pPr>
      <w:r>
        <w:rPr>
          <w:color w:val="52514E"/>
          <w:sz w:val="22"/>
          <w:szCs w:val="22"/>
        </w:rPr>
        <w:t xml:space="preserve">ENI.MI · Euronext Milan (Borsa Italiana); ADR en NYSE (E) · ISIN IT0003132476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27,65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19,09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-27,0 % (base -21,2 %)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26,09 EUR · mercado 29,83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79.029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Eni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ENI.MI / IT0003132476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(Borsa Italiana); ADR en NYSE (E)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gas y combustibles integrados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Roma · 1953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https://www.eni.com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27,65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15,55 – 27,76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79.029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77.215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196 M EUR/día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19,09 EUR</w:t>
      </w:r>
      <w:r>
        <w:t xml:space="preserve"> frente a 27,65 · Rentabilidad a 12 meses </w:t>
      </w:r>
      <w:r>
        <w:rPr>
          <w:b/>
          <w:bCs/>
        </w:rPr>
        <w:t xml:space="preserve">-27,0 % (base -21,2 %)</w:t>
      </w:r>
      <w:r>
        <w:t xml:space="preserve"> · Valor intrínseco 26,09 EUR · con la prima implícita del mercado: 29,83 (+7,9 %) · Alcista / bajista +31,6 % / -44,4 %</w:t>
      </w:r>
    </w:p>
    <w:p>
      <w:pPr>
        <w:spacing w:after="100"/>
      </w:pPr>
      <w:r>
        <w:rPr>
          <w:b/>
        </w:rPr>
        <w:t xml:space="preserve">La recomendación y por qué.</w:t>
      </w:r>
      <w:r>
        <w:t xml:space="preserve"> Vender, con convicción media. El objetivo a 12 meses es de 19,09 EUR (20,70 EUR en el caso base) y el valor intrínseco de 26,09 EUR, frente a un precio de 27,65 EUR (cierre del 23-oct-2026); el objetivo medio de los analistas es de 26,99 EUR. La rentabilidad a 12 meses es del −27,0 % ponderada y del −21,2 % en el base, con dividendo; con la regla v2 de control, −23,3 %. El precio cotiza el Brent de la crisis de Ormuz (117 USD el 23-oct) y la curva de futuros lo pone en 79 USD a finales de 2028 [14]. La convicción no es alta porque el valor intrínseco queda cerca del precio (−5,6 %) y la normalización no tiene fecha; subiría con un futuro del Brent de 2027 por debajo de 80 USD y bajaría si el mercado sostiene 11 veces el beneficio después del pico.</w:t>
      </w:r>
    </w:p>
    <w:p>
      <w:pPr>
        <w:spacing w:after="100"/>
      </w:pPr>
      <w:r>
        <w:rPr>
          <w:b/>
        </w:rPr>
        <w:t xml:space="preserve">Qué ha cambiado desde el 15-oct y por qué.</w:t>
      </w:r>
      <w:r>
        <w:t xml:space="preserve"> La señal es la misma (antes −26,3 % / −18,5 % a 25,96 EUR) con más precio (+6,5 %). Los resultados del 3T26 fueron mejores de lo esperado: beneficio ajustado de 2.801 M (consenso 2.480-2.600 M), guía de flujo a 16.500 M, dividendo extraordinario de 0,46 EUR y recompra a 3.800 M [3, 11]. Subimos el BPA base de 2028e de 1,91 a 2,25 EUR (más EBIT al salir Plenitude, menos deuda y una corrección: ya no gravamos el resultado de participadas, que llega neto) y el DCF de 20,65 a 26,15 EUR (deuda neta de 6.702 M y participadas a 25.791 M a 30-sep, e impuesto del 46 %). Pero el múltiplo base baja de 10,5 a 9,2 veces: con más BPA en 2027e el PER actual cae a 10,1 y la regla lo acerca a la mediana (8,3). Los umbrales suben de 16,63/21,25 a 17,56/22,43 EUR.</w:t>
      </w:r>
    </w:p>
    <w:p>
      <w:pPr>
        <w:spacing w:after="100"/>
      </w:pPr>
      <w:r>
        <w:rPr>
          <w:b/>
        </w:rPr>
        <w:t xml:space="preserve">El negocio.</w:t>
      </w:r>
      <w:r>
        <w:t xml:space="preserve"> Eni es la petrolera europea que mejor explora: 1,83 Mbep/d (+7 % subyacente) y vende participaciones de sus hallazgos y filiales (Plenitude, Enilive, Searah, ahora Baleine y Kutei) para financiarse [3]. No crea valor sobre su coste de capital: ROIC del 6,1 % en 2025 frente a un WACC del 7,93 %. La calidad sostiene el crecimiento proyectado (sostenibilidad: Sí) porque proyectamos poco.</w:t>
      </w:r>
    </w:p>
    <w:p>
      <w:pPr>
        <w:spacing w:after="100"/>
      </w:pPr>
      <w:r>
        <w:rPr>
          <w:b/>
        </w:rPr>
        <w:t xml:space="preserve">Sector y ciclo.</w:t>
      </w:r>
      <w:r>
        <w:t xml:space="preserve"> Pico por choque de oferta: Brent de casi 140 USD en marzo, 70 en junio y 110-117 en octubre [14]. Tras el pico de 2022 el beneficio ajustado cayó de 13.301 M a 4.989 M en tres años [1].</w:t>
      </w:r>
    </w:p>
    <w:p>
      <w:pPr>
        <w:spacing w:after="100"/>
      </w:pPr>
      <w:r>
        <w:rPr>
          <w:b/>
        </w:rPr>
        <w:t xml:space="preserve">Finanzas.</w:t>
      </w:r>
      <w:r>
        <w:t xml:space="preserve"> Gearing proforma del 9 %, mínimo histórico; rating A- con perspectiva estable [3, 13]. El retorno al accionista de 2024-2025 superó al FCF y los deterioros se repiten.</w:t>
      </w:r>
    </w:p>
    <w:p>
      <w:pPr>
        <w:spacing w:after="100"/>
      </w:pPr>
      <w:r>
        <w:rPr>
          <w:b/>
        </w:rPr>
        <w:t xml:space="preserve">Equipo y gobierno.</w:t>
      </w:r>
      <w:r>
        <w:t xml:space="preserve"> Descalzi cumple sus guías; el Estado controla con un 33 %. El 38,8 % del capital libre votó contra la política de retribución [18].</w:t>
      </w:r>
    </w:p>
    <w:p>
      <w:pPr>
        <w:spacing w:after="100"/>
      </w:pPr>
      <w:r>
        <w:rPr>
          <w:b/>
        </w:rPr>
        <w:t xml:space="preserve">Valoración.</w:t>
      </w:r>
      <w:r>
        <w:t xml:space="preserve"> El DCF da 26,15 EUR y el precio descuenta −0,2 % anual frente al −1,2 % del base. Un tercio del valor son participadas a valor contable. La regla pone 9,2 veces sobre 2,25 EUR.</w:t>
      </w:r>
    </w:p>
    <w:p>
      <w:pPr>
        <w:spacing w:after="100"/>
      </w:pPr>
      <w:r>
        <w:rPr>
          <w:b/>
        </w:rPr>
        <w:t xml:space="preserve">Riesgos y catalizadores.</w:t>
      </w:r>
      <w:r>
        <w:t xml:space="preserve"> El riesgo de la tesis es que el Brent se quede alto. En diciembre se cobran 0,73 EUR (2,6 %). La posible venta de parte de Libia a XRG no cambia la señal [34].</w:t>
      </w:r>
    </w:p>
    <w:p>
      <w:pPr>
        <w:spacing w:after="100"/>
      </w:pPr>
      <w:r>
        <w:rPr>
          <w:b/>
        </w:rPr>
        <w:t xml:space="preserve">Qué cambiaría la decisión.</w:t>
      </w:r>
      <w:r>
        <w:t xml:space="preserve"> Comprar por debajo de 17,56 EUR; mantener entre 17,56 y 22,43 EUR; vender por encima de 22,43 EUR. Revisaríamos si el futuro del Brent de diciembre de 2028 supera 85 USD o la recompra de 2027 pasa de 4.000 M con un Brent de presupuesto por debajo de 75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19,09 EUR</w:t>
      </w:r>
      <w:r>
        <w:t xml:space="preserve"> (rentabilidad -27,0 % (base -21,2 %)) · Valor intrínseco: 26,09 EUR (-5,6 % sobre 27,65) · con la prima implícita del mercado: 29,83 (+7,9 %)</w:t>
      </w:r>
    </w:p>
    <w:p>
      <w:pPr>
        <w:spacing w:after="100"/>
      </w:pPr>
      <w:r>
        <w:t xml:space="preserve">Eni es una petrolera integrada con la mejor exploración de Europa: 1,83 Mbep/d en el 3T26, un 7 % más en términos subyacentes, y un modelo de vender participaciones de sus hallazgos y filiales que trae caja a múltiplos altos [3]. Reparte 1,10 EUR de dividendo ordinario, 0,46 EUR extraordinario y recompra 3.800 M en 2026 [3].</w:t>
      </w:r>
    </w:p>
    <w:p>
      <w:pPr>
        <w:spacing w:after="100"/>
      </w:pPr>
      <w:r>
        <w:t xml:space="preserve">El precio de 27,65 EUR descuenta, según el DCF inverso, un crecimiento del −0,2 % anual en los años no fijos frente al −1,2 % de nuestro base: casi lo mismo que la curva de futuros, pero contando un tercio del valor en participadas a valor contable. A 9,4 veces el BPA de consenso de 2026 parece barata, pero a 10,1 veces nuestro BPA de 2027 cotiza por encima de su mediana de 8,3 veces con el BPA del año siguiente.</w:t>
      </w:r>
    </w:p>
    <w:p>
      <w:pPr>
        <w:spacing w:after="100"/>
      </w:pPr>
      <w:r>
        <w:t xml:space="preserve">El mercado acierta en la calidad operativa y se equivoca en el múltiplo: paga por un beneficio de pico como si fuera duradero, y el ROIC de Eni (6,1 %) no cubre su coste de capital a precios normales. Para invertir hay que creer que el choque de oferta deja un suelo de 85-90 USD durante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1,60 = 8,64 · 9,2x × 2,25 = 20,70 · 9,5x × 2,77 = 26,32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 / -21,2 %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3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 (nuestro base -23,3 %)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 / -44,4 %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7,9 %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(2,0 % anual proyectado; financiable al ROIC actual: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-1,7 % (&gt; −20 %); con la prima del mercado, 11,9 % (&gt; −15 %); el precio pide 1,0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17,56 y 22,43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22,43 EUR: pasaríamos a Mantener; por debajo de 17,56 EUR la regla daría Comprar (con la calidad aún por debajo del requisito).</w:t>
      </w:r>
    </w:p>
    <w:p>
      <w:pPr>
        <w:pStyle w:val="ListParagraph"/>
        <w:numPr>
          <w:ilvl w:val="0"/>
          <w:numId w:val="2"/>
        </w:numPr>
        <w:spacing w:after="60"/>
      </w:pPr>
      <w:r>
        <w:t xml:space="preserve">Futuro del Brent de diciembre de 2028 por encima de 85 USD durante un mes: revisaríamos el base al alza.</w:t>
      </w:r>
    </w:p>
    <w:p>
      <w:pPr>
        <w:pStyle w:val="ListParagraph"/>
        <w:numPr>
          <w:ilvl w:val="0"/>
          <w:numId w:val="2"/>
        </w:numPr>
        <w:spacing w:after="60"/>
      </w:pPr>
      <w:r>
        <w:t xml:space="preserve">Recompra de 2027 por encima de 4.000 M con un Brent de presupuesto de 70-75 USD: subiría el BPA por acción.</w:t>
      </w:r>
    </w:p>
    <w:p>
      <w:pPr>
        <w:pStyle w:val="ListParagraph"/>
        <w:numPr>
          <w:ilvl w:val="0"/>
          <w:numId w:val="2"/>
        </w:numPr>
        <w:spacing w:after="60"/>
      </w:pPr>
      <w:r>
        <w:t xml:space="preserve">ROIC por encima del 13 % con el Brent por debajo de 80 USD: pasaría el requisito de calidad.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Un beneficio de 2028 de unos 6.800 M (consenso: BPA de 2,44 EUR) con el Brent y el refino altos y recompras sin pausa, a 11 veces: el objetivo medio de los analistas, 26,99 EUR.</w:t>
      </w:r>
    </w:p>
    <w:p>
      <w:pPr>
        <w:keepNext/>
        <w:spacing w:after="100"/>
      </w:pPr>
      <w:r>
        <w:rPr>
          <w:b/>
          <w:bCs/>
        </w:rPr>
        <w:t xml:space="preserve">Lo que creemos nosotros.</w:t>
      </w:r>
    </w:p>
    <w:p>
      <w:pPr>
        <w:spacing w:after="100"/>
      </w:pPr>
      <w:r>
        <w:t xml:space="preserve">Un BPA de 2028e de 2,25 EUR, con el Brent a 79-81 USD, el refino a 6-8 USD/b y los híbridos restados; a 9,2 veces da 20,70 EUR, un 25 % por debajo del precio, más un 4 % de dividendo ordinario.</w:t>
      </w:r>
    </w:p>
    <w:p>
      <w:pPr>
        <w:keepNext/>
        <w:spacing w:after="100"/>
      </w:pPr>
      <w:r>
        <w:rPr>
          <w:b/>
          <w:bCs/>
        </w:rPr>
        <w:t xml:space="preserve">Por qué podemos tener razón.</w:t>
      </w:r>
    </w:p>
    <w:p>
      <w:pPr>
        <w:spacing w:after="100"/>
      </w:pPr>
      <w:r>
        <w:t xml:space="preserve">Los choques de oferta se corrigen con más oferta y menos demanda: 2008, 2014 y 2022. La propia Eni planifica con 70 USD reales a largo plazo [1]; la curva de futuros baja 38 USD en dos años [14]; y la media del PER de Eni con el BPA del año siguiente es de 9,5 veces.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7,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Exploración de primer nivel</w:t>
      </w:r>
      <w:r>
        <w:t xml:space="preserve">: +7 % de producción subyacente y guía de producción del 6-7 % en 2026 [3].</w:t>
      </w:r>
    </w:p>
    <w:p>
      <w:pPr>
        <w:pStyle w:val="ListParagraph"/>
        <w:numPr>
          <w:ilvl w:val="0"/>
          <w:numId w:val="2"/>
        </w:numPr>
        <w:spacing w:after="60"/>
      </w:pPr>
      <w:r>
        <w:rPr>
          <w:b/>
        </w:rPr>
        <w:t xml:space="preserve">Retribución generosa</w:t>
      </w:r>
      <w:r>
        <w:t xml:space="preserve">: dividendo de 1,10 EUR (4,0 %), extraordinario de 0,46 EUR (1,7 %) y recompra de 3.800 M (4,8 % de la capitalización) [3].</w:t>
      </w:r>
    </w:p>
    <w:p>
      <w:pPr>
        <w:pStyle w:val="ListParagraph"/>
        <w:numPr>
          <w:ilvl w:val="0"/>
          <w:numId w:val="2"/>
        </w:numPr>
        <w:spacing w:after="60"/>
      </w:pPr>
      <w:r>
        <w:rPr>
          <w:b/>
        </w:rPr>
        <w:t xml:space="preserve">Balance en mínimos de deuda</w:t>
      </w:r>
      <w:r>
        <w:t xml:space="preserve">: gearing proforma del 9 % y rating A- estable [3, 13].</w:t>
      </w:r>
    </w:p>
    <w:p>
      <w:pPr>
        <w:pStyle w:val="ListParagraph"/>
        <w:numPr>
          <w:ilvl w:val="0"/>
          <w:numId w:val="2"/>
        </w:numPr>
        <w:spacing w:after="60"/>
      </w:pPr>
      <w:r>
        <w:rPr>
          <w:b/>
        </w:rPr>
        <w:t xml:space="preserve">Filiales con valor de mercado</w:t>
      </w:r>
      <w:r>
        <w:t xml:space="preserve">: Ares, KKR y Petronas han pagado por Plenitude, Enilive y Searah [3].</w:t>
      </w:r>
    </w:p>
    <w:p>
      <w:pPr>
        <w:pStyle w:val="ListParagraph"/>
        <w:numPr>
          <w:ilvl w:val="0"/>
          <w:numId w:val="2"/>
        </w:numPr>
        <w:spacing w:after="60"/>
      </w:pPr>
      <w:r>
        <w:rPr>
          <w:b/>
        </w:rPr>
        <w:t xml:space="preserve">Riesgo de IA bajo y con lado positivo</w:t>
      </w:r>
      <w:r>
        <w:t xml:space="preserve">: más demanda de gas y electricidad.</w:t>
      </w:r>
    </w:p>
    <w:p>
      <w:pPr>
        <w:pStyle w:val="Heading2"/>
      </w:pPr>
      <w:r>
        <w:t xml:space="preserve">En contra</w:t>
      </w:r>
    </w:p>
    <w:p>
      <w:pPr>
        <w:pStyle w:val="ListParagraph"/>
        <w:numPr>
          <w:ilvl w:val="0"/>
          <w:numId w:val="2"/>
        </w:numPr>
        <w:spacing w:after="60"/>
      </w:pPr>
      <w:r>
        <w:rPr>
          <w:b/>
        </w:rPr>
        <w:t xml:space="preserve">Precio de pico</w:t>
      </w:r>
      <w:r>
        <w:t xml:space="preserve">: cotiza el Brent de 110-117 USD; el de diciembre de 2028 está en 78,8 USD [14].</w:t>
      </w:r>
    </w:p>
    <w:p>
      <w:pPr>
        <w:pStyle w:val="ListParagraph"/>
        <w:numPr>
          <w:ilvl w:val="0"/>
          <w:numId w:val="2"/>
        </w:numPr>
        <w:spacing w:after="60"/>
      </w:pPr>
      <w:r>
        <w:rPr>
          <w:b/>
        </w:rPr>
        <w:t xml:space="preserve">No cubre su coste de capital</w:t>
      </w:r>
      <w:r>
        <w:t xml:space="preserve">: ROIC del 6,1 % frente a un WACC del 7,93 %.</w:t>
      </w:r>
    </w:p>
    <w:p>
      <w:pPr>
        <w:pStyle w:val="ListParagraph"/>
        <w:numPr>
          <w:ilvl w:val="0"/>
          <w:numId w:val="2"/>
        </w:numPr>
        <w:spacing w:after="60"/>
      </w:pPr>
      <w:r>
        <w:rPr>
          <w:b/>
        </w:rPr>
        <w:t xml:space="preserve">Múltiplo alto frente a su historia</w:t>
      </w:r>
      <w:r>
        <w:t xml:space="preserve">: 10,1 veces el BPA de 2027e frente a una mediana de 8,3.</w:t>
      </w:r>
    </w:p>
    <w:p>
      <w:pPr>
        <w:pStyle w:val="ListParagraph"/>
        <w:numPr>
          <w:ilvl w:val="0"/>
          <w:numId w:val="2"/>
        </w:numPr>
        <w:spacing w:after="60"/>
      </w:pPr>
      <w:r>
        <w:rPr>
          <w:b/>
        </w:rPr>
        <w:t xml:space="preserve">Partidas «identificadas» recurrentes</w:t>
      </w:r>
      <w:r>
        <w:t xml:space="preserve">: 3.334 M en 2025 [1].</w:t>
      </w:r>
    </w:p>
    <w:p>
      <w:pPr>
        <w:pStyle w:val="ListParagraph"/>
        <w:numPr>
          <w:ilvl w:val="0"/>
          <w:numId w:val="2"/>
        </w:numPr>
        <w:spacing w:after="60"/>
      </w:pPr>
      <w:r>
        <w:rPr>
          <w:b/>
        </w:rPr>
        <w:t xml:space="preserve">Estado de control</w:t>
      </w:r>
      <w:r>
        <w:t xml:space="preserve">: 33 % del capital y «golden power» [1].</w:t>
      </w:r>
    </w:p>
    <w:p>
      <w:pPr>
        <w:pStyle w:val="Heading2"/>
      </w:pPr>
      <w:r>
        <w:t xml:space="preserve">Qué tiene que pasar para que la tesis funcione</w:t>
      </w:r>
    </w:p>
    <w:p>
      <w:pPr>
        <w:spacing w:after="100"/>
      </w:pPr>
      <w:r>
        <w:t xml:space="preserve">La tesis depende de que el Brent y los márgenes de refino vuelvan a niveles de 2024-2025 en 2027-2028. La señal de que no se cumple: un futuro del Brent de diciembre de 2028 por encima de 85 USD, un SERM por encima de 9 USD/b dos trimestres seguidos tras reabrirse Ormuz, o la producción del Golfo sin volver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(futuro dic-2028)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normalización que supone la tesis [14].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Mbep/d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1,70 Mbep/d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es el único crecimiento del base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SERM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USD/b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USD/b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dividendo extraordinario y el refino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Gearing proforma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del rango objetivo [3].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 / 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10,1x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Eni nace en 1953 como Ente Nazionale Idrocarburi, el holding estatal de Enrico Mattei para dar a Italia petróleo y gas propios. Se transforma en sociedad anónima en 1992 y sale a bolsa en 1995; el Estado conserva el control a través del Ministerio de Economía y Cassa Depositi e Prestiti. Con Claudio Descalzi (consejero delegado desde 2014) pasa a un modelo de exploración propia, venta anticipada de participaciones en los descubrimientos («dual exploration model») y, desde 2021, a «satélites»: filiales con socios financieros (Plenitude, Enilive, Vår Energi, Azule, Searah) que se financian solas. En 2026 desconsolida Plenitude (control conjunto con Ares)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Eni por Enrico Mattei.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Milán y Nueva York.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Descubrimiento de Mamba/Coral en Mozambique.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Descubrimiento de Zohr en Egipto, el mayor campo de gas del Mediterráneo.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Plenitude (renovables y clientes) y fusión de activos en Noruega en Vår Energi.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Sustitución del gas ruso por Argelia, Egipto y GNL tras la invasión de Ucrania.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Neptune Energy; JV Azule (Angola).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 compra el 30 % de Enilive; EIP y Ares entran en Plenitude.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Ormuz (Brent de casi 140 USD en marzo-abril); JV Searah con Petronas; contrato de Junín 5 en Venezuela; Plenitude pasa a control conjunto con Ares y sale de la consolidación (30-sep) [3, 9].</w:t>
            </w:r>
          </w:p>
        </w:tc>
      </w:tr>
    </w:tbl>
    <w:p>
      <w:pPr>
        <w:spacing w:after="160" w:before="0"/>
      </w:pPr>
    </w:p>
    <w:p>
      <w:pPr>
        <w:pStyle w:val="Heading1"/>
      </w:pPr>
      <w:r>
        <w:t xml:space="preserve">2. Modelo de negocio</w:t>
      </w:r>
    </w:p>
    <w:p>
      <w:pPr>
        <w:spacing w:after="100"/>
      </w:pPr>
      <w:r>
        <w:t xml:space="preserve">Eni es una petrolera integrada italiana: busca y produce petróleo y gas (1,83 millones de barriles equivalentes al día en el 3T26), compra y vende gas y gas natural licuado (GNL) en Europa (35,3 bcm en 9M26), refina y vende carburantes y biocarburantes (Enilive) y, hasta septiembre de 2026, consolidaba la venta de electricidad y gas a 10,8 millones de clientes con renovables propias (Plenitude, ahora participada al 65 %). El grueso del beneficio sale de la producción: E&amp;P aportó 12.757 de los 14.905 M de EBIT ajustado proforma de 9M26 [3].</w:t>
      </w:r>
    </w:p>
    <w:p>
      <w:pPr>
        <w:pStyle w:val="Heading2"/>
      </w:pPr>
      <w:r>
        <w:t xml:space="preserve">Cómo gana dinero</w:t>
      </w:r>
    </w:p>
    <w:p>
      <w:pPr>
        <w:spacing w:after="100"/>
      </w:pPr>
      <w:r>
        <w:t xml:space="preserve">Gana sobre todo con el precio del crudo y del gas: cada dólar de Brent mueve unos 110 M de flujo de caja al año, cada dólar de margen de refino 80 M y cada euro por MWh de gas europeo 30 M [3]. Una parte importante de la producción va en contratos de reparto de producción, que recuperan los costes en barriles y amortiguan la caída del precio [1]. El coste de descubrimiento es inferior a 1 USD por barril y la exploración, de las más rentables del sector (1.230 M de barriles descubiertos en 2026) [9]; parte del valor se cobra vendiendo participaciones antes de producir (Baleine, Kutei). El gas (GGP) gana con el arbitraje de contratos y GNL; Enilive aporta un EBITDA más estable (guía de 1.400 M en 2026)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Exploración y Producción (E&amp;P)</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 proforma (incluye JV)</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y GNL global (GGP) y Power</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 proforma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Negocios de transición (Enilive y Plenitude)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 proforma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Química (Versalis) y plantas en transformación</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 proforma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Corporación y ajustes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 ajustado proforma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Exploración y Producción (E&amp;P)</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y GNL global (GGP) y Power</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Negocios de transición (Enilive y Plenitude)</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Química (Versalis) y plantas en transformación</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Corporación y ajustes</w:t>
            </w:r>
          </w:p>
        </w:tc>
      </w:tr>
    </w:tbl>
    <w:p>
      <w:pPr>
        <w:spacing w:after="160" w:before="0"/>
      </w:pPr>
    </w:p>
    <w:p>
      <w:pPr>
        <w:pStyle w:val="Heading2"/>
      </w:pPr>
      <w:r>
        <w:t xml:space="preserve">Clientes, recurrencia y poder de precios</w:t>
      </w:r>
    </w:p>
    <w:p>
      <w:pPr>
        <w:spacing w:after="100"/>
      </w:pPr>
      <w:r>
        <w:t xml:space="preserve">Vende a mercados de materias primas (crudo y gas sin concentración de clientes relevante), a distribuidoras y, a través de Enilive, a 5.000 estaciones de servicio. No tiene poder de precios en petróleo y gas: es tomadora de precios; su ventaja está en el coste y en los contratos de gas a largo plazo con Argelia, Egipto, Catar, Mozambique y ahora Indonesia y Chipre (3,4 Mt/año de GNL firmados en 2026) [3, 9]. En septiembre-octubre de 2026 topó el precio del gasóleo y la gasolina en sus estaciones italianas y ofreció descuentos en Plenitude («Eni for Italy»): el Estado accionista pesa en la política comercial doméstica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hidrocarburos (Mbep/d)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(+7 % subyacente)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Congo, Libia, Costa de Marfil, México, Ghana y Searah; guía 2026 subida al 6-7 % subyacente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realizado (USD/bep)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69,31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medio de 97 USD en el 3T26 frente a 69,1 un año antes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SERM (USD/b)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Destilados medios escasos por el corte de flujos de Oriente Medio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gas (bcm)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(9M25, implícito en el +17 %)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en Italia y Francia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ajustado atribuido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2.801 M en el 3T26, por encima del consenso (2.480-2.600 M) [3,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Gearing proforma (antes de arrendamientos)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Mínimo histórico; deuda neta de 6.702 M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Petróleo y gas integrado mundial: producción, GNL, refino y comercialización. Eni produce cerca del 1,7 % del crudo y gas mundial; el tamaño del mercado en dinero depende sobre todo del precio, así que la prueba de cuota no es útil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(la OPEP+ fija la oferta marginal)</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Brent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97 USD en el 3T26 (69,1 un año antes); 116,7 USD el 23-oct-2026 y 109,8 el 26-oct, pero el futuro de diciembre de 2028 cotiza a 78,8 USD [3,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producción propia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 subyacente en el 3T26; guía de 2026 subida al 6-7 % (3-4 % en marzo) y unos 600 kbep/d nuevos en 2030 de los proyectos aprobados este año [3,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gas europeo (TTF) y del GNL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TTF de 63 EUR/MWh en el 3T26 y 93,9 el 23-oct; la guía usa 55 EUR/MWh [3, 8,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 refino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SERM de 28,1 USD/b en el 3T26 frente a 8,9 un año antes y 6 USD/b en el presupuesto del plan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(renovables, biocarburantes)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crudo con pico hacia 2030 según la mayoría de previsiones; Eni crece en biorrefino (0,5 Mt/año más a final de 2026) y renovables con socios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EUR/USD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van en dólares y las cuentas en euros: 1,151 USD/EUR en el 3T26 y 1,122 el 23-oct [8,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homogéneo y precio fijado por el mercado; la rivalidad se da en el acceso a recursos y en el coste.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líquidos sin clientes dominantes; en el minorista, competencia de precios (Plenitude perdió margen en el 3T26 por la competencia)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Estados anfitriones fijan impuestos y repartos de producción (tipo ajustado de E&amp;P del 35-45 %)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capital y conocimiento técnico muy altas.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del transporte y renovables reducen la demanda de crudo y gas a largo plazo.</w:t>
            </w:r>
          </w:p>
        </w:tc>
      </w:tr>
    </w:tbl>
    <w:p>
      <w:pPr>
        <w:spacing w:after="160" w:before="0"/>
      </w:pPr>
    </w:p>
    <w:p>
      <w:pPr>
        <w:pStyle w:val="Heading2"/>
      </w:pPr>
      <w:r>
        <w:t xml:space="preserve">Ciclo</w:t>
      </w:r>
    </w:p>
    <w:p>
      <w:pPr>
        <w:spacing w:after="100"/>
      </w:pPr>
      <w:r>
        <w:t xml:space="preserve">Pico por choque de oferta: el Brent pasó de 69 USD de media en el 3T25 a 97 en el 3T26 y a 116,7 el 23-oct-2026 con el estrecho de Ormuz aún afectado, y la curva de futuros sigue muy invertida (86,7 USD en diciembre de 2027 y 78,8 en diciembre de 2028) [3, 14]. En 2008-09, 2014-16 y 2020 el beneficio ajustado de Eni cayó a la mitad o a pérdidas en uno o dos años; tras el pico de 2022 (13.301 M) bajó a 4.989 M en 2025 [1].</w:t>
      </w:r>
    </w:p>
    <w:p>
      <w:pPr>
        <w:pStyle w:val="Heading2"/>
      </w:pPr>
      <w:r>
        <w:t xml:space="preserve">Regulación</w:t>
      </w:r>
    </w:p>
    <w:p>
      <w:pPr>
        <w:spacing w:after="100"/>
      </w:pPr>
      <w:r>
        <w:t xml:space="preserve">Impuestos extraordinarios sobre beneficios energéticos en Italia y en la UE (contribución de solidaridad de 2022-2023), reglas de metano de la UE para importaciones desde 2027, comercio de derechos de emisión y mandatos de biocarburantes que favorecen a Enilive [1]. En septiembre de 2026 el Gobierno rebajó impuestos especiales de los carburantes y Eni acompañó con topes de precio en sus estaciones [3].</w:t>
      </w:r>
    </w:p>
    <w:p>
      <w:pPr>
        <w:pStyle w:val="Heading2"/>
      </w:pPr>
      <w:r>
        <w:t xml:space="preserve">Tendencias y disrupción</w:t>
      </w:r>
    </w:p>
    <w:p>
      <w:pPr>
        <w:spacing w:after="100"/>
      </w:pPr>
      <w:r>
        <w:t xml:space="preserve">El sector reparte más caja (recompras ligadas al precio) y separa negocios de transición con socios financieros, como hace Eni con Plenitude y Enilive. La IA se usa en exploración y en operaciones (Eni tiene el superordenador HPC6) y aumenta la demanda de gas para electricidad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Sexta petrolera integrada occidental por capitalización; líder en exploración por descubrimientos en la última década y primer importador de gas de Italia [1,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más GNL y electricidad; mayor tamaño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cartera de GNL del mundo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más deuda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de Noruega para Europa; estatal; margen de productor casi puro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refino; tamaño menor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OMV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refino y química (Borouge Group International)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productora de materias primas.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contratos de gas a largo plazo.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exploración y relaciones con Estados productores (Egipto, Argelia, Libia, Congo, Mozambique, ahora Venezuela) de décadas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descubrimiento por debajo de 1 USD/bep y éxito comercial del 70 % en 2026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Infraestructura de gas hacia Italia (gasoductos de Argelia y Libia).</w:t>
            </w:r>
          </w:p>
        </w:tc>
      </w:tr>
    </w:tbl>
    <w:p>
      <w:pPr>
        <w:spacing w:after="160" w:before="0"/>
      </w:pPr>
    </w:p>
    <w:p>
      <w:pPr>
        <w:pStyle w:val="Heading2"/>
      </w:pPr>
      <w:r>
        <w:t xml:space="preserve">Amenazas</w:t>
      </w:r>
    </w:p>
    <w:p>
      <w:pPr>
        <w:spacing w:after="100"/>
      </w:pPr>
      <w:r>
        <w:t xml:space="preserve">Lo que puede erosionar la ventaja: menos éxito exploratorio (la ventaja de Eni es encontrar barato), más presión fiscal de los países productores y la transición, que reduce la demanda de crudo a largo plazo. Probabilidad media en los tres; ninguno inmediato. Los pares tienen márgenes operativos del 10,8-15,7 % (Equinor 28,6 % por el gas noruego)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spacing w:after="100"/>
      </w:pPr>
      <w:r>
        <w:t xml:space="preserve">Crecimiento anual compuesto 2020-2025: ingresos </w:t>
      </w:r>
      <w:r>
        <w:rPr>
          <w:b/>
          <w:bCs/>
        </w:rPr>
        <w:t xml:space="preserve">13,3 %</w:t>
      </w:r>
      <w:r>
        <w:t xml:space="preserve">, EBITDA </w:t>
      </w:r>
      <w:r>
        <w:rPr>
          <w:b/>
          <w:bCs/>
        </w:rPr>
        <w:t xml:space="preserve">11,3 %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siguen al crudo y al gas: 43.987 M en 2020 (Brent de 42 USD), 132.512 M en 2022 (guerra de Ucrania) y 82.151 M en 2025 con el Brent a 69 USD [1, 2]. El margen EBITDA normalizado (sin efecto inventario ni partidas identificadas) fue del 22,7 % en 2023, del 20,2 % en 2024 y del 19,1 % en 2025 [1]. En 2026 la crisis de Ormuz cambia la cuenta: en el 9M26 el Brent medio fue de 94 USD (+33 %) y el margen de refino SERM de 15,5 USD/b (5,8 un año antes); el beneficio neto ajustado subió un 70 %, a 6.436 M, y el del 3T26 (2.801 M) más que duplicó el del 3T25 [3]. Las ventas de los últimos doce meses a septiembre suman 96.024 M y el EBITDA ajustado 18.178 M [3, 7]. 2020 no es comparable (deterioros del COVID) y 2026 tampoco: Searah sale del perímetro en el 2T26 (plusvalía de ≈2.000 M) y Plenitude el 30-sep (plusvalía de ≈1.500 M) [3, 10].</w:t>
      </w:r>
    </w:p>
    <w:p>
      <w:pPr>
        <w:pStyle w:val="Heading2"/>
      </w:pPr>
      <w:r>
        <w:t xml:space="preserve">Ajustes y partidas no recurrentes</w:t>
      </w:r>
    </w:p>
    <w:p>
      <w:pPr>
        <w:spacing w:after="100"/>
      </w:pPr>
      <w:r>
        <w:t xml:space="preserve">Eni publica un resultado «ajustado» que excluye el efecto inventario y las partidas identificadas: deterioros, provisiones medioambientales, plusvalías y derivados. Entre 2020 y 2025 esas partidas restaron 2.800-5.500 M al EBIT de casi todos los años (3.334 M en 2025) y sumaron 2.677 M en 2021; aquí van en no recurrentes y se devuelven al EBITDA [1, 4, 5]. Que se repitan casi todos los años es un aviso: el beneficio ajustado sobrestima el de largo plazo. El BPA del objetivo a 12 meses es el ajustado menos el cupón de los híbridos (≈270 M al año) [1]. El LTM a septiembre de 2026 va en base ajustada.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Resultados del 3T26 (consejo del 22-oct, comunicado y conferencia del 23-oct) [3, 8, 9]: beneficio neto ajustado de 2.801 M frente a un consenso de 2.480-2.600 M [11, 12], producción de 1,83 Mbep/d (+7 % subyacente con Searah un trimestre completo) y SERM de 28,1 USD/b. La dirección subió la guía de flujo de caja a 16.500 M con un Brent de 95 USD (15.000 M con 85 USD en julio), confirmó un capex bruto de 7.000 M y neto por debajo de 4.500 M, amplió la recompra a 3.800 M y aprobó un dividendo extraordinario de 0,46 EUR (≈1.300 M, pago el 9-dic) [3, 8]. Frente al 2T26 (julio), el discurso pasó de «capturar el alza del escenario» a «devolver el 100 % del exceso»; nuevo: contrato para reactivar Junín 5 en Venezuela, venta del 10 % de Baleine y del 10 % de Kutei, y la cartera de infraestructuras con inversores (1.753 M) [3]. Lo que no se cuantificó: el beneficio de 2027 con el Brent de la curva de futuros y el efecto de Plenitude como participada. El turno de preguntas de la conferencia no está publicado (solo la intervención del director financiero) [9]. Eni no publica la cuenta trimestral completa en el 6-K: la tabla une el 1S25 y los trimestres del documento pro forma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(2026: Searah (JV 50/50 con Petronas, desde junio de 2026): los activos de Indonesia salen de la consolidación y pasan a participadas (plusvalía de ≈2.000 M). Plenitude: desconsolidada el 30-sep-2026 (Eni 65 %, control conjunto con Ares), registrada como participada a valor razonable con una plusvalía de ≈1.500 M; sale del balance su deuda (≈2.750 M) y sus minoritarios (≈2.000 M)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 deuda neta antes de arrendamientos bajó de 9.386 M (dic-2025) y 11.271 M (jun-2026) a 6.702 M en septiembre: flujo de caja ajustado de 4.290 M en el trimestre, la salida de la deuda de Plenitude al desconsolidarla y la aportación de los inversores de infraestructuras [3, 10]. Gearing proforma del 9 %, mínimo histórico y por debajo de su rango del 10-15 %. El puente cuenta como caja 27.688 M: 11.767 M de caja, 8.371 M de activos financieros a valor razonable y 7.550 M de créditos financieros no operativos [3]. Rating A-/A3/A- (S&amp;P subió la perspectiva a estable el 1-oct) [13].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2020-2025: FCF </w:t>
      </w:r>
      <w:r>
        <w:rPr>
          <w:b/>
          <w:bCs/>
        </w:rPr>
        <w:t xml:space="preserve">25.601</w:t>
      </w:r>
      <w:r>
        <w:t xml:space="preserve">, conversión </w:t>
      </w:r>
      <w:r>
        <w:rPr>
          <w:b/>
          <w:bCs/>
        </w:rPr>
        <w:t xml:space="preserve">121 %</w:t>
      </w:r>
      <w:r>
        <w:t xml:space="preserve"> del beneficio neto; adquisiciones 6.914, dividendos 16.526, recompras 8.511.</w:t>
      </w:r>
    </w:p>
    <w:p>
      <w:pPr>
        <w:spacing w:after="100"/>
      </w:pPr>
      <w:r>
        <w:t xml:space="preserve">El flujo operativo fue de 13.330 M en 2025 y 13.092 M en 2024, con un capex de 8.500-9.200 M (1,1-1,3 veces la amortización) [1, 2]. El FCF tras arrendamientos (2.851 M en 2025) no cubrió dividendos y recompras (4.976 M): la diferencia se pagó con ventas de participaciones y deuda [1]. 2026 es distinto: en el 9M26 el flujo antes de circulante financió un capex orgánico de 5.060 M (−14 %), 1.400 M de circulante y 4.300 M de dividendo y recompra; la guía del año es de 16.500 M de flujo con inversión neta por debajo de 4.500 M [3]. Estimación propia: la mitad del capex es mantenimiento de la producción (declinación de los campos), en línea con la amortización.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por la cotización en Nueva York)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PwC desde 2019, con opinión favorable también sobre el control interno (cotiza en Nueva York) [1]. Los puntos de juicio son tres: (1) las partidas identificadas se repiten casi todos los años, así que el beneficio ajustado es optimista; (2) el tipo impositivo efectivo es muy alto (52-57 % publicado en 2023-2025) porque los contratos de reparto de producción tributan al 50-85 % y los deterioros no son deducibles; (3) las participadas (Vår Energi, Azule, Searah y ahora Plenitude) pesan cada vez más y se ven peor: 25.791 M de valor contable a septiembre [1, 3]. En 2026 hay dos plusvalías de reorganización (Searah ≈2.000 M y Plenitude ≈1.500 M) que inflan el beneficio publicado; el ajustado las excluye. Indicadores del motor: Altman Z de 1,42 (zona de riesgo, normal en una petrolera con mucho activo fijo; no es alerta de quiebra con rating A-), Piotroski F de 6 y Beneish M de −3,06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«identificadas»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y provisiones casi todos los años (3.334 M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de reorganización (Searah y Plenitude)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beneficio publicado de 2026; el ajustado las excluye [3,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participadas en el valor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25.791 M en libros (≈9 EUR por acción), sin control directo de la caja; Plenitude registrada a valor razonable (6.800 M)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73.170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77.230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80.912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16,4 % · </w:t>
      </w:r>
      <w:r>
        <w:rPr>
          <w:b/>
          <w:bCs/>
        </w:rPr>
        <w:t xml:space="preserve">WACC</w:t>
      </w:r>
      <w:r>
        <w:t xml:space="preserve">: 7,9 %.</w:t>
      </w:r>
    </w:p>
    <w:p>
      <w:pPr>
        <w:spacing w:after="100"/>
      </w:pPr>
      <w:r>
        <w:t xml:space="preserve">Eni no crea valor sobre su coste de capital a precios normales: ROIC del 6,1 % en 2025 frente a un WACC del 7,93 %, del 7,7 % en 2024 y del 10,7 % en 2023. Solo lo superó con claridad en 2022 (17,6 %, Brent de 99 USD). El motor mide el capital invertido consolidado sin participadas (81.599 M en 2025); con ellas (25.791 M, que rinden un 6-7 %) la conclusión no cambia. Lo que mueve el ROIC es el margen (precio del crudo), no la rotación (0,58 veces). En 2026 el ROIC subirá con el Brent de la crisis, pero es de pico. El ROIC incremental histórico (16,4 %) sale alto porque mide el salto de 2020 a 2022 y no es fiable [1, 2]. Frente a TotalEnergies (10,3 %), Shell (11,4 %) y Equinor (16,5 %), Eni está en la parte baja del grupo [15].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bruta de 34.390 M frente a caja de 11.767 M, activos financieros a valor razonable de 8.371 M y créditos financieros no operativos de 7.550 M (1.700 M son préstamos a Plenitude) a 30-sep-2026: deuda neta antes de arrendamientos de 6.702 M y reserva de liquidez de 37.000 M [3,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(perspectiva estable desde el 1-oct-2026); Moody's A3 (estable); Fitch A- (estable) [8,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Híbridos perpetuos de Eni por 5.990 M en el patrimonio, con cupones del 2-4,9 %: aquí cuentan como deuda (otros ajustes del puente) [1, 3]. La aportación de 1.753 M de un grupo de inversores a la cartera de infraestructuras de E&amp;P se registra en el patrimonio del grupo, pero da derecho a sus flujos: va también como deuda. Un híbrido de 1.755 M emitido por una filial y la parte de KKR en Enilive van en minoritarios (3.132 M) [3]. Provisiones de desmantelamiento y medioambientales importantes y litigios: demanda climática de Greenpeace y ReCommon (2023) [1].</w:t>
      </w:r>
    </w:p>
    <w:p>
      <w:pPr>
        <w:pStyle w:val="Heading1"/>
      </w:pPr>
      <w:r>
        <w:t xml:space="preserve">12. Asignación de capital</w:t>
      </w:r>
    </w:p>
    <w:p>
      <w:pPr>
        <w:pStyle w:val="Confianza"/>
        <w:spacing w:after="100"/>
      </w:pPr>
      <w:r>
        <w:t xml:space="preserve">Confianza: Media</w:t>
      </w:r>
    </w:p>
    <w:p>
      <w:pPr>
        <w:spacing w:after="100"/>
      </w:pPr>
      <w:r>
        <w:t xml:space="preserve">Dividendo ordinario de 1,10 EUR por acción en 2026 (+5 %), en cuatro tramos (el segundo, 0,27 EUR, con fecha ex el 23-nov) [27]; dividendo extraordinario de 0,46 EUR (pago el 9-dic). Recompra ligada al precio: el 60 % del flujo por encima del presupuesto (11.500 M) hasta 90 USD de Brent y el 100 % por encima como dividendo extraordinario; la recompra de 2026 sube a 3.800 M, casi el triple de la inicial (1.500 M) [3]. Gearing objetivo del 10-15 %. Prioridad a la inversión orgánica y a vender participaciones de los descubrimientos y de los satélites para financiar el crecimiento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Neptune Energy (activos fuera de Noruega)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Noruega pasó a Vår Energi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Searah (JV con Petronas en Indonesia y Malasia)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Aportación de activos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del 50 % registrada por 4.900 M y plusvalía de ≈2.000 M; aporta un trimestre completo en el 3T26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Plenitude: ampliación no proporcional con Ares (1.560 M; Eni suscribe el 30 %)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Ares aporta ≈1.100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empresa de 13.100 M y de las acciones antes de la ampliación de 10.800 M; Eni baja al 65 % y desconsolida [3, 8].</w:t>
            </w:r>
          </w:p>
        </w:tc>
      </w:tr>
    </w:tbl>
    <w:p>
      <w:pPr>
        <w:spacing w:after="160" w:before="0"/>
      </w:pPr>
    </w:p>
    <w:p>
      <w:pPr>
        <w:spacing w:after="100"/>
      </w:pPr>
      <w:r>
        <w:t xml:space="preserve">Asignación de capital con dos caras. Bien: la exploración propia crea valor (Zohr, Coral, Baleine) y las ventas de participaciones traen caja a múltiplos altos: Ares entró en Plenitude con un valor de empresa de 13.100 M y Eni registra su 65 % a 6.800 M; Searah (con Petronas) quedó a 4.900 M [3, 8]. Mal: el retorno al accionista de 2024 y 2025 superó al FCF, la química de Versalis sigue en pérdidas y los deterioros se repiten. El número de acciones baja un 3-4 % al año: de 3.572 M de media en 2020 a 2.858 M en circulación hoy (172 M en autocartera, 5,68 %) [1, 6]. La recompra que queda (≈1.845 M) es otro 2,3 % de la capitalización.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Claudio Descalzi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Eni desde 1981, ingeniero de yacimientos; dirigió E&amp;P antes de ser consejero delegado. Bajo su mando la exploración aportó Zohr, Coral y Baleine y la empresa creó los satélites con socios. Reelegido en 2026 para un quinto mandato hasta 2029; 647.621 acciones [1, 19,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Giuseppina Di Foggia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consejera delegada de Terna (2023-2026); sustituye a Giuseppe Zafarana en la presidencia (junta del 6-may-2026, 99,2 % a favor) [17,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Francesco Gattei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transformación y financiero (CT&amp;FO)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responsable de relaciones con inversores y de planificación de E&amp;P; presentó los resultados del 3T26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 M ampliada con el flujo de caja; producción +2-3 %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1.896 M; producción +3 % (20-F)</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Marzo: producción +3-4 %, flujo de caja de 11.500 M con Brent de 70 USD y recompra de 1.500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producción +6-7 % subyacente, flujo de caja de 16.500 M (con Brent de 95 USD), recompra de 3.800 M y dividendo extraordinario de 0,46 EUR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con historial: Descalzi lleva doce años y empieza su quinto mandato (hasta 2029), con un historial de cumplir o superar las guías de producción y de recompra; en 2026 ha subido la guía de flujo tres veces [3, 16, 20]. La presidencia (Di Foggia) no es ejecutiva. El riesgo es la sucesión: no hay sucesor público y depende del Gobierno. La participación de la dirección es simbólica (Descalzi ≈648.000 acciones, ≈18 M EUR)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Giuseppina Di Foggia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Claudio Descalzi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Stefano Cappiello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Benedetta Fiorini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Matteo Petrella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Sgubin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Emma Marcegaglia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Carolyn Adele Dittmeier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Raphael Louis L. Vermeir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por la cotización en Nueva York)</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Cassa Depositi e Prestiti (82,77 % del Ministerio de Economía)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sin comprar por la amortización de autocartera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Ministerio de Economía y Finanzas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Romano Minozzi y sociedades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Presentó lista propia en 2026 y colocó a una consejera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2,87 % en marzo de 2026; 5,68 % el 16-oct-2026 por la recompra [1,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del consejero delegado en 2025: 8,4 M EUR (6,26 M en efectivo: fijo 1,6 M y variable anual 2,32 M, más el plan a largo plazo; 2,13 M en acciones), 138 veces la del empleado mediano [19]. La política se votó en la junta de 2026 con un 79,7 % a favor y un 19,7 % en contra; descontando las acciones del Estado, un 38,8 % del capital libre presente votó en contra: un aviso de los institucionales [18]. El variable a largo plazo se liga al rendimiento total frente a un grupo de petroleras, al flujo de caja libre y a la descarbonización [19].</w:t>
      </w:r>
    </w:p>
    <w:p>
      <w:pPr>
        <w:pStyle w:val="Heading2"/>
      </w:pPr>
      <w:r>
        <w:t xml:space="preserve">Operaciones vinculadas, estructura de control y defensas</w:t>
      </w:r>
    </w:p>
    <w:p>
      <w:pPr>
        <w:spacing w:after="100"/>
      </w:pPr>
      <w:r>
        <w:t xml:space="preserve">El Estado controla Eni con un 33 % (CDP 30,9 % y el Ministerio 2,2 %) y presenta la lista mayoritaria: nombra al presidente, al consejero delegado y a seis de nueve consejeros; los institucionales eligen al resto con su lista (Marcegaglia, independiente, salió de la lista presentada por Minozzi) [1, 17]. El «golden power» permite al Gobierno vetar compras de participaciones relevantes y operaciones estratégicas. Una acción, un voto, sin límites estatutarios [21]. La recompra sube la participación del Estado sin que compre.</w:t>
      </w:r>
    </w:p>
    <w:p>
      <w:pPr>
        <w:pStyle w:val="Heading2"/>
      </w:pPr>
      <w:r>
        <w:t xml:space="preserve">Señales de alerta</w:t>
      </w:r>
    </w:p>
    <w:p>
      <w:pPr>
        <w:pStyle w:val="ListParagraph"/>
        <w:numPr>
          <w:ilvl w:val="0"/>
          <w:numId w:val="2"/>
        </w:numPr>
        <w:spacing w:after="60"/>
      </w:pPr>
      <w:r>
        <w:t xml:space="preserve">El Estado (MEF y CDP, ≈33 % del capital) nombra la mayoría del consejo, al presidente y al consejero delegado, y conserva poderes especiales («golden power») [1].</w:t>
      </w:r>
    </w:p>
    <w:p>
      <w:pPr>
        <w:pStyle w:val="ListParagraph"/>
        <w:numPr>
          <w:ilvl w:val="0"/>
          <w:numId w:val="2"/>
        </w:numPr>
        <w:spacing w:after="60"/>
      </w:pPr>
      <w:r>
        <w:t xml:space="preserve">Voto en contra de la remuneración del 19,7 % sobre el capital presente en 2026, que equivale a un 38,8 % del capital libre presente si se descuenta el voto del Estado [18].</w:t>
      </w:r>
    </w:p>
    <w:p>
      <w:pPr>
        <w:pStyle w:val="ListParagraph"/>
        <w:numPr>
          <w:ilvl w:val="0"/>
          <w:numId w:val="2"/>
        </w:numPr>
        <w:spacing w:after="60"/>
      </w:pPr>
      <w:r>
        <w:t xml:space="preserve">Casos judiciales cerrados por corrupción internacional (Nigeria OPL 245, absuelta en 2021; Argelia) y demanda climática de Greenpeace y ReCommon ante el tribunal de Roma (2023)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23-oct-2026 (escenario: Brent de 95 USD, SERM de 18 USD/b, TTF de 55 EUR/MWh y 1,15 USD/EUR): flujo de caja operativo ajustado de 16.500 M (15.000 M en julio, 11.500 M en el presupuesto); producción +6-7 % subyacente (≈5 % en julio); EBIT proforma de GGP de ≈1.500 M; EBITDA proforma de 1.400 M en Enilive y ≈1.200 M en Plenitude; inversión bruta de 7.000 M y neta por debajo de 4.500 M; gearing proforma en el mínimo del rango del 10-15 %. Retribución: dividendo ordinario de 1,10 EUR (+5 %), dividendo extraordinario de 0,46 EUR (1.300 M, ex-dividendo el 7-dic) y recompra subida a 3.800 M (3.400 M en julio, 1.500 M al principio). Sensibilidades: 110 M por dólar de Brent, 80 M por dólar de SERM y 30 M por euro/MWh de TTF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Analysis/S&amp;P Global, 22 analistas, 24-oct (ventas y BPA) [23]; MarketScreener (EBITDA, EBIT, DPA)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Analysis/S&amp;P Global (ventas y BPA) [23]; MarketScreener (EBITDA, EBIT, DPA)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sin actualizar tras el 3T26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84.188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21,80 – 32,00</w:t>
            </w:r>
          </w:p>
        </w:tc>
      </w:tr>
    </w:tbl>
    <w:p>
      <w:pPr>
        <w:spacing w:after="160" w:before="0"/>
      </w:pPr>
    </w:p>
    <w:p>
      <w:pPr>
        <w:pStyle w:val="Heading2"/>
      </w:pPr>
      <w:r>
        <w:t xml:space="preserve">Revisiones de estimaciones</w:t>
      </w:r>
    </w:p>
    <w:p>
      <w:pPr>
        <w:spacing w:after="100"/>
      </w:pPr>
      <w:r>
        <w:t xml:space="preserve">Dos fuentes: Stock Analysis (S&amp;P Global, 22 analistas, actualizado el 24-oct, ya con los resultados) y MarketScreener, que el 26-oct seguía mostrando las cifras de antes de los resultados (BPA de 2026e de 3,005 EUR) y el precio del 22-oct [23, 24]. El BPA ajustado de 2026e de S&amp;P Global (2,94 EUR) casi duplica el de 2025 (1,57) por el Brent de la crisis de Ormuz, y el de 2027e (2,70) solo baja un 8 %: los analistas suponen una normalización lenta. El objetivo medio sube de 26,37 EUR (MarketScreener, 15-oct) a 26,99 EUR (S&amp;P Global, 24-oct); antes de los resultados BofA lo subió a 24,5 EUR, y tras ellos Jefferies (30 EUR), UBS (30), JPMorgan (28) y RBC (28, Mantener) lo mantienen [12, 23]. Recomendaciones: 9 Comprar, 11 Mantener y 2 Vender (8 Comprar fuerte en septiembre, 7 hoy).</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ganado un 83,6 % en un año con dividendos, frente al 14,3 % del FTSE MIB y el 54,4 % del sector petrolero europeo, y un 77,2 % en lo que va de año [22]: subió con el Brent tras el cierre de Ormuz (marzo), cayó cuando se reabrió (abril-junio) y volvió a subir con los resultados del 2T26, la recompra ampliada y el Brent otra vez por encima de 100 USD en septiembre y octubre. El 23-oct, día de los resultados del 3T26, subió un 5,8 % (de 26,13 a 27,65 EUR, máximo histórico al cierre) [22, 33]. Beta de 0,39 frente al FTSE MIB (se mueve con el crudo, no con el índice); volatilidad del 28,1 %.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 +14,0 % / +12,0 % / +68,6 %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 +72,3 %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Ataques entre EE. UU., Israel e Irán y cierre del estrecho de Ormuz: el Brent llegó a casi 140 USD al contado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provisional y reapertura de Ormuz: el Brent cayó hacia 70 USD; caídas diarias del −5,6 % (8-abr) y −7,0 % (17-abr)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(29-jul): beneficio ajustado duplicado, guía al alza y recompra de 3.400 M [10,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Brent de nuevo por encima de 100 USD y resultados del 3T26 por encima del consenso, con dividendo extraordinario y recompra de 3.800 M (+5,8 % el 23-oct) [3, 33,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beneficio neto ajustado de 2.801 M (consenso 2.480-2.600 M), guía de flujo a 16.500 M, dividendo extraordinario de 0,46 EUR y recompra a 3.800 M [3, 11,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XRG (ADNOC) negocia comprar una participación en el negocio de Eni en Libia, según Reuters; sin precio ni confirmación de Eni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de presupuestos de 2027: la mayoría pacta una contribución de bancos y aseguradoras; no hay un impuesto nuevo a las energéticas en lo acordado. Sigue el tope de precios de los carburantes hasta fin de año y Eni adelantó ≈130 M de impuestos en agosto para financiar la rebaja de los impuestos especiales [35,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sube la perspectiva del rating a estable (A-/A-2)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en curso: 85,3 M de acciones (1.955 M EUR) del programa de 2026 hasta el 16-oct; autocartera del 5,68 %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 un año (+68,6 % en precio; +83,6 % con dividendos) es el Brent de la crisis de Ormuz más una retribución que se ha triplicado; los resultados del 3T26 ya están en el precio y en este informe. La noticia que más pesa es la posible venta de parte de Libia a XRG: Libia es uno de los mayores países de producción de Eni, pero no hay precio ni anuncio, y una venta a un precio razonable cambiaría la deuda y el riesgo, no el valor por acción de forma material. Ninguna noticia se puede cuantificar por encima del 5 % del valor ni tiene fecha cierta, así que no cambia la señal ni la aplaza (reglas 11 y 13). Sin avisos P de movimiento.mjs; hoy la acción cede un 2,6 % en sesión con el Brent de 116,7 a 109,8 USD, lo que recuerda que el precio cotiza el crudo de hoy, no el de la curva [14, 33].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los cierres de cada año y el beneficio publicado, la acción cotiza en su media de cinco años: EV/EBITDA de 4,2 veces frente a 4,1 (percentil 80) y PER de 10,8 frente a 11,0. Con el BPA ajustado del año siguiente (la base de la regla), la mediana de 2022-2024 es de 8,3 veces y hoy cotiza a 10,1 veces nuestro BPA de 2027e. Nada estructural lo justifica: la producción crece lo de siempre y el riesgo del sector no ha bajado; es el beneficio de pico de 2026 y la recompra. 2019 y 2021 se excluyen de la historia adelantada (el BPA del año siguiente es una pérdida o de pico) y 2025 también (el de 2026 aún no es real y es de pico).</w:t>
      </w:r>
    </w:p>
    <w:p>
      <w:pPr>
        <w:pStyle w:val="Heading1"/>
      </w:pPr>
      <w:r>
        <w:t xml:space="preserve">18. Comparables cotizados</w:t>
      </w:r>
    </w:p>
    <w:p>
      <w:pPr>
        <w:pStyle w:val="Confianza"/>
        <w:spacing w:after="100"/>
      </w:pPr>
      <w:r>
        <w:t xml:space="preserve">Confianza: Media</w:t>
      </w:r>
    </w:p>
    <w:p>
      <w:pPr>
        <w:spacing w:after="100"/>
      </w:pPr>
      <w:r>
        <w:t xml:space="preserve">Petroleras integradas europeas con producción, GNL, refino y comercialización: TotalEnergies, Shell, BP, Equinor, Repsol y OMV. Todas de un solo proveedor y del mismo cierre (Stock Analysis, 23-oct-2026), convertidas a euros con el cambio de ese día (1,1221 USD y 10,468 NOK por euro) [15]. El PER es el adelantado de los próximos doce meses sobre BPA ajustado (sin restar los cupones de híbridos, como el consenso de Eni). EV/EBITDA de los últimos doce meses; Stock Analysis no da el de los próximos doce meses. DN/EBITDA = (valor empresa − capitalización) ÷ EBITDA. Fuera ExxonMobil y Chevron (prima estructural de EE. UU.) y Galp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OMV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 / 4,9x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8,0x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1,1x / 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El grupo europeo cotiza a 5,7-9,7 veces el beneficio de los próximos doce meses (mediana de 7,97) y a 2,7-6,1 veces el EBITDA de los últimos doce meses, todo con beneficios del pico de 2026-2027 [15]. Eni (10,1 veces nuestro BPA de 2027e; 9,4 veces el de consenso de 2026e) está en la parte alta, a la par que Shell y Equinor, con un ROIC menor. El PER de los pares no resta los cupones de híbridos (≈3 % de diferencia de base frente al de Eni). Los comparables no sirven para el valor intrínseco porque miden un beneficio que no se va a repetir: peso 0 en la síntesis. La regresión múltiplo-crecimiento no aplica (sin crecimientos comparables).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Año base 2025: 82.151 M de ventas con el Brent a 69 USD [1]. 2026e +24,5 % (fijo): el 9M26 ya da 75.409 M y el 4T26 va con el Brent a 110-117 USD, por encima de los 97 USD del 3T26 [3, 7, 14]. 2027e −7,5 %: volumen +4 % (guía de producción del 6-7 % en 2026 y arranques), precio −4 % (Brent medio de ≈96 USD en la curva de 2027 frente a ≈99 en 2026) y −7,5 % por la salida de Plenitude, que ahora es participada [3, 8, 14]. 2028e −11 %: Brent medio de ≈81 USD en la curva [14]. 2029-2033: +1,5-2,5 %, solo volumen. Es una normalización deliberada: no suponemos un Brent de 100 USD permanente.</w:t>
      </w:r>
    </w:p>
    <w:p>
      <w:pPr>
        <w:keepNext/>
        <w:spacing w:after="100"/>
      </w:pPr>
      <w:r>
        <w:rPr>
          <w:b/>
          <w:bCs/>
        </w:rPr>
        <w:t xml:space="preserve">Márgenes.</w:t>
      </w:r>
    </w:p>
    <w:p>
      <w:pPr>
        <w:spacing w:after="100"/>
      </w:pPr>
      <w:r>
        <w:t xml:space="preserve">Margen EBITDA ajustado sin participadas del 19,4 % en 2026e (17,9 % en el 1T26, 21,4 % en el 2T26 y 18,7 % en el 3T26 [7]), 20,5 % en 2027e y 20 % desde 2028e: entre el 19,1 % de 2025 (Brent de 69 USD) y el 20,2 % de 2024 (80 USD) [1]. Sin Plenitude (margen EBITDA de ≈10 % sobre sus ventas, estimación propia con su EBITDA de ≈1.200 M) el margen del grupo sube algo; la química y el refino lo bajan cuando el SERM vuelva a 6-8 USD/b.</w:t>
      </w:r>
    </w:p>
    <w:p>
      <w:pPr>
        <w:keepNext/>
        <w:spacing w:after="100"/>
      </w:pPr>
      <w:r>
        <w:rPr>
          <w:b/>
          <w:bCs/>
        </w:rPr>
        <w:t xml:space="preserve">Inversión y circulante.</w:t>
      </w:r>
    </w:p>
    <w:p>
      <w:pPr>
        <w:spacing w:after="100"/>
      </w:pPr>
      <w:r>
        <w:t xml:space="preserve">Capex del 7,5-8,9 % de las ventas (7.700-8.000 M): la guía de 2026 es de 7.000 M brutos y menos de 4.500 M netos de ventas de participaciones; desde 2028e subimos al 8,9 % para no suponer que las ventas de participaciones se repiten siempre [3]. Amortización del 6,3-7,7 % de las ventas, por debajo del capex todo el periodo. Circulante al nivel real de septiembre de 2026 (+0,5 % de las ventas), constante.</w:t>
      </w:r>
    </w:p>
    <w:p>
      <w:pPr>
        <w:keepNext/>
        <w:spacing w:after="100"/>
      </w:pPr>
      <w:r>
        <w:rPr>
          <w:b/>
          <w:bCs/>
        </w:rPr>
        <w:t xml:space="preserve">Coste del capital.</w:t>
      </w:r>
    </w:p>
    <w:p>
      <w:pPr>
        <w:spacing w:after="100"/>
      </w:pPr>
      <w:r>
        <w:t xml:space="preserve">Tasa libre: Bund a 10 años del 3,36 % el 23-oct-2026 [25]. Beta de 0,86: la beta sin deuda de las integradas europeas (Damodaran, media 2021-2026 de 0,72; la de 2026, 0,41, es de un año atípico) [32], reapalancada con la deuda de Eni (deuda neta ajustada de 20.059 M frente a 79.029 M de capitalización: D/E 0,254, impuesto del 24 %). La regresión da 0,39 frente al FTSE MIB y 0,35-0,53 frente al STOXX 600 Oil &amp; Gas [22]. Prima de mercado del 5,5 % y prima adicional de 1 punto por la producción en países de riesgo. Coste de la deuda del 4,3 % antes de impuestos; peso de la deuda del 20 % a valor de mercado. WACC del 7,93 %.</w:t>
      </w:r>
    </w:p>
    <w:p>
      <w:pPr>
        <w:keepNext/>
        <w:spacing w:after="100"/>
      </w:pPr>
      <w:r>
        <w:rPr>
          <w:b/>
          <w:bCs/>
        </w:rPr>
        <w:t xml:space="preserve">Valor terminal.</w:t>
      </w:r>
    </w:p>
    <w:p>
      <w:pPr>
        <w:spacing w:after="100"/>
      </w:pPr>
      <w:r>
        <w:t xml:space="preserve">Crecimiento terminal del 1,0 %, por debajo de la inflación esperada del euro: la demanda de crudo tiene pico hacia 2030 y Eni tendrá que reponer reservas a coste creciente. El múltiplo implícito se compara con el EV/EBITDA histórico de 2,5-5,8 veces. El valor terminal pesa el 62 %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11.176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(ROIC 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frente al 2,0 %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(histórico: 16,4 %)</w:t>
            </w:r>
          </w:p>
        </w:tc>
      </w:tr>
    </w:tbl>
    <w:p>
      <w:pPr>
        <w:spacing w:after="160" w:before="0"/>
      </w:pPr>
    </w:p>
    <w:p>
      <w:pPr>
        <w:spacing w:after="100"/>
      </w:pPr>
      <w:r>
        <w:t xml:space="preserve">La proyección reinvierte el 22 % del NOPAT. Con el ROIC del último ejercicio (6,1 %), eso financia un crecimiento del 1,4 % anual, frente al 2,0 % de ingresos proyectado. Supone que el capital nuevo rinde un 10,5 %, frente a un ROIC incremental histórico del 16,4 %.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+6,5 % (producción subyacente +7 % y ventas de gas +17 % en el 9M26) y precio +18 % (Brent de 94 USD en el 9M26 y de 110-117 USD en octubre frente a 69 de media en 2025) [3,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(Baleine 3, Congo LNG, Searah), precio −4 % (Brent medio de ≈96 USD en la curva) y otros −7,5 %: Plenitude deja de consolidarse [3,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y precio −14 %: Brent medio de ≈81 USD (futuro de diciembre de 2028: 78,8 USD) y SERM de 6-8 USD/b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con los proyectos aprobados; precio estable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el ritmo del plan; precio constante.</w:t>
            </w:r>
          </w:p>
        </w:tc>
      </w:tr>
    </w:tbl>
    <w:p>
      <w:pPr>
        <w:spacing w:after="160" w:before="0"/>
      </w:pPr>
    </w:p>
    <w:p>
      <w:pPr>
        <w:spacing w:after="100"/>
      </w:pPr>
      <w:r>
        <w:t xml:space="preserve">La proyección apenas crece (−1,2 % de media en 2027-2033; +1,5-2,5 % en los años de volumen): tras el pico de 2026 las ventas bajan dos años y luego suben por volumen, que es lo que da la cartera de proyectos aprobados (Baleine, Congo LNG, Argentina, Searah) y la guía de producción [3]. Se financia con un capex por encima de la amortización, ya en el plan, sin pedir subidas de precio: el precio de 2027-2028 es el de la curva de futuros. El motor confirma que el crecimiento es financiable con el ROIC actual. Por eso la calidad del negocio sostiene el crecimiento proyectado: Sí. Lo insostenible es el beneficio de 2026, y la proyección ya lo normaliza. El mercado final (petróleo y gas mundial) es tan grande que la prueba de cuota no aplica: mercado final en null.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-1,2 %)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7,9 %)</w:t>
            </w:r>
          </w:p>
        </w:tc>
      </w:tr>
    </w:tbl>
    <w:p>
      <w:pPr>
        <w:spacing w:after="160" w:before="0"/>
      </w:pPr>
    </w:p>
    <w:p>
      <w:pPr>
        <w:spacing w:after="100"/>
      </w:pPr>
      <w:r>
        <w:t xml:space="preserve">El DCF da 26,15 EUR por acción, un 5,4 % por debajo del precio de 27,65 EUR, con un WACC del 7,93 % y un valor terminal que pesa el 62 %. El DCF inverso dice que el precio descuenta un crecimiento del −0,2 % anual en los años no fijos frente al −1,2 % del caso base: el mercado da por hecho algo más de Brent alto que la curva de futuros, pero poco. La rentabilidad implícita en el precio es del 7,5 %, algo por debajo del WACC. Frente al 15-oct (20,65 EUR) el DCF sube 5,5 EUR: el puente a 30-sep aporta 4,0 (deuda neta de 11.271 a 6.702 M y participadas de 19.170 a 25.791 M con Plenitude a 6.800 M) y los supuestos operativos 1,4 (sobre todo un impuesto del 46 % frente al 48-50 %, con el 42,7 % real del 9M26). Ojo: un tercio del valor (≈9 EUR por acción) son participadas a valor contable.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Ormuz se normaliza del todo en 2027, la OPEP+ recupera cuota y el Brent vuelve a 60-65 USD como en 2025; el refino cae a 4-5 USD/b y el gas europeo se abarata con la ola de GNL. Margen 3 puntos por debajo del base y crecimiento 2 puntos menor cada año (BPA 2028e de 1,60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se normaliza poco a poco, como dice la curva de futuros: Brent medio de ≈96 USD en 2027 y ≈81 en 2028, refino a 6-8 USD/b, producción +3-4 % al año. Beneficio ajustado de 2028e de unos 6.300 M después de híbridos (BPA 2028e de 2,25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crisis deja un suelo de precios más alto: Brent de 85-90 USD sostenido, gas europeo caro y refino por encima de 9 USD/b. Margen 2 puntos por encima del base y crecimiento 2 puntos mayor (BPA 2028e de 2,77 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EUR) · precio actual 27,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26,01 EUR (-5,9 %).</w:t>
      </w:r>
    </w:p>
    <w:p>
      <w:pPr>
        <w:spacing w:after="100"/>
      </w:pPr>
      <w:r>
        <w:t xml:space="preserve">La asimetría es mala: el alcista del DCF da 36,39 EUR (+31,6 %) y el bajista 15,36 EUR (−44,4 %), con un valor ponderado de 26,01 EUR, por debajo del precio. El bajista es verosímil, no cosmético: es lo que pasó tras los picos de 2008, 2014 y 2022 (el beneficio ajustado cayó de 13.301 M en 2022 a 4.989 M en 2025) [1]. No compensa.</w:t>
      </w:r>
    </w:p>
    <w:p>
      <w:pPr>
        <w:pStyle w:val="Heading1"/>
      </w:pPr>
      <w:r>
        <w:t xml:space="preserve">22. Suma de partes</w:t>
      </w:r>
    </w:p>
    <w:p>
      <w:pPr>
        <w:pStyle w:val="Confianza"/>
        <w:spacing w:after="100"/>
      </w:pPr>
      <w:r>
        <w:t xml:space="preserve">Confianza: Media</w:t>
      </w:r>
    </w:p>
    <w:p>
      <w:pPr>
        <w:spacing w:after="100"/>
      </w:pPr>
      <w:r>
        <w:t xml:space="preserve">No aplica: el valor de las participadas (Plenitude, Searah, Vår Energi, Azule) ya entra en el puente a valor contable, y el de Enilive a través de los minoritarios de KKR.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EUR) · precio actual 27,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26,09 EUR (-5,6 % sobre 27,65).</w:t>
      </w:r>
    </w:p>
    <w:p>
      <w:pPr>
        <w:spacing w:after="100"/>
      </w:pPr>
      <w:r>
        <w:t xml:space="preserve">Pesos: DCF 60 % y escenarios 40 %; comparables, transacciones y suma de partes a 0. El DCF es el método más fiable porque normaliza el precio del crudo con la curva de futuros; los comparables (PER de 7,97 veces) miden beneficios del pico de 2026-2027 y darían ≈21,8 EUR con nuestro BPA de 2027e. El valor intrínseco es de 26,09 EUR (−5,6 %). Las participadas van al valor contable (25.791 M, ≈9 EUR por acción, con Plenitude a 6.800 M) y los híbridos como deuda (5.990 M), junto a la aportación de los inversores de infraestructuras (1.753 M) y la recompra hecha después del balance (240 M).</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(10.1x) ÷ 1.1 (tope: la mediana de 5 años, 8.3x,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bl>
    <w:p>
      <w:pPr>
        <w:spacing w:after="160" w:before="0"/>
      </w:pPr>
    </w:p>
    <w:p>
      <w:pPr>
        <w:spacing w:after="100"/>
      </w:pPr>
      <w:r>
        <w:rPr>
          <w:b/>
          <w:bCs/>
        </w:rPr>
        <w:t xml:space="preserve">Objetivo a 12 meses (ponderado):</w:t>
      </w:r>
      <w:r>
        <w:t xml:space="preserve"> 19,09 EUR · rentabilidad -27,0 % (base -21,2 %) · señal Vender.</w:t>
      </w:r>
    </w:p>
    <w:p>
      <w:pPr>
        <w:spacing w:after="100"/>
      </w:pPr>
      <w:r>
        <w:t xml:space="preserve">Para comparar, con la regla v2 (historia al cierre, mismo precio): 6,2x / 9,2x / 10,5x, -23,3 % Vender. Decide la v3 con tope ×1,1, elegida por el selector de método (historia adelantada de 3 años: decide la más baja de v3 y v2 (v3); METODO-VIGENTE.md).</w:t>
      </w:r>
    </w:p>
    <w:p>
      <w:pPr>
        <w:keepNext/>
        <w:spacing w:after="100"/>
      </w:pPr>
      <w:r>
        <w:rPr>
          <w:b/>
          <w:bCs/>
        </w:rPr>
        <w:t xml:space="preserve">Frente al consenso (solo contraste).</w:t>
      </w:r>
    </w:p>
    <w:p>
      <w:pPr>
        <w:spacing w:after="100"/>
      </w:pPr>
      <w:r>
        <w:t xml:space="preserve">Nuestro BPA de 2027e (2,73 EUR) coincide con el consenso (2,70, S&amp;P Global del 24-oct, ya con el 3T26) [23]; el de 2028e (2,25) queda un 8 % por debajo del consenso (2,44), pero ese dato es de MarketScreener y no está actualizado [24]. La diferencia de 2028 sale del precio (proyectamos con la curva de futuros, 79-81 USD, y un refino de 6-8 USD/b) y de los híbridos (restamos su cupón, ≈270 M, que el consenso no resta: ≈0,10 EUR). Nuestro objetivo base (20,70 EUR) queda un 23 % por debajo del objetivo medio de los analistas (26,99): la distancia no está en el beneficio sino en el múltiplo (los analistas pagan ≈11 veces 2028e; la historia de Eni, 8,3).</w:t>
      </w:r>
    </w:p>
    <w:p>
      <w:pPr>
        <w:keepNext/>
        <w:spacing w:after="100"/>
      </w:pPr>
      <w:r>
        <w:rPr>
          <w:b/>
          <w:bCs/>
        </w:rPr>
        <w:t xml:space="preserve">Del valor intrínseco al objetivo a 12 meses.</w:t>
      </w:r>
    </w:p>
    <w:p>
      <w:pPr>
        <w:spacing w:after="100"/>
      </w:pPr>
      <w:r>
        <w:t xml:space="preserve">El objetivo a 12 meses (19,09 EUR ponderado; 20,70 EUR en el base, con 9,2 veces nuestro BPA de 2028e) queda por debajo del valor intrínseco (26,09 EUR). La distancia es de múltiplo: el DCF con un WACC del 7,9 % equivale a 11,6 veces el BPA de 2028e, y el mercado no ha pagado eso por Eni con el BPA del año siguiente salvo en 2018 (mediana de 8,3 veces; 10,1 hoy). El PER base de 9,2 veces está a mitad de camino entre el actual (10,1) y la mediana (8,3). El crecimiento del BPA desde el último real se mide mal con el BPA NIIF de 2025 (0,78, con 3.334 M de partidas): en base ajustada fue de 1,57 EUR y el base de 2028e supone un 12,7 % anual, con el Brent aún por encima del de 2025. Lo que cerraría la distancia: un Brent de diciembre de 2028 por encima de 85 USD o un mercado dispuesto a pagar 11-12 veces de forma duradera.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23-nov / 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tramo del dividendo ordinario (0,27 EUR) y dividendo extraordinario (0,46 EUR, pago el 9-dic)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0,73 EUR por acción (2,6 % del precio) en dos semanas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una participación en Libia a XRG (ADNOC)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menos riesgo país; sin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plan estratégico 2027-2030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2027 con un Brent de presupuesto más bajo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 Ormuz y de la oferta del Golfo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hacia la curva de futuros (86,7 USD dic-27; 78,8 dic-28)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Arranques: Baleine 3, Congo LNG, Searah (Kutei), Argentina LNG, Junín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+3-5 %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Brent a 65-75 USD cuando se normalice Ormuz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−45 % sobre el precio (bajista del DCF: 15,36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bajo y contratos de reparto que recuperan costes en barriles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Futuro del Brent de diciembre de 2027 por debajo de 75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y química vuelven a pérdidas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plantas de Versalis y paso a biorrefino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SERM por debajo de 6 USD/b</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en Libia, Egipto, Nigeria, Congo y Venezuela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≈40 países; posible venta de parte de Libia a XRG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Interrupciones de producción o impagos de Egipto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extraordinarios o topes de precio en Italia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grueso del beneficio se genera fuera de Italia; la ley de presupuestos de 2027 grava a bancos y aseguradoras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Enmienda a la ley de presupuestos o prórroga del tope de carburantes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y beneficio ajustado optimista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los recoge vía capex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identificadas &gt; 3.000 M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Interferencia del Estado accionista (dividendos, inversiones en Italia, nombramientos)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minoritaria y cotización en Nueva York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política de retribución impuesto por el Gobierno</w:t>
            </w:r>
          </w:p>
        </w:tc>
      </w:tr>
    </w:tbl>
    <w:p>
      <w:pPr>
        <w:spacing w:after="160" w:before="0"/>
      </w:pPr>
    </w:p>
    <w:p>
      <w:pPr>
        <w:pStyle w:val="Heading2"/>
      </w:pPr>
      <w:r>
        <w:t xml:space="preserve">Pre-mortem</w:t>
      </w:r>
    </w:p>
    <w:p>
      <w:pPr>
        <w:spacing w:after="100"/>
      </w:pPr>
      <w:r>
        <w:t xml:space="preserve">Octubre de 2029: la acción ha perdido un 40 % desde 27,65 EUR. Lo más probable: el acuerdo con Irán se consolidó en 2027, la OPEP+ devolvió los barriles recortados y la ola de GNL de Catar y EE. UU. hundió el gas europeo. El Brent volvió a 60-65 USD en 2028, como en 2025. El beneficio ajustado de Eni cayó de casi 9.000 M en 2026 a unos 4.500 M, la recompra volvió a la mínima (la política la liga al precio) y el mercado volvió a pagar 7-8 veces el beneficio, su mediana. La señal que lo habría anticipado: el futuro del Brent de diciembre de 2027 por debajo de 80 USD y el SERM por debajo de 9 USD/b dos trimestres seguidos.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w:t>
      </w:r>
    </w:p>
    <w:p>
      <w:pPr>
        <w:spacing w:after="100"/>
      </w:pPr>
      <w:r>
        <w:t xml:space="preserve">La IA no sustituye lo que vende Eni (crudo, gas, carburantes y, vía Plenitude, electricidad) y aumenta la demanda de electricidad y gas para centros de datos, que favorece a GGP y a sus ciclos combinados en Italia. En costes, Eni usa su superordenador HPC6 para la sísmica y la simulación de yacimientos, lo que acorta el tiempo entre descubrimiento y producción [1]. Riesgo bajo: lo único expuesto es la atención al cliente minorista de Plenitude, que ya es una participada. Señal a vigilar: contratos de suministro de gas o electricidad a centros de datos en Italia.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Tres asuntos mueven las cifras: (1) las emisiones y el coste del CO₂ en las refinerías y la química italianas (el consejero delegado pidió en octubre pausar el comercio de derechos de la UE); (2) la transición, que puede dejar reservas sin valor y que justifica Plenitude y Enilive; (3) la seguridad y los derechos humanos en países de riesgo (Libia, Nigeria, Congo y ahora Venezuela con Junín 5) [1, 3].</w:t>
      </w:r>
    </w:p>
    <w:p>
      <w:pPr>
        <w:pStyle w:val="Heading2"/>
      </w:pPr>
      <w:r>
        <w:t xml:space="preserve">Controversias</w:t>
      </w:r>
    </w:p>
    <w:p>
      <w:pPr>
        <w:spacing w:after="100"/>
      </w:pPr>
      <w:r>
        <w:t xml:space="preserve">Demanda climática de Greenpeace y ReCommon ante el tribunal civil de Roma (mayo de 2023), pendiente [1]. Casos de corrupción internacional cerrados en Italia (Nigeria OPL 245, absolución en 2021). Sin sanciones relevantes en 2024-2026 localizadas.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Brent y qué margen de refino se presupuesta la recompra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(3.800 M en 2026) es la mitad del atractivo y depende del escenario.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Libia se vendería a XRG y a qué valor por barril?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Libia es de los mayores países de producción; cambia riesgo y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Plenitude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dividendos recibirá Eni de Plenitude como participada y cuándo saldrá a bolsa?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65 % vale 6.800 M en libros, sin flujo de caja visible.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partidas identificadas superan 2.000 M casi todos los años si no son recurrentes?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ajustado sobrestima el de largo plazo.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Venezuela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inversión exige Junín 5 y cómo se cobra?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país alto y antecedentes de impagos.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Química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 Versalis de perder dinero sin la ayuda de un refino excepcional?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Refino y química perdieron 689 M de EBIT en 2025 [7].</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tesis opuestas en diez días: una mantiene el «comprar» por la retribución y los satélites (14-oct) y otra, tras los resultados, explica por qué el autor vendió en 2026 y no recompra a estos precios (24-oct). En agosto, la conversación giró sobre un posible impuesto italiano a los beneficios extraordinarios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y casi todo alcista: celebra el beneficio del 3T26 por encima del consenso y los máximos de 52 semanas; ningún mensaje bajista con argumentos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Italia (artículo de previsión)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 el foco en el dividendo extraordinario, la recompra (más de la mitad ejecutada a 9-oct) y el Brent por encima de 100 USD; recuerda que la subida del año (+52 % al 8-oct) ya descuenta mucho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(noticias y reacción)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Atribuye la subida a la sorpresa en beneficio, el dividendo extraordinario y la recompra; cita como contrapesos el tope de precios de los carburantes en Italia hasta fin de año y la posible venta de parte de Libia a XRG (ADNOC)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extraordinario y recompra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0,46 EUR de dividendo extraordinario (1,7 % del precio) y recompra de 3.800 M (≈4,8 % de la capitalización). Pero es la política de devolver el exceso de caja por encima de 90 USD de Brent: depende del precio y se reduce cuando el Brent vuelva a la curva de futuros [30,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por encima de 100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curva de futuros pone el Brent en 78,8 USD a finales de 2028; el informe proyecta con ella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italiano a los beneficios extraordinarios y tope de precios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es real pero, por ahora, acotado: el tope de los carburantes es temporal (hasta fin de año) y el informe recoge en riesgos lo aprobado y lo que se discute en la ley de presupuestos, comprobado en prensa económica y no en los foros [28,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el +80 %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a 27,65 EUR la acción cotiza en el objetivo medio de los analistas (26,99 EUR) [28].</w:t>
            </w:r>
          </w:p>
        </w:tc>
      </w:tr>
    </w:tbl>
    <w:p>
      <w:pPr>
        <w:spacing w:after="160" w:before="0"/>
      </w:pPr>
    </w:p>
    <w:p>
      <w:pPr>
        <w:spacing w:after="100"/>
      </w:pPr>
      <w:r>
        <w:t xml:space="preserve">El tono es positivo y gira alrededor del dividendo extraordinario, la recompra y el Brent por encima de 100 USD [29, 30, 31]; la única voz crítica con argumentos (Seeking Alpha, 24-oct) es la del inversor que vendió y no recompra a estos precios por la valoración [28], que coincide con este informe. El sentimiento no aporta un riesgo que el informe no recoja: refuerza que el precio descuenta el escenario de hoy. El dividendo extraordinario (0,46 EUR) es el 1,7 % del precio y no cambia el valor.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30 controles correctos y 13 explicados. Fuentes: 37 (16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52,5 %: explica la causa (créditos fiscales, regularizaciones, mezcla de países) y no lo proyectes en el DCF. Explicación: Petrolera con contratos de reparto de producción: el tipo efectivo ajustado de Eni sobre el beneficio sin participadas fue del 49,8 % en 2025 y del 42,7 % en el 9M26, y el publicado es mayor porque los deterioros no son deducibles [1, 3]. El DCF proyecta un 44-46 % sobre el EBIT; no se proyecta el 52-57 %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57,4 %: explica la causa (créditos fiscales, regularizaciones, mezcla de países) y no lo proyectes en el DCF. Explicación: Petrolera con contratos de reparto de producción: el tipo efectivo ajustado de Eni sobre el beneficio sin participadas fue del 49,8 % en 2025 y del 42,7 % en el 9M26, y el publicado es mayor porque los deterioros no son deducibles [1, 3]. El DCF proyecta un 44-46 % sobre el EBIT; no se proyecta el 52-57 %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52,3 %: explica la causa (créditos fiscales, regularizaciones, mezcla de países) y no lo proyectes en el DCF. Explicación: Petrolera con contratos de reparto de producción: el tipo efectivo ajustado de Eni sobre el beneficio sin participadas fue del 49,8 % en 2025 y del 42,7 % en el 9M26, y el publicado es mayor porque los deterioros no son deducibles [1, 3]. El DCF proyecta un 44-46 % sobre el EBIT; no se proyecta el 52-57 %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1.658 (¿asociadas o extraordinarios?). Explicación: La diferencia es el resultado de participadas y otras inversiones (1.587 M en 2025, 1.850 M en 2024, 2.444 M en 2023 y 5.464 M en 2022, con las participadas en el pico de precios; en 2020, deterioros de participadas), que Eni presenta debajo del resultado financiero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868 (¿asociadas o extraordinarios?). Explicación: La diferencia es el resultado de participadas y otras inversiones (1.587 M en 2025, 1.850 M en 2024, 2.444 M en 2023 y 5.464 M en 2022, con las participadas en el pico de precios; en 2020, deterioros de participadas), que Eni presenta debajo del resultado financiero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-5.464 (¿asociadas o extraordinarios?). Explicación: La diferencia es el resultado de participadas y otras inversiones (1.587 M en 2025, 1.850 M en 2024, 2.444 M en 2023 y 5.464 M en 2022, con las participadas en el pico de precios; en 2020, deterioros de participadas), que Eni presenta debajo del resultado financiero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-2.444 (¿asociadas o extraordinarios?). Explicación: La diferencia es el resultado de participadas y otras inversiones (1.587 M en 2025, 1.850 M en 2024, 2.444 M en 2023 y 5.464 M en 2022, con las participadas en el pico de precios; en 2020, deterioros de participadas), que Eni presenta debajo del resultado financiero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-1.850 (¿asociadas o extraordinarios?). Explicación: La diferencia es el resultado de participadas y otras inversiones (1.587 M en 2025, 1.850 M en 2024, 2.444 M en 2023 y 5.464 M en 2022, con las participadas en el pico de precios; en 2020, deterioros de participadas), que Eni presenta debajo del resultado financiero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-1.587 (¿asociadas o extraordinarios?). Explicación: La diferencia es el resultado de participadas y otras inversiones (1.587 M en 2025, 1.850 M en 2024, 2.444 M en 2023 y 5.464 M en 2022, con las participadas en el pico de precios; en 2020, deterioros de participadas), que Eni presenta debajo del resultado financiero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0,84 calculado frente a 0,78 publicado (con convertibles, el BPA diluido publicado ajusta el numerador: explícalo si la diferencia viene de ahí). Explicación: El BPA publicado resta la remuneración de los bonos híbridos perpetuos (≈240 M en 2025) y usa las acciones diluidas por el bono convertible ligado a sostenibilidad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0 frente a ingresos 82.151 (-100,0 %). Si hay eliminaciones entre segmentos, explícalo. Explicación: Eni publica por segmento el EBIT ajustado proforma, no las ventas (las ventas entre segmentos son grandes y el documento pro forma no las da): los segmentos llevan el resultado y no suman ingresos [7].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10,5 % frente a un ROIC de 6,1 % y un incremental histórico de 16,4 %: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0,5 % frente a -3,3 % real: genera una variación de circulante de 3.193 M en el primer año. Converge de forma gradual. Explicación: El circulante real ya no es el −3,3 % de diciembre de 2025: en septiembre de 2026 está en ≈+0,5 % de las ventas porque las existencias y los clientes subieron con el precio (1.400 M de consumo en el 9M26) [3]. Se proyecta ese nivel real constante. El motor cobra la variación desde diciembre en el tramo de 2026e, pero solo la fracción del año que queda (0,18): ≈575 M, ≈0,20 EUR por acción, ya incluidos en la deuda neta de septiembre. Se deja como colchón conservador.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(2,25) supone un 42,4 % anual desde 0,78 (2025): explícalo en valoracion.objetivo_12m.comentario o la confianza es baja. Explicación: El BPA de partida de 2025 es el NIIF (0,78, con 3.334 M de partidas); en la misma base que la proyección (ajustado menos híbridos) fue de 1,57 EUR, y el base de 2028e (2,25) supone un 12,7 % anual, por el Brent aún de 79-81 USD en 2028, más producción y menos acciones.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3T26 (Plenitude a un valor de empresa de 13.100 M, sin EBITDA comparable; Baleine y Kutei sin precio); 2) 20-F 2025, combinaciones de negocios (sin múltiplos de EBITDA); 3) prensa de la posible venta de Libia a XRG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eni.com, «Managers' transactions» 2026 (sin acceso a los formularios en el tiempo del análisis); 2) Consob, internal dealing (sin resultados para 2026); 3) 20-F 2025, Item 6 (solo posiciones a final de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(sin tamaño del mercado en dinero); 2) estadística de la AIE (en volumen, no en EUR); 3) cálculo propio: no aporta (cuota &lt; 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segmentos por país (no localizada en el texto descargado); 2) comunicado del 3T26 (sin desglose); 3) ESEF (sin etiqueta de ingresos por país)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Eni for 2025 (no descargado); 2) MSCI y Sustainalytics (de pago); 3) eni.com «Rating ESG» (sin fecha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on Form 20-F 2025 (cuentas consolidadas auditadas, resultados ajustados 2023-2025, BPA y acciones, bonos híbridos,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https://www.sec.gov/Archives/edgar/data/1002242/000155485526000390/e-20251231.htm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ESEF (XBRL) 2020-2025: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 S.p.A.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results for the third quarter and nine months of 2026 (comunicado completo con cuenta, balance a 30-sep-2026, flujos, deuda neta y partidas especiales)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https://www.eni.com/content/dam/enicom/documents/press-release/migrated/2026-en/10/PR-2026-third-quarter-results.pdf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2022 (resultados ajustados 2020-2022 y acciones medias)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https://www.sec.gov/Archives/edgar/data/1002242/000155485523000224/e-20221231.htm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2020 (resultados ajustados 2018-2020 y acciones medias)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https://www.sec.gov/Archives/edgar/data/1002242/000110465921046015/tm215953-3_20f.htm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report on the purchase of treasury shares during the period from 12 to 16 October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https://www.sec.gov/Archives/edgar/data/1002242/000117494726000921/form6k-36435_eni.htm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proforma adjusted results 2025 and nine months 2026 (por trimestre y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https://www.eni.com/content/dam/enicom/documents/eng/reports/2026/group-proforma-adjusted-results-2025-and-nine-months-2026.pdf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3Q 2026 results: presentación a analistas (escenario de la guía, Plenitude,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https://www.eni.com/content/dam/enicom/documents/eng/investor/presentations/2026/2026-third-quarter-results/2026-third-quarter-results.pdf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3Q 2026 Results: transcripción de la conferencia (intervención del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https://www.eni.com/content/dam/enicom/documents/eng/investor/presentations/2026/2026-third-quarter-results/2026-third-quarter-results-Transcript.pdf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Consolidated Report as of June 30, 2026 (6-K): resultados del 1S26 y plusvalía de Searah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https://www.sec.gov/Archives/edgar/data/1002242/000110465926091832/tm2622039d1_6k.htm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 Eni, attesa per utile record, dividendi e buyback (consenso del 3T26: beneficio neto ajustado de 2.480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https://forbes.it/2026/10/21/conti-eni-utile-record-attesa-dividendi-buyback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BofA incrementa target price in vista della trimestrale (consenso del 3T26: beneficio neto ajustado de 2.600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 /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https://www.borsaitaliana.it/borsa/notizie/teleborsa/finanza/eni-bofa-incrementa-target-price-in-vista-delle-trimestrale-111_2026-10-16_TLB.html?lang=it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S&amp;P Global alza outlook a stabile e conferma rating A-/A-2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https://www.teleborsa.it/News/2026/10/01/eni-s-p-global-alza-outlook-a-stabile-e-conferma-rating-a-a-2-175.html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del Brent (BZ=F 116,72 USD el 23-oct y 109,76 el 26-oct; BZZ27 86,74; BZZ28 78,79), TTF (93,85 EUR/MWh) y EUR/USD 1,122,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ICE / NYMEX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https://finance.yahoo.com/quote/BZ%3DF/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TotalEnergies, Shell, BP, Equinor, Repsol y OMV (ventas, margen operativo y EBITDA de los últimos doce meses, ROIC),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https://stockanalysis.com/quote/epa/TTE/statistics/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Consiglio conferma Claudio Descalzi Amministratore Delegato e nomina i Comitati consiliari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https://www.eni.com/it-IT/media/comunicati-stampa/2026/05/cs-cda-nomina-claudio-descalzi-ad-componenti-comitati-consiliari-2026.html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Ordinary and Extraordinary Shareholders' Meeting 2026 (consejo nombrado, listas y requisitos de independencia)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https://www.eni.com/content/dam/enicom/documents/eng/governance/shareholders-meetings/2026/resolutions-shareholders-meeting-2026.pdf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report of the votes, Shareholders'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https://www.eni.com/content/dam/enicom/documents/eng/governance/shareholders-meetings/2026/Summary-report-of-the-votes.pdf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2026 (política 2026 y retribución pagada en 2025; tabla 1 y ratio con el empleado mediano)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https://www.eni.com/content/dam/enicom/documents/eng/governance/shareholders-meetings/2026/Remuneration-Report-2026.pdf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Claudio Descalzi amministratore delegato Eni fino al 2029, via al quinto mandato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https://quifinanza.it/attualita/claudio-descalzi-amministratore-delegato-eni-quinto-mandato/992534/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2025 (comités, sistema de control, operaciones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https://www.eni.com/content/dam/enicom/documents/eng/governance/shareholders-meetings/2026/Corporate-Governance-Report-2025.pdf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ENI.MI, FTSE MIB y STOXX Europe 600 Oil &amp; Gas (EXH1.DE)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https://finance.yahoo.com/quote/ENI.MI/history/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(BIT: ENI): previsiones de 22 analistas (S&amp;P Global), precio objetivo y recomendaciones, actualizado el 24-oct-2026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https://stockanalysis.com/quote/bit/ENI/forecast/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previsiones financieras 2026-2028 (EBITDA, EBIT, dividendo; sin actualizar tras los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https://www.marketscreener.com/quote/stock/ENI-S-P-A-413403/finances/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23-oct-2026: 3,36 %)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Board of Directors resolves on the second tranche of the 2026 dividend (0,27 EUR; ex-dividendo el 23-nov-2026)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https://www.eni.com/en-IT/media/press-release/2026/10/eni-board-directors.html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(E): artículos y noticias en Seeking Alpha (RSS), ago-oct 2026: «I Sold Out In Early/Mid-2026 And Why I Won't Buy Back Here (Downgrade)» (24-oct), «Upside In Shareholders' Return And Satellite Strategy Keep The Buy Case Intact» (14-oct), «Eni's Windfall Tax Scare Explained» (31-ago)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$E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Eni, previsioni e dividendo straordinario 2026: il CdA decide il 22 ottobre, conti il 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https://rankia.it/azioni-eni-previsioni/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 News Today: Why did ENI stock go up today? (resumen de noticias y reacción tras los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https://www.marketbeat.com/stocks/NYSE/E/news/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(Europe), enero de 2026: Oil/Gas (Integrated), beta sin deuda corregida por caja y serie 2021-2026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ENI.MI (movimiento.mjs sobre Yahoo Finance, sesión del 26-oct en curso): 1, 3, 6 y 12 meses, máximos, medias de 50 y 200 sesiones, volatilidad; cierres diarios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https://finance.yahoo.com/quote/ENI.MI/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ADNOC's XRG in talks to buy stake in Eni's Libya business (Reuters, vía el flujo de noticias de Seeking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https://seekingalpha.com/symbol/E/news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benzina: anticipo d'imposta a carico di Eni ed Enel per finanziare il taglio delle accise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https://www.open.online/2026/08/27/giorgia-meloni-decreto-benzina-anticipo-eni-enel/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Manovra 2027, vertice di maggioranza: gli accordi (contributo di banche e assicurazioni)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https://quifinanza.it/economia/manovra-2027-vertice-maggioranza-accordi/1020274/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(E) earnings report 3Q26: BPA frente al consenso y reacción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https://www.marketbeat.com/earnings/reports/2026-10-24-eni-spa-stock/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83,2 %</w:t>
      </w:r>
      <w:r>
        <w:t xml:space="preserve"> · Secciones con menos del 60 % de campos cubiertos: </w:t>
      </w:r>
      <w:r>
        <w:rPr>
          <w:b/>
          <w:bCs/>
        </w:rPr>
        <w:t xml:space="preserve">transacciones</w:t>
      </w:r>
      <w:r>
        <w:t xml:space="preserve"> · Generado el 26 oct 2026.</w:t>
      </w:r>
    </w:p>
    <w:p>
      <w:pPr>
        <w:pStyle w:val="Nota"/>
        <w:spacing w:after="100"/>
      </w:pPr>
      <w:r>
        <w:t xml:space="preserve">Línea cotizada: Euronext Milan (ENI.MI, EUR); el ADR (E, NYSE) representa dos acciones. Precio: cierre del 23-oct-2026 (27,65 EUR); la sesión del 26-oct no había cerrado al hacer el análisis (26,9 EUR en sesión). Cuentas 2020-2025 del XBRL ESEF comprobadas con los 20-F; EBITDA normalizado = el ajustado de la empresa sin participadas. Las participadas (Vår Energi, Azule, Searah, Plenitude desde el 30-sep, ADNOC R&amp;GT, Saipem) no están en el EBITDA y van en el puente a su valor contable de septiembre de 2026. El DCF usa Plenitude consolidada nueve meses en 2026e y fuera desde 2027e. Consenso de BPA de Stock Analysis/S&amp;P Global (24-oct, ya con el 3T26); EBITDA, EBIT, dividendo y todo 2028e de MarketScreener, sin actualizar tras los resultados. Trimestres de 2026 del documento pro forma. Sin transacciones con múltiplo ni operaciones de directivos; la conferencia publicada no incluye el turno de preguntas.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Eni S.p.A. (ENI.MI)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(15,55 – 27,76)</c:v>
                </c:pt>
                <c:pt idx="1">
                  <c:v>Precio objetivo de los analistas (21,80 – 32,00)</c:v>
                </c:pt>
                <c:pt idx="2">
                  <c:v>Comparables: PER NTM (19,35 – 24,45)</c:v>
                </c:pt>
                <c:pt idx="3">
                  <c:v>DCF (WACC y g ± 0,5) (23,51 – 29,67)</c:v>
                </c:pt>
                <c:pt idx="4">
                  <c:v>Escenarios (bajista – alcista) (15,36 – 36,39)</c:v>
                </c:pt>
                <c:pt idx="5">
                  <c:v>DCF con la prima implícita del mercado (4,2 %)</c:v>
                </c:pt>
                <c:pt idx="6">
                  <c:v>Precio actual (27,65)</c:v>
                </c:pt>
              </c:strCache>
            </c:strRef>
          </c:cat>
          <c:val>
            <c:numRef>
              <c:f>Hoja1!$B$2:$B$8</c:f>
              <c:numCache>
                <c:formatCode>#,##0.0</c:formatCode>
                <c:ptCount val="7"/>
                <c:pt idx="0">
                  <c:v>15.55</c:v>
                </c:pt>
                <c:pt idx="1">
                  <c:v>21.8</c:v>
                </c:pt>
                <c:pt idx="2">
                  <c:v>19.35</c:v>
                </c:pt>
                <c:pt idx="3">
                  <c:v>23.51</c:v>
                </c:pt>
                <c:pt idx="4">
                  <c:v>15.36</c:v>
                </c:pt>
                <c:pt idx="5">
                  <c:v>27.66</c:v>
                </c:pt>
                <c:pt idx="6">
                  <c:v>27.51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(15,55 – 27,76)</c:v>
                </c:pt>
                <c:pt idx="1">
                  <c:v>Precio objetivo de los analistas (21,80 – 32,00)</c:v>
                </c:pt>
                <c:pt idx="2">
                  <c:v>Comparables: PER NTM (19,35 – 24,45)</c:v>
                </c:pt>
                <c:pt idx="3">
                  <c:v>DCF (WACC y g ± 0,5) (23,51 – 29,67)</c:v>
                </c:pt>
                <c:pt idx="4">
                  <c:v>Escenarios (bajista – alcista) (15,36 – 36,39)</c:v>
                </c:pt>
                <c:pt idx="5">
                  <c:v>DCF con la prima implícita del mercado (4,2 %)</c:v>
                </c:pt>
                <c:pt idx="6">
                  <c:v>Precio actual (27,65)</c:v>
                </c:pt>
              </c:strCache>
            </c:strRef>
          </c:cat>
          <c:val>
            <c:numRef>
              <c:f>Hoja1!$C$2:$C$8</c:f>
              <c:numCache>
                <c:formatCode>#,##0.0</c:formatCode>
                <c:ptCount val="7"/>
                <c:pt idx="0">
                  <c:v>12.21</c:v>
                </c:pt>
                <c:pt idx="1">
                  <c:v>10.2</c:v>
                </c:pt>
                <c:pt idx="2">
                  <c:v>5.099999999999998</c:v>
                </c:pt>
                <c:pt idx="3">
                  <c:v>6.16</c:v>
                </c:pt>
                <c:pt idx="4">
                  <c:v>21.03</c:v>
                </c:pt>
                <c:pt idx="5">
                  <c:v>4.809999999999999</c:v>
                </c:pt>
                <c:pt idx="6">
                  <c:v>0.2799999999999976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Eni</c:v>
                </c:pt>
                <c:pt idx="1">
                  <c:v>TotalEnergies</c:v>
                </c:pt>
                <c:pt idx="2">
                  <c:v>Shell</c:v>
                </c:pt>
                <c:pt idx="3">
                  <c:v>BP</c:v>
                </c:pt>
                <c:pt idx="4">
                  <c:v>Equinor</c:v>
                </c:pt>
                <c:pt idx="5">
                  <c:v>Repsol</c:v>
                </c:pt>
                <c:pt idx="6">
                  <c:v>OMV</c:v>
                </c:pt>
              </c:strCache>
            </c:strRef>
          </c:cat>
          <c:val>
            <c:numRef>
              <c:f>Hoja1!$B$2:$B$8</c:f>
              <c:numCache>
                <c:formatCode>0.0"%"</c:formatCode>
                <c:ptCount val="7"/>
                <c:pt idx="0">
                  <c:v>10.2</c:v>
                </c:pt>
                <c:pt idx="1">
                  <c:v>13.6</c:v>
                </c:pt>
                <c:pt idx="2">
                  <c:v>13.3</c:v>
                </c:pt>
                <c:pt idx="3">
                  <c:v>10.8</c:v>
                </c:pt>
                <c:pt idx="4">
                  <c:v>28.6</c:v>
                </c:pt>
                <c:pt idx="5">
                  <c:v>11.2</c:v>
                </c:pt>
                <c:pt idx="6">
                  <c:v>15.7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43987</c:v>
                </c:pt>
                <c:pt idx="1">
                  <c:v>76575</c:v>
                </c:pt>
                <c:pt idx="2">
                  <c:v>132512</c:v>
                </c:pt>
                <c:pt idx="3">
                  <c:v>93717</c:v>
                </c:pt>
                <c:pt idx="4">
                  <c:v>88797</c:v>
                </c:pt>
                <c:pt idx="5">
                  <c:v>82151</c:v>
                </c:pt>
                <c:pt idx="6">
                  <c:v>102278</c:v>
                </c:pt>
                <c:pt idx="7">
                  <c:v>94607</c:v>
                </c:pt>
                <c:pt idx="8">
                  <c:v>84200</c:v>
                </c:pt>
                <c:pt idx="9">
                  <c:v>86305</c:v>
                </c:pt>
                <c:pt idx="10">
                  <c:v>88463</c:v>
                </c:pt>
                <c:pt idx="11">
                  <c:v>90232</c:v>
                </c:pt>
                <c:pt idx="12">
                  <c:v>91586</c:v>
                </c:pt>
                <c:pt idx="13">
                  <c:v>92960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9202</c:v>
                </c:pt>
                <c:pt idx="1">
                  <c:v>16727</c:v>
                </c:pt>
                <c:pt idx="2">
                  <c:v>27591</c:v>
                </c:pt>
                <c:pt idx="3">
                  <c:v>21284</c:v>
                </c:pt>
                <c:pt idx="4">
                  <c:v>17948</c:v>
                </c:pt>
                <c:pt idx="5">
                  <c:v>15693</c:v>
                </c:pt>
                <c:pt idx="6">
                  <c:v>19842</c:v>
                </c:pt>
                <c:pt idx="7">
                  <c:v>19394</c:v>
                </c:pt>
                <c:pt idx="8">
                  <c:v>16840</c:v>
                </c:pt>
                <c:pt idx="9">
                  <c:v>17261</c:v>
                </c:pt>
                <c:pt idx="10">
                  <c:v>17693</c:v>
                </c:pt>
                <c:pt idx="11">
                  <c:v>18046</c:v>
                </c:pt>
                <c:pt idx="12">
                  <c:v>18317</c:v>
                </c:pt>
                <c:pt idx="13">
                  <c:v>18592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20.9</c:v>
                </c:pt>
                <c:pt idx="1">
                  <c:v>21.8</c:v>
                </c:pt>
                <c:pt idx="2">
                  <c:v>20.8</c:v>
                </c:pt>
                <c:pt idx="3">
                  <c:v>22.7</c:v>
                </c:pt>
                <c:pt idx="4">
                  <c:v>20.2</c:v>
                </c:pt>
                <c:pt idx="5">
                  <c:v>19.1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4.3</c:v>
                </c:pt>
                <c:pt idx="1">
                  <c:v>12.6</c:v>
                </c:pt>
                <c:pt idx="2">
                  <c:v>15.4</c:v>
                </c:pt>
                <c:pt idx="3">
                  <c:v>14.7</c:v>
                </c:pt>
                <c:pt idx="4">
                  <c:v>11.7</c:v>
                </c:pt>
                <c:pt idx="5">
                  <c:v>10.2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-19.6</c:v>
                </c:pt>
                <c:pt idx="1">
                  <c:v>7.6</c:v>
                </c:pt>
                <c:pt idx="2">
                  <c:v>10.5</c:v>
                </c:pt>
                <c:pt idx="3">
                  <c:v>5.1</c:v>
                </c:pt>
                <c:pt idx="4">
                  <c:v>3</c:v>
                </c:pt>
                <c:pt idx="5">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1S25</c:v>
                </c:pt>
                <c:pt idx="1">
                  <c:v>3T25</c:v>
                </c:pt>
                <c:pt idx="2">
                  <c:v>4T25</c:v>
                </c:pt>
                <c:pt idx="3">
                  <c:v>1T26</c:v>
                </c:pt>
                <c:pt idx="4">
                  <c:v>2T26</c:v>
                </c:pt>
                <c:pt idx="5">
                  <c:v>3T26</c:v>
                </c:pt>
              </c:strCache>
            </c:strRef>
          </c:cat>
          <c:val>
            <c:numRef>
              <c:f>Hoja1!$B$2:$B$7</c:f>
              <c:numCache>
                <c:formatCode>0.0"%"</c:formatCode>
                <c:ptCount val="6"/>
                <c:pt idx="5">
                  <c:v>38.9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91</c:v>
                </c:pt>
                <c:pt idx="1">
                  <c:v>90</c:v>
                </c:pt>
                <c:pt idx="2">
                  <c:v>57</c:v>
                </c:pt>
                <c:pt idx="3">
                  <c:v>64</c:v>
                </c:pt>
                <c:pt idx="4">
                  <c:v>69</c:v>
                </c:pt>
                <c:pt idx="5">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41</c:v>
                </c:pt>
                <c:pt idx="1">
                  <c:v>37</c:v>
                </c:pt>
                <c:pt idx="2">
                  <c:v>27</c:v>
                </c:pt>
                <c:pt idx="3">
                  <c:v>31</c:v>
                </c:pt>
                <c:pt idx="4">
                  <c:v>32</c:v>
                </c:pt>
                <c:pt idx="5">
                  <c:v>28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136</c:v>
                </c:pt>
                <c:pt idx="1">
                  <c:v>132</c:v>
                </c:pt>
                <c:pt idx="2">
                  <c:v>89</c:v>
                </c:pt>
                <c:pt idx="3">
                  <c:v>104</c:v>
                </c:pt>
                <c:pt idx="4">
                  <c:v>114</c:v>
                </c:pt>
                <c:pt idx="5">
                  <c:v>111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-691</c:v>
                </c:pt>
                <c:pt idx="1">
                  <c:v>6688</c:v>
                </c:pt>
                <c:pt idx="2">
                  <c:v>8410</c:v>
                </c:pt>
                <c:pt idx="3">
                  <c:v>4941</c:v>
                </c:pt>
                <c:pt idx="4">
                  <c:v>3402</c:v>
                </c:pt>
                <c:pt idx="5">
                  <c:v>2851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-8635</c:v>
                </c:pt>
                <c:pt idx="1">
                  <c:v>5821</c:v>
                </c:pt>
                <c:pt idx="2">
                  <c:v>13887</c:v>
                </c:pt>
                <c:pt idx="3">
                  <c:v>4771</c:v>
                </c:pt>
                <c:pt idx="4">
                  <c:v>2624</c:v>
                </c:pt>
                <c:pt idx="5">
                  <c:v>2608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2.4</c:v>
                </c:pt>
                <c:pt idx="1">
                  <c:v>9</c:v>
                </c:pt>
                <c:pt idx="2">
                  <c:v>17.6</c:v>
                </c:pt>
                <c:pt idx="3">
                  <c:v>10.7</c:v>
                </c:pt>
                <c:pt idx="4">
                  <c:v>7.7</c:v>
                </c:pt>
                <c:pt idx="5">
                  <c:v>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7.9</c:v>
                </c:pt>
                <c:pt idx="1">
                  <c:v>7.9</c:v>
                </c:pt>
                <c:pt idx="2">
                  <c:v>7.9</c:v>
                </c:pt>
                <c:pt idx="3">
                  <c:v>7.9</c:v>
                </c:pt>
                <c:pt idx="4">
                  <c:v>7.9</c:v>
                </c:pt>
                <c:pt idx="5">
                  <c:v>7.9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-23.1</c:v>
                </c:pt>
                <c:pt idx="1">
                  <c:v>14.2</c:v>
                </c:pt>
                <c:pt idx="2">
                  <c:v>28</c:v>
                </c:pt>
                <c:pt idx="3">
                  <c:v>8.8</c:v>
                </c:pt>
                <c:pt idx="4">
                  <c:v>5</c:v>
                </c:pt>
                <c:pt idx="5">
                  <c:v>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2.42</c:v>
                </c:pt>
                <c:pt idx="1">
                  <c:v>1.49</c:v>
                </c:pt>
                <c:pt idx="2">
                  <c:v>0.79</c:v>
                </c:pt>
                <c:pt idx="3">
                  <c:v>1.12</c:v>
                </c:pt>
                <c:pt idx="4">
                  <c:v>1.6</c:v>
                </c:pt>
                <c:pt idx="5">
                  <c:v>1.66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109</c:v>
                </c:pt>
                <c:pt idx="1">
                  <c:v>1901</c:v>
                </c:pt>
                <c:pt idx="2">
                  <c:v>1636</c:v>
                </c:pt>
                <c:pt idx="3">
                  <c:v>1277</c:v>
                </c:pt>
                <c:pt idx="4">
                  <c:v>1795</c:v>
                </c:pt>
                <c:pt idx="5">
                  <c:v>196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1965</c:v>
                </c:pt>
                <c:pt idx="1">
                  <c:v>2358</c:v>
                </c:pt>
                <c:pt idx="2">
                  <c:v>3009</c:v>
                </c:pt>
                <c:pt idx="3">
                  <c:v>3046</c:v>
                </c:pt>
                <c:pt idx="4">
                  <c:v>3068</c:v>
                </c:pt>
                <c:pt idx="5">
                  <c:v>3080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400</c:v>
                </c:pt>
                <c:pt idx="2">
                  <c:v>2400</c:v>
                </c:pt>
                <c:pt idx="3">
                  <c:v>1803</c:v>
                </c:pt>
                <c:pt idx="4">
                  <c:v>2012</c:v>
                </c:pt>
                <c:pt idx="5">
                  <c:v>1896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5</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Cassa Depositi e Prestiti (82,77 % del Ministerio de Economía)</c:v>
                </c:pt>
                <c:pt idx="1">
                  <c:v>Ministerio de Economía y Finanzas</c:v>
                </c:pt>
                <c:pt idx="2">
                  <c:v>BlackRock</c:v>
                </c:pt>
                <c:pt idx="3">
                  <c:v>Romano Minozzi y sociedades</c:v>
                </c:pt>
                <c:pt idx="4">
                  <c:v>Autocartera</c:v>
                </c:pt>
              </c:strCache>
            </c:strRef>
          </c:cat>
          <c:val>
            <c:numRef>
              <c:f>Hoja1!$B$2:$B$6</c:f>
              <c:numCache>
                <c:formatCode>0.0"%"</c:formatCode>
                <c:ptCount val="5"/>
                <c:pt idx="0">
                  <c:v>30.92</c:v>
                </c:pt>
                <c:pt idx="1">
                  <c:v>2.17</c:v>
                </c:pt>
                <c:pt idx="2">
                  <c:v>4.98</c:v>
                </c:pt>
                <c:pt idx="3">
                  <c:v>3.27</c:v>
                </c:pt>
                <c:pt idx="4">
                  <c:v>5.68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19.2</c:v>
                </c:pt>
                <c:pt idx="1">
                  <c:v>-5.5</c:v>
                </c:pt>
                <c:pt idx="2">
                  <c:v>4.8</c:v>
                </c:pt>
                <c:pt idx="3">
                  <c:v>6.7</c:v>
                </c:pt>
                <c:pt idx="4">
                  <c:v>-33.9</c:v>
                </c:pt>
                <c:pt idx="5">
                  <c:v>52.4</c:v>
                </c:pt>
                <c:pt idx="6">
                  <c:v>16.2</c:v>
                </c:pt>
                <c:pt idx="7">
                  <c:v>23.4</c:v>
                </c:pt>
                <c:pt idx="8">
                  <c:v>-8.7</c:v>
                </c:pt>
                <c:pt idx="9">
                  <c:v>32.3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13.6</c:v>
                </c:pt>
                <c:pt idx="2">
                  <c:v>-16.1</c:v>
                </c:pt>
                <c:pt idx="3">
                  <c:v>28.3</c:v>
                </c:pt>
                <c:pt idx="4">
                  <c:v>-5.4</c:v>
                </c:pt>
                <c:pt idx="5">
                  <c:v>23</c:v>
                </c:pt>
                <c:pt idx="6">
                  <c:v>-13.3</c:v>
                </c:pt>
                <c:pt idx="7">
                  <c:v>28</c:v>
                </c:pt>
                <c:pt idx="8">
                  <c:v>12.6</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5.8</c:v>
                </c:pt>
                <c:pt idx="1">
                  <c:v>4.1</c:v>
                </c:pt>
                <c:pt idx="2">
                  <c:v>2.5</c:v>
                </c:pt>
                <c:pt idx="3">
                  <c:v>3.5</c:v>
                </c:pt>
                <c:pt idx="4">
                  <c:v>4.1</c:v>
                </c:pt>
                <c:pt idx="5">
                  <c:v>5.1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4.1</c:v>
                </c:pt>
                <c:pt idx="1">
                  <c:v>4.1</c:v>
                </c:pt>
                <c:pt idx="2">
                  <c:v>4.1</c:v>
                </c:pt>
                <c:pt idx="3">
                  <c:v>4.1</c:v>
                </c:pt>
                <c:pt idx="4">
                  <c:v>4.1</c:v>
                </c:pt>
                <c:pt idx="5">
                  <c:v>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Eni</c:v>
                </c:pt>
                <c:pt idx="1">
                  <c:v>TotalEnergies</c:v>
                </c:pt>
                <c:pt idx="2">
                  <c:v>Shell</c:v>
                </c:pt>
                <c:pt idx="3">
                  <c:v>BP</c:v>
                </c:pt>
                <c:pt idx="4">
                  <c:v>Equinor</c:v>
                </c:pt>
                <c:pt idx="5">
                  <c:v>Repsol</c:v>
                </c:pt>
                <c:pt idx="6">
                  <c:v>OMV</c:v>
                </c:pt>
              </c:strCache>
            </c:strRef>
          </c:cat>
          <c:val>
            <c:numRef>
              <c:f>Hoja1!$B$2:$B$8</c:f>
              <c:numCache>
                <c:formatCode>0.0"x"</c:formatCode>
                <c:ptCount val="7"/>
                <c:pt idx="0">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3082</c:v>
                </c:pt>
                <c:pt idx="1">
                  <c:v>6126</c:v>
                </c:pt>
                <c:pt idx="2">
                  <c:v>4634</c:v>
                </c:pt>
                <c:pt idx="3">
                  <c:v>4686</c:v>
                </c:pt>
                <c:pt idx="4">
                  <c:v>4803</c:v>
                </c:pt>
                <c:pt idx="5">
                  <c:v>4992</c:v>
                </c:pt>
                <c:pt idx="6">
                  <c:v>5252</c:v>
                </c:pt>
                <c:pt idx="7">
                  <c:v>5331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27980</c:v>
                </c:pt>
                <c:pt idx="1">
                  <c:v>44955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27,65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15.36</c:v>
                </c:pt>
                <c:pt idx="1">
                  <c:v>26.15</c:v>
                </c:pt>
                <c:pt idx="2">
                  <c:v>36.39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(15,55 – 27,76)</c:v>
                </c:pt>
                <c:pt idx="1">
                  <c:v>Precio objetivo de los analistas (21,80 – 32,00)</c:v>
                </c:pt>
                <c:pt idx="2">
                  <c:v>Comparables: PER NTM (19,35 – 24,45)</c:v>
                </c:pt>
                <c:pt idx="3">
                  <c:v>DCF (WACC y g ± 0,5) (23,51 – 29,67)</c:v>
                </c:pt>
                <c:pt idx="4">
                  <c:v>Escenarios (bajista – alcista) (15,36 – 36,39)</c:v>
                </c:pt>
                <c:pt idx="5">
                  <c:v>DCF con la prima implícita del mercado (4,2 %)</c:v>
                </c:pt>
                <c:pt idx="6">
                  <c:v>Precio actual (27,65)</c:v>
                </c:pt>
              </c:strCache>
            </c:strRef>
          </c:cat>
          <c:val>
            <c:numRef>
              <c:f>Hoja1!$B$2:$B$8</c:f>
              <c:numCache>
                <c:formatCode>#,##0.0</c:formatCode>
                <c:ptCount val="7"/>
                <c:pt idx="0">
                  <c:v>15.55</c:v>
                </c:pt>
                <c:pt idx="1">
                  <c:v>21.8</c:v>
                </c:pt>
                <c:pt idx="2">
                  <c:v>19.35</c:v>
                </c:pt>
                <c:pt idx="3">
                  <c:v>23.51</c:v>
                </c:pt>
                <c:pt idx="4">
                  <c:v>15.36</c:v>
                </c:pt>
                <c:pt idx="5">
                  <c:v>27.66</c:v>
                </c:pt>
                <c:pt idx="6">
                  <c:v>27.51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(15,55 – 27,76)</c:v>
                </c:pt>
                <c:pt idx="1">
                  <c:v>Precio objetivo de los analistas (21,80 – 32,00)</c:v>
                </c:pt>
                <c:pt idx="2">
                  <c:v>Comparables: PER NTM (19,35 – 24,45)</c:v>
                </c:pt>
                <c:pt idx="3">
                  <c:v>DCF (WACC y g ± 0,5) (23,51 – 29,67)</c:v>
                </c:pt>
                <c:pt idx="4">
                  <c:v>Escenarios (bajista – alcista) (15,36 – 36,39)</c:v>
                </c:pt>
                <c:pt idx="5">
                  <c:v>DCF con la prima implícita del mercado (4,2 %)</c:v>
                </c:pt>
                <c:pt idx="6">
                  <c:v>Precio actual (27,65)</c:v>
                </c:pt>
              </c:strCache>
            </c:strRef>
          </c:cat>
          <c:val>
            <c:numRef>
              <c:f>Hoja1!$C$2:$C$8</c:f>
              <c:numCache>
                <c:formatCode>#,##0.0</c:formatCode>
                <c:ptCount val="7"/>
                <c:pt idx="0">
                  <c:v>12.21</c:v>
                </c:pt>
                <c:pt idx="1">
                  <c:v>10.2</c:v>
                </c:pt>
                <c:pt idx="2">
                  <c:v>5.099999999999998</c:v>
                </c:pt>
                <c:pt idx="3">
                  <c:v>6.16</c:v>
                </c:pt>
                <c:pt idx="4">
                  <c:v>21.03</c:v>
                </c:pt>
                <c:pt idx="5">
                  <c:v>4.809999999999999</c:v>
                </c:pt>
                <c:pt idx="6">
                  <c:v>0.2799999999999976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