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International Consolidated Airlines Group, S.A.</w:t>
      </w:r>
    </w:p>
    <w:p>
      <w:pPr>
        <w:spacing w:after="60"/>
        <w:rPr>
          <w:color w:val="52514E"/>
          <w:sz w:val="22"/>
          <w:szCs w:val="22"/>
        </w:rPr>
      </w:pPr>
      <w:r>
        <w:rPr>
          <w:color w:val="52514E"/>
          <w:sz w:val="22"/>
          <w:szCs w:val="22"/>
        </w:rPr>
        <w:t xml:space="preserve">IAG · Bolsa de Londres (LSE, segmento principal) y bolsas españolas (Mercado Continuo) · ISIN ES0177542018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4,89 EUR (412,20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4,69 EUR (395,45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-2,1 % (base +1,4 %)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5,99 EUR (505,06 GBp) · mercado 7,46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21.276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International Consolidated Airlines Group,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IAG / ES0177542018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(LSE, segmento principal) y bolsas españolas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 e 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Aerolíneas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(domicilio social); oficinas en Londres · 2011 (fusión de British Airways e Iberia)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75.871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https://www.iairgroup.com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 5,72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21.276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28.065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25,8 M EUR/día en Madrid, más el volumen de Londres (precio en EUR: 412,2 peniques × 0,01186; máximo y mínimo de 52 semanas en EUR de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4,69 EUR (395,45 GBp)</w:t>
      </w:r>
      <w:r>
        <w:t xml:space="preserve"> frente a 4,89 (412,20 GBp) · Rentabilidad a 12 meses </w:t>
      </w:r>
      <w:r>
        <w:rPr>
          <w:b/>
          <w:bCs/>
        </w:rPr>
        <w:t xml:space="preserve">-2,1 % (base +1,4 %)</w:t>
      </w:r>
      <w:r>
        <w:t xml:space="preserve"> · Valor intrínseco 5,99 EUR (505,06 GBp) · con la prima implícita del mercado: 7,46 (629,01 GBp) (+52,6 %) · Alcista / bajista +51,8 % / -40,5 %</w:t>
      </w:r>
    </w:p>
    <w:p>
      <w:pPr>
        <w:spacing w:after="100"/>
      </w:pPr>
      <w:r>
        <w:rPr>
          <w:b/>
        </w:rPr>
        <w:t xml:space="preserve">La recomendación y por qué.</w:t>
      </w:r>
      <w:r>
        <w:t xml:space="preserve"> Mantener, con convicción media. El objetivo a 12 meses es de 4,69 EUR (395 peniques): nuestro BPA de 2028e × el PER de la regla común, ponderado 25/50/25. Eso es un −2,1 % de rentabilidad ponderada con el dividendo y un +1,4 % en el caso base, frente a un precio de 4,89 EUR (412,2 peniques, cierre de Londres del 19-oct-2026). El valor intrínseco (5,99 EUR) está un 22,5 % por encima del precio. IAG es barata a largo plazo, pero su historia dice que el mercado no le paga más de 6-7 veces el beneficio siguiente, y el bajista de una aerolínea es muy profundo [3, 12]. La convicción es media porque las dos reglas de valoración coinciden en Mantener y el precio está lejos de los umbrales (4,16 y 5,32 EUR), pero el resultado depende del queroseno y de la guerra de Irán, que nadie puede prever; la subiría una guía de 2027 con capacidad y margen dentro del objetivo, y la bajaría un ingreso unitario negativo o un Brent de 2027 por encima de 100 USD.</w:t>
      </w:r>
    </w:p>
    <w:p>
      <w:pPr>
        <w:spacing w:after="100"/>
      </w:pPr>
      <w:r>
        <w:rPr>
          <w:b/>
        </w:rPr>
        <w:t xml:space="preserve">El negocio.</w:t>
      </w:r>
      <w:r>
        <w:t xml:space="preserve"> Grupo de British Airways, Iberia, Vueling, Aer Lingus y LEVEL, más los Avios: 33.213 M de ingresos y un margen operativo del 15,1 % en 2025, el mejor de las grandes europeas [2]. Sus ventajas son los slots de Heathrow y Madrid, la empresa conjunta transatlántica con American y Loyalty. El ROIC del motor (27,4 %) supera al WACC (8,3 %) en 19 puntos. La calidad sostiene el crecimiento que proyectamos (3,2 % al año; veredicto «Sí»), pero el ROIC es de pico de ciclo: en 2021 fue del −18 %.</w:t>
      </w:r>
    </w:p>
    <w:p>
      <w:pPr>
        <w:spacing w:after="100"/>
      </w:pPr>
      <w:r>
        <w:rPr>
          <w:b/>
        </w:rPr>
        <w:t xml:space="preserve">Finanzas.</w:t>
      </w:r>
      <w:r>
        <w:t xml:space="preserve"> El BPA ajustado pasó de 5,6 céntimos en 2022 a 69,5 en 2025. En 2026 baja (0,65 EUR estimado) por el queroseno: combustible de 8.300-8.600 M frente a 7.083 M en 2025 [3]. La deuda neta es de 4.692 M (0,6 veces el EBITDA), la liquidez de 11.873 M y el rating BBB/Baa2. El flujo libre se reparte con dividendos (0,098 EUR por 2025) y recompras (≈ 1.500-2.000 M en 2026) [6, 7].</w:t>
      </w:r>
    </w:p>
    <w:p>
      <w:pPr>
        <w:spacing w:after="100"/>
      </w:pPr>
      <w:r>
        <w:rPr>
          <w:b/>
        </w:rPr>
        <w:t xml:space="preserve">Equipo y gobierno.</w:t>
      </w:r>
      <w:r>
        <w:t xml:space="preserve"> Luis Gallego, consejero delegado desde 2020, sacó a IAG de la COVID y la llevó a márgenes récord; director financiero nuevo desde junio de 2026. Presidente independiente (Javier Ferrán) y Qatar Airways con el 25 % y dos consejeros [1]. Debilidad: ventas de directivos en 2026 sin compras [16].</w:t>
      </w:r>
    </w:p>
    <w:p>
      <w:pPr>
        <w:spacing w:after="100"/>
      </w:pPr>
      <w:r>
        <w:rPr>
          <w:b/>
        </w:rPr>
        <w:t xml:space="preserve">Valoración.</w:t>
      </w:r>
      <w:r>
        <w:t xml:space="preserve"> El DCF da 5,99 EUR (+22,5 %) con un WACC del 8,3 % y margen de ciclo medio; el DCF inverso descuenta solo un 1,5 % de crecimiento. La regla a 12 meses lleva el PER de 6,7 a 6,1 veces (tope de ÷1,1 hacia la mediana adelantada de 4,2) y el bajista a 2,8 veces sobre un BPA de 0,595 [24]. Los analistas esperan 535 peniques (+30 %), con el BPA de 2027 recortado un 7,5 % en tres meses [17].</w:t>
      </w:r>
    </w:p>
    <w:p>
      <w:pPr>
        <w:spacing w:after="100"/>
      </w:pPr>
      <w:r>
        <w:rPr>
          <w:b/>
        </w:rPr>
        <w:t xml:space="preserve">Riesgos y catalizadores.</w:t>
      </w:r>
      <w:r>
        <w:t xml:space="preserve"> Los mayores son el ciclo (márgenes de pico) y el queroseno con la guerra de Irán (Brent de 110 USD); después, la capacidad transatlántica de EE. UU. (Aer Lingus en pérdidas) y los motores de Pratt &amp; Whitney y Rolls-Royce. El riesgo de la IA es bajo (±2 %): afecta a la distribución y a la ciberseguridad, no al vuelo. Catalizadores: el tercer trimestre (6-nov-2026), las recompras y la curva del crudo [3, 13].</w:t>
      </w:r>
    </w:p>
    <w:p>
      <w:pPr>
        <w:spacing w:after="100"/>
      </w:pPr>
      <w:r>
        <w:rPr>
          <w:b/>
        </w:rPr>
        <w:t xml:space="preserve">Qué cambiaría la decisión.</w:t>
      </w:r>
      <w:r>
        <w:t xml:space="preserve"> Comprar por debajo de 4,16 EUR (≈ 351 peniques); Mantener entre 4,16 y 5,32 EUR; Vender por encima de 5,32 (≈ 449 peniques). Una guía de 2027 con capacidad del +3 % y combustible a la baja, o un precio por debajo de 351 peniques, mejorarían la recomendación. Un ingreso unitario negativo dos trimestres seguidos o un Brent estable por encima de 100 USD en 2027 la empeorarían.</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4,69 EUR (395,45 GBp)</w:t>
      </w:r>
      <w:r>
        <w:t xml:space="preserve"> (rentabilidad -2,1 % (base +1,4 %)) · Valor intrínseco: 5,99 EUR (505,06 GBp) (+22,5 % sobre 4,89) · con la prima implícita del mercado: 7,46 (629,01 GBp) (+52,6 %)</w:t>
      </w:r>
    </w:p>
    <w:p>
      <w:pPr>
        <w:spacing w:after="100"/>
      </w:pPr>
      <w:r>
        <w:t xml:space="preserve">IAG es la aerolínea europea mejor gestionada: margen del 15 % en 2025 frente al 5-8 % de Lufthansa y Air France-KLM, slots de Heathrow y Madrid, el Atlántico Norte con American y un negocio de puntos (Avios) de poco capital. Ha pasado de la quiebra técnica de 2020 a 0,6 veces de deuda neta y devuelve ≈ 8-9 % de su capitalización al año. Pero es una aerolínea: el queroseno de la guerra de Irán, la capacidad de EE. UU. y los motores ya restan margen en 2026, y el mercado nunca le ha pagado múltiplo de empresa estable.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EUR (395,45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 × 0,59 = 1,67 · 6,1x × 0,80 = 4,86 · 8,2x × 0,90 = 7,36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(nuestro base -23,5 %)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EUR (505,06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0,0119 EUR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EUR (412,20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 / -40,5 %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 EUR (629,01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(3,1 % anual proyectado; financiable al ROIC actual: 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4,16 (350,76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4,16 y 5,32 (350,76 y 448,57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5,32 (448,57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4,16 EUR (≈ 351 peniques): Comprar (ponderada ≥ 15 %, base ≥ 12 % y valor intrínseco por encima).</w:t>
      </w:r>
    </w:p>
    <w:p>
      <w:pPr>
        <w:pStyle w:val="ListParagraph"/>
        <w:numPr>
          <w:ilvl w:val="0"/>
          <w:numId w:val="2"/>
        </w:numPr>
        <w:spacing w:after="60"/>
      </w:pPr>
      <w:r>
        <w:t xml:space="preserve">Precio entre 4,16 y 5,32 EUR: Mantener.</w:t>
      </w:r>
    </w:p>
    <w:p>
      <w:pPr>
        <w:pStyle w:val="ListParagraph"/>
        <w:numPr>
          <w:ilvl w:val="0"/>
          <w:numId w:val="2"/>
        </w:numPr>
        <w:spacing w:after="60"/>
      </w:pPr>
      <w:r>
        <w:t xml:space="preserve">Precio por encima de 5,32 EUR (≈ 449 peniques): Vender.</w:t>
      </w:r>
    </w:p>
    <w:p>
      <w:pPr>
        <w:pStyle w:val="ListParagraph"/>
        <w:numPr>
          <w:ilvl w:val="0"/>
          <w:numId w:val="2"/>
        </w:numPr>
        <w:spacing w:after="60"/>
      </w:pPr>
      <w:r>
        <w:t xml:space="preserve">Guía de 2027 (febrero) con capacidad +3 % y margen del 13-15 %: revisar al alza el BPA.</w:t>
      </w:r>
    </w:p>
    <w:p>
      <w:pPr>
        <w:pStyle w:val="ListParagraph"/>
        <w:numPr>
          <w:ilvl w:val="0"/>
          <w:numId w:val="2"/>
        </w:numPr>
        <w:spacing w:after="60"/>
      </w:pPr>
      <w:r>
        <w:t xml:space="preserve">Ingreso unitario negativo dos trimestres o Brent de 2027 por encima de 100 USD: rebajar el BPA y acercarse al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queroseno caro es temporal, que el BPA vuelve a crecer en 2027 (0,72-0,76 EUR) y que la acción vale 535 peniques (+30 %) con 13 de 15 analistas en comprar.</w:t>
      </w:r>
    </w:p>
    <w:p>
      <w:pPr>
        <w:keepNext/>
        <w:spacing w:after="100"/>
      </w:pPr>
      <w:r>
        <w:rPr>
          <w:b/>
          <w:bCs/>
        </w:rPr>
        <w:t xml:space="preserve">Lo que creemos nosotros.</w:t>
      </w:r>
    </w:p>
    <w:p>
      <w:pPr>
        <w:spacing w:after="100"/>
      </w:pPr>
      <w:r>
        <w:t xml:space="preserve">Coincidimos en el BPA de 2027, pero no en el múltiplo: a 6,7 veces el beneficio siguiente IAG ya cotiza en la parte alta de su historia adelantada (2,8-7,3 veces). El valor está a largo plazo, no en el próximo año.</w:t>
      </w:r>
    </w:p>
    <w:p>
      <w:pPr>
        <w:keepNext/>
        <w:spacing w:after="100"/>
      </w:pPr>
      <w:r>
        <w:rPr>
          <w:b/>
          <w:bCs/>
        </w:rPr>
        <w:t xml:space="preserve">Por qué podemos tener razón.</w:t>
      </w:r>
    </w:p>
    <w:p>
      <w:pPr>
        <w:spacing w:after="100"/>
      </w:pPr>
      <w:r>
        <w:t xml:space="preserve">El beneficio de una aerolínea en pico se descuenta con un múltiplo bajo porque el mercado sabe que no dura: en 2022-2023 IAG cotizaba a 3 veces el beneficio siguiente. Con el bajista tan profundo, la regla común no da compra salvo con un precio claramente menor.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La mejor de Europa</w:t>
      </w:r>
      <w:r>
        <w:t xml:space="preserve">: margen operativo del 15,1 % en 2025, el doble que Lufthansa y Air France-KLM.</w:t>
      </w:r>
    </w:p>
    <w:p>
      <w:pPr>
        <w:pStyle w:val="ListParagraph"/>
        <w:numPr>
          <w:ilvl w:val="0"/>
          <w:numId w:val="2"/>
        </w:numPr>
        <w:spacing w:after="60"/>
      </w:pPr>
      <w:r>
        <w:rPr>
          <w:b/>
        </w:rPr>
        <w:t xml:space="preserve">Balance sano</w:t>
      </w:r>
      <w:r>
        <w:t xml:space="preserve">: deuda neta de 0,6 veces el EBITDA, 11.873 M de liquidez, grado de inversión.</w:t>
      </w:r>
    </w:p>
    <w:p>
      <w:pPr>
        <w:pStyle w:val="ListParagraph"/>
        <w:numPr>
          <w:ilvl w:val="0"/>
          <w:numId w:val="2"/>
        </w:numPr>
        <w:spacing w:after="60"/>
      </w:pPr>
      <w:r>
        <w:rPr>
          <w:b/>
        </w:rPr>
        <w:t xml:space="preserve">Devuelve caja</w:t>
      </w:r>
      <w:r>
        <w:t xml:space="preserve">: ≈ 1.500-2.000 M al año entre dividendos y recompras (8-9 % de la capitalización).</w:t>
      </w:r>
    </w:p>
    <w:p>
      <w:pPr>
        <w:pStyle w:val="ListParagraph"/>
        <w:numPr>
          <w:ilvl w:val="0"/>
          <w:numId w:val="2"/>
        </w:numPr>
        <w:spacing w:after="60"/>
      </w:pPr>
      <w:r>
        <w:rPr>
          <w:b/>
        </w:rPr>
        <w:t xml:space="preserve">Activos escasos</w:t>
      </w:r>
      <w:r>
        <w:t xml:space="preserve">: slots de Heathrow y Madrid, empresa conjunta transatlántica, Avios.</w:t>
      </w:r>
    </w:p>
    <w:p>
      <w:pPr>
        <w:pStyle w:val="ListParagraph"/>
        <w:numPr>
          <w:ilvl w:val="0"/>
          <w:numId w:val="2"/>
        </w:numPr>
        <w:spacing w:after="60"/>
      </w:pPr>
      <w:r>
        <w:rPr>
          <w:b/>
        </w:rPr>
        <w:t xml:space="preserve">Valor intrínseco</w:t>
      </w:r>
      <w:r>
        <w:t xml:space="preserve"> de 5,99 EUR, un 22,5 % por encima del precio.</w:t>
      </w:r>
    </w:p>
    <w:p>
      <w:pPr>
        <w:pStyle w:val="Heading2"/>
      </w:pPr>
      <w:r>
        <w:t xml:space="preserve">En contra</w:t>
      </w:r>
    </w:p>
    <w:p>
      <w:pPr>
        <w:pStyle w:val="ListParagraph"/>
        <w:numPr>
          <w:ilvl w:val="0"/>
          <w:numId w:val="2"/>
        </w:numPr>
        <w:spacing w:after="60"/>
      </w:pPr>
      <w:r>
        <w:rPr>
          <w:b/>
        </w:rPr>
        <w:t xml:space="preserve">Márgenes de pico</w:t>
      </w:r>
      <w:r>
        <w:t xml:space="preserve">: el ROIC de 27 % de 2025 fue de −18 % en 2021; el bajista vale −40 % (−66 % a 12 meses).</w:t>
      </w:r>
    </w:p>
    <w:p>
      <w:pPr>
        <w:pStyle w:val="ListParagraph"/>
        <w:numPr>
          <w:ilvl w:val="0"/>
          <w:numId w:val="2"/>
        </w:numPr>
        <w:spacing w:after="60"/>
      </w:pPr>
      <w:r>
        <w:rPr>
          <w:b/>
        </w:rPr>
        <w:t xml:space="preserve">Queroseno de guerra</w:t>
      </w:r>
      <w:r>
        <w:t xml:space="preserve">: Brent de 110 USD; combustible +1.300 M en 2026.</w:t>
      </w:r>
    </w:p>
    <w:p>
      <w:pPr>
        <w:pStyle w:val="ListParagraph"/>
        <w:numPr>
          <w:ilvl w:val="0"/>
          <w:numId w:val="2"/>
        </w:numPr>
        <w:spacing w:after="60"/>
      </w:pPr>
      <w:r>
        <w:rPr>
          <w:b/>
        </w:rPr>
        <w:t xml:space="preserve">Atlántico Norte</w:t>
      </w:r>
      <w:r>
        <w:t xml:space="preserve">: las de EE. UU. crecen en Irlanda y el sur de Europa; Aer Lingus pierde dinero.</w:t>
      </w:r>
    </w:p>
    <w:p>
      <w:pPr>
        <w:pStyle w:val="ListParagraph"/>
        <w:numPr>
          <w:ilvl w:val="0"/>
          <w:numId w:val="2"/>
        </w:numPr>
        <w:spacing w:after="60"/>
      </w:pPr>
      <w:r>
        <w:rPr>
          <w:b/>
        </w:rPr>
        <w:t xml:space="preserve">Motores</w:t>
      </w:r>
      <w:r>
        <w:t xml:space="preserve">: Pratt &amp; Whitney y Rolls-Royce dejan aviones en tierra; capacidad plana en 2026.</w:t>
      </w:r>
    </w:p>
    <w:p>
      <w:pPr>
        <w:pStyle w:val="ListParagraph"/>
        <w:numPr>
          <w:ilvl w:val="0"/>
          <w:numId w:val="2"/>
        </w:numPr>
        <w:spacing w:after="60"/>
      </w:pPr>
      <w:r>
        <w:rPr>
          <w:b/>
        </w:rPr>
        <w:t xml:space="preserve">Consenso a la baja</w:t>
      </w:r>
      <w:r>
        <w:t xml:space="preserve">: BPA de 2027 −7,5 % en 90 días.</w:t>
      </w:r>
    </w:p>
    <w:p>
      <w:pPr>
        <w:pStyle w:val="Heading2"/>
      </w:pPr>
      <w:r>
        <w:t xml:space="preserve">Qué tiene que pasar para que la tesis funcione</w:t>
      </w:r>
    </w:p>
    <w:p>
      <w:pPr>
        <w:spacing w:after="100"/>
      </w:pPr>
      <w:r>
        <w:t xml:space="preserve">La tesis depende de que el margen EBIT se mantenga en el 12-15 % mientras el queroseno baja y vuelven los aviones parados, y de que IAG siga devolviendo la caja sobrante. La señal en contra sería un ingreso unitario de pasaje negativo dos trimestres seguidos, una guía de 2027 con margen por debajo del 12 % o un Brent de 2027 por encima de 95-100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extraordinarios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(1S26); 15,1 %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y 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unitario de pasaje (PRASK)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combustible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8.300-8.600 M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 Irán y Ormuz.</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Motores y entregas.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para devolver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 / 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IAG nace en enero de 2011 de la fusión de British Airways (privatizada en 1987) e Iberia (privatizada en 2001), con sede social en Madrid y cotización en Londres y Madrid. Compró bmi (2012) para crecer en Heathrow, Vueling (2013) y Aer Lingus (2015), y creó LEVEL (2017) e IAG Loyalty (Avios). Qatar Airways entró en 2015 y tiene ≈ 25 %. La COVID la obligó a una ampliación de capital de 2.740 M en 2020 y a pérdidas de 6.935 M y 2.933 M en 2020-2021. Desde 2023 recupera márgenes récord, y en 2024 abandonó la compra de Air Europa por las exigencias de Bruselas. Desde 2025 devuelve la caja sobrante con dividendos y recompras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British Airways e Iberia: nace IAG.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bmi (slots de Heathrow) y de Vueling.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Aer Lingus (1.360 M); entra Qatar Airways.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 ampliación de 2.740 M; Luis Gallego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la compra de Air Europa; margen operativo del 13,8 %.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EBIT de 5.024 M (15,1 %) y 1.700 M devueltos a los accionistas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de Irán: combustible de 8.300-8.600 M; capacidad plana por los motores; tres recompras de 500 M [3,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IAG es el grupo dueño de British Airways, Iberia, Vueling, Aer Lingus y LEVEL, y del programa de puntos Avios (IAG Loyalty). Con 627 aviones y ≈ 76.000 empleados, transporta ≈ 125 millones de pasajeros al año desde Londres, Madrid, Barcelona y Dublín; ingresó 33.213 M de euros en 2025 [A].</w:t>
      </w:r>
    </w:p>
    <w:p>
      <w:pPr>
        <w:pStyle w:val="Heading2"/>
      </w:pPr>
      <w:r>
        <w:t xml:space="preserve">Cómo gana dinero</w:t>
      </w:r>
    </w:p>
    <w:p>
      <w:pPr>
        <w:spacing w:after="100"/>
      </w:pPr>
      <w:r>
        <w:t xml:space="preserve">Vende billetes (85 % de los ingresos), carga (4 %) y puntos Avios y vacaciones (≈ 8 %). Gana sobre todo en largo radio (Atlántico Norte con American y Latinoamérica con Iberia), con clientes premium y de conexión en sus hubs. Los billetes se cobran antes de volar: el negocio se financia con los anticipos de los clientes.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British Airways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 Lingus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 Loyalty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(LEVEL, IAG Cargo, centro)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British Airways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 Lingus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 Loyalty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(LEVEL, IAG Cargo, centro)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ingresos por lugar de venta del billete, 2025 [1]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Millones de pasajeros particulares y empresas; ninguna concentración. American Express y otros bancos compran Avios a IAG Loyalty con contratos plurianuales. ≈ 31 % de la capacidad está en el Atlántico Norte, donde BA, Iberia y Aer Lingus comparten ingresos con American Airlines en una empresa conjunta (≈ 49 % de cuota con socios) [2,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(millones de asientos-kilómetro)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351.435 (2025, +4,4 %)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1S26 −0,1 %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plana (≈ +3 % al empezar el año): motores en revisión y Oriente Medio cerrado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unitario de pasaje (PRASK)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+2,4 % (+6,2 % a cambio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repercute parte del queroseno; débil en el Atlántico Norte en clase turista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unitario sin combustible (céntimos por AKO)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plana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combustible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7.083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8.300-8.600 M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Cubierto ≈ 70 % del 2S26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antes de extraordinarios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 frente al 1S25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del 12-15 %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del 13-16 %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transporte aéreo de pasajeros desde y hacia Europa occidental (Reino Unido, España, Irlanda), con tres negocios distintos: el largo radio de red (Atlántico Norte y Latinoamérica, ≈ 60 % del resultado de IAG), el corto radio europeo frente a las de bajo coste (Ryanair, easyJet, Wizz) y la fidelización (Avios). IAG compite por rutas y aeropuertos, no por un mercado único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 capacidad mundial ronda los 10 billones de asientos-kilómetro; IAG ofrece ≈ 351.000 millones (2025), ≈ 3,5 % del mundo. En el Atlántico Norte, la empresa conjunta de IAG con American Airlines tiene ≈ 49 % de cuota con socios [1,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Pico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Oligopolio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asientos-kilómetro ofrecidos por IAG)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queroseno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EE. UU. con Irán desde el 28-feb-2026 y cierres de Ormuz: Brent de 109,7 USD el 19-oct-2026 (86 en julio, 83-84 en agosto); el gasóleo de calefacción a 4,76 USD/galón al contado y 3,58 en dic-27. El combustible pasa de 7.083 M en 2025 a 8.300-8.600 M en 2026; IAG recupera ≈ 60 % con precio y cubre ≈ 70 % del 2S26 [3,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transatlántica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de EE. UU. crecen hacia el sur de Europa e Irlanda (Aer Lingus: +45 % de capacidad de EE. UU. en 12 meses y PRASK −3,8 % en el 1S26); el Atlántico Norte es el 30,6 % de los AKO de IAG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Disponibilidad de motores (Pratt &amp; Whitney GTF, Rolls-Royce Trent)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Inspecciones del GTF de los A320neo/A321neo dejan aviones en tierra (Vueling arrendó 9 A320ceo usados); la durabilidad de los Trent 1000 y XWB de los 787 y A350 limita la capacidad de largo radio desde 2025. IAG pasó de +3 % a 0 % de capacidad en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premium y de ocio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unitario estable o al alza con demanda de clase premium y vacacional; la clase turista en EE. UU. se debilitó desde el 3T25 [3,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Escasez de aviones nuevos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Largo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Airbus y Boeing van con años de retraso; la oferta del sector crece menos de lo que querría y sostiene los precios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 en corto radio (bajo coste) y creciente en el Atlántico Norte (Delta, United, American y Norse); limitada en los aeropuertos saturados (Heathrow).</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slots de Heathrow y Madrid, la flota y las licencias limitan la entrada; el bajo coste entra en corto radio con facilidad.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fabricantes de aviones (Airbus, Boeing), tres de motores (CFM, Pratt &amp; Whitney, Rolls-Royce), aeropuertos regulados y petroleras: todos con poder de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pasajero compara precios en segundos; la empresa y el viajero premium son menos sensibles, y los Avios atan.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 de alta velocidad en rutas cortas (Madrid-Barcelona) y videoconferencia en viajes de empresa; nada en largo radio.</w:t>
            </w:r>
          </w:p>
        </w:tc>
      </w:tr>
    </w:tbl>
    <w:p>
      <w:pPr>
        <w:spacing w:after="160" w:before="0"/>
      </w:pPr>
    </w:p>
    <w:p>
      <w:pPr>
        <w:pStyle w:val="Heading2"/>
      </w:pPr>
      <w:r>
        <w:t xml:space="preserve">Ciclo</w:t>
      </w:r>
    </w:p>
    <w:p>
      <w:pPr>
        <w:spacing w:after="100"/>
      </w:pPr>
      <w:r>
        <w:t xml:space="preserve">Los márgenes de 2024-2025 (13,8 % y 15,1 % de EBIT) son los más altos de la historia de IAG, por encima de 2015-2019 (12-14 %), con oferta escasa por la falta de aviones y motores. 2026 ya muestra el giro: queroseno de guerra, capacidad transatlántica de EE. UU. y margen del 1S26 del 10,9 %. Las aerolíneas son de las industrias más cíclicas: el beneficio de IAG se hundió en 2009 y en 2020 [1, 3, 12].</w:t>
      </w:r>
    </w:p>
    <w:p>
      <w:pPr>
        <w:pStyle w:val="Heading2"/>
      </w:pPr>
      <w:r>
        <w:t xml:space="preserve">Regulación</w:t>
      </w:r>
    </w:p>
    <w:p>
      <w:pPr>
        <w:spacing w:after="100"/>
      </w:pPr>
      <w:r>
        <w:t xml:space="preserve">Derechos de emisión europeos (EU ETS) y británicos, mandato de combustible sostenible (2 % en 2025, 6 % en 2030 en la UE y el Reino Unido), tasas aeroportuarias reguladas (Heathrow H7), impuesto de pasajeros británico (APD, 1.099 M en 2025). Propiedad y control: IAG debe seguir siendo europea y británica a la vez para conservar las licencias y los derechos de tráfico; limita el voto extranjero [1].</w:t>
      </w:r>
    </w:p>
    <w:p>
      <w:pPr>
        <w:pStyle w:val="Heading2"/>
      </w:pPr>
      <w:r>
        <w:t xml:space="preserve">Tendencias y disrupción</w:t>
      </w:r>
    </w:p>
    <w:p>
      <w:pPr>
        <w:spacing w:after="100"/>
      </w:pPr>
      <w:r>
        <w:t xml:space="preserve">Consolidación europea (Lufthansa con ITA, Air France-KLM con SAS, privatización de TAP), crecimiento de las de bajo coste en largo radio, combustible sostenible y renovación de flota (IAG tiene 71 aviones de largo radio pedidos para 2028-2033), e IA en precios, mantenimiento y atención al cliente [1, 3,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grupos de red europeos (con Lufthansa y Air France-KLM) y el más rentable: margen operativo del 15,1 % en 2025 frente al ≈ 7-8 % de Lufthansa y Air France-KLM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LHA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europeo por ingresos; menos rentable por costes laborales y huelgas; compró el 41 % de ITA.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París y Ámsterdam; balance más débil; entra en SAS.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dominante en corto radio europeo; compite con Vueling, Iberia Express y BA Euroflyer.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Gatwick y en el corto radio británico.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Delta, United y American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DAL/UAL/AAL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Delta (con Virgin Atlantic y Air France-KLM) y United (con Lufthansa) compiten en el Atlántico Norte; American es socia de IAG.</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conexión en Heathrow y Madrid, alianza oneworld y empresa conjunta transatlántica con American: más destinos y frecuencias atraen más pasajeros de conexión.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Avios y estatus de viajero frecuente; contratos con American Express y bancos.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Slots de Heathrow (≈ 50 % de los de BA) y de Madrid, escasos y valiosos; marcas.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Vueling y LEVEL son de bajo coste, pero BA e Iberia no; el combustible y los aviones cuestan lo mismo para todos.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 dominados (BA en Heathrow, Iberia en Madrid) donde un rival no puede replicar la red.</w:t>
            </w:r>
          </w:p>
        </w:tc>
      </w:tr>
    </w:tbl>
    <w:p>
      <w:pPr>
        <w:spacing w:after="160" w:before="0"/>
      </w:pPr>
    </w:p>
    <w:p>
      <w:pPr>
        <w:pStyle w:val="Heading2"/>
      </w:pPr>
      <w:r>
        <w:t xml:space="preserve">Amenazas</w:t>
      </w:r>
    </w:p>
    <w:p>
      <w:pPr>
        <w:spacing w:after="100"/>
      </w:pPr>
      <w:r>
        <w:t xml:space="preserve">Lo que más puede erosionar el resultado es la capacidad: las aerolíneas de EE. UU. abren rutas a Europa del sur e Irlanda, las de bajo coste empiezan el largo radio y la recuperación de los motores devolverá oferta al mercado en 2027-2028. Si a eso se suma un queroseno caro o una recesión, el margen vuelve hacia el 8-10 % [3,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40,8 %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8.455 M en 2021 a 33.213 M en 2025, todo orgánico (sin compras: la de Air Europa se abandonó en 2024). De 2023 a 2025 crecen un 6,2 % anual con capacidad +4-5 % y precio por asiento-kilómetro estable o al alza. El margen operativo subió de 11,9 % (2023) a 13,8 % (2024) y 15,1 % (2025): +320 puntos básicos por precio (demanda transatlántica premium y ocio), combustible más barato en 2025 (7.083 M, −6,9 %) y coste unitario sin combustible contenido. En 2026 el margen baja: primer semestre al 10,9 % antes de extraordinarios (11,8 % un año antes) por el queroseno de la guerra de Irán (+12,3 % de gasto en combustible), la capacidad plana (motores, Oriente Medio cerrado) y la competencia de las aerolíneas de EE. UU. en el Atlántico Norte e Irlanda. 2021-2022 no son comparables (COVID) [1, 2, 3, 5].</w:t>
      </w:r>
    </w:p>
    <w:p>
      <w:pPr>
        <w:pStyle w:val="Heading2"/>
      </w:pPr>
      <w:r>
        <w:t xml:space="preserve">Ajustes y partidas no recurrentes</w:t>
      </w:r>
    </w:p>
    <w:p>
      <w:pPr>
        <w:spacing w:after="100"/>
      </w:pPr>
      <w:r>
        <w:t xml:space="preserve">IAG publica resultados «antes de extraordinarios». 2021: +205 M a favor (reversión de provisiones de reestructuración); 2022: +31 M a favor; 2024: −160 M (reestructuración del handling de Iberia, ruptura con Air Europa e impuestos); 2025: ninguno; 1S26: −149 M de reestructuración de plantilla en Iberia (114) y British Airways (35), con más cargos anunciados para el 2S26 (BA y Aer Lingus). El BPA ajustado de la empresa (69,5 céntimos en 2025, 56,8 en 2024, 50,6 en 2023, 5,6 en 2022) usa el beneficio antes de extraordinarios y las acciones diluidas con la conversión del bono convertible; es la base de la historia del PER. Las reestructuraciones se repiten (2024 y 2026): no son del todo extraordinarias [1, 2, 3,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Semestre de 2025: EBIT de 1.878 M (+38 %) [11]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Ligeramente por debajo en ingresos (debilidad de la clase turista en EE. UU.); la acción cayó un 11,5 % el 7-nov-2025 [10]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antes de extraordinarios de 1.406 M frente a ≈ 1.368 M esperados (Renta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Semestral del 31-jul-2026: ingresos 16.064 M (+1,0 %), EBIT antes de extraordinarios 1.757 M (−6,4 %), margen 10,9 %; beneficio antes de extraordinarios 1.146 M; BPA ajustado 23,6 céntimos. Capacidad −0,1 %, ingreso unitario por asiento-kilómetro +2,4 % (+6,2 % a cambio constante), coste unitario sin combustible −1,3 %. Guía 2026: capacidad plana, combustible de 8.300-8.600 M, se recupera ≈ 60 % del sobrecoste del combustible; margen dentro del objetivo del 12-15 %. 2T26 con EBIT antes de extraordinarios de 1.406 M (−16,3 %). Siguiente: resultados del tercer trimestre el 6-nov-2026 [3, 4]. EBITDA trimestral = EBIT antes de extraordinarios + amortizaciones; BPA = básico publicado.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Año COVID: capacidad al ≈ 43 % de 2019; ingresos de 8.455 M frente a 25.506 M en 2019. No comparable [5].; 2022: Recuperación: capacidad al ≈ 79 % de 2019. No comparable en márgenes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11.667 M (2021, con arrendamientos) a 5.948 M en 2025 y 4.692 M en junio de 2026 (0,6 veces el EBITDA de 12 meses), porque el flujo libre (3.100 M en 2025) superó con creces a los dividendos y a las recompras. Los arrendamientos bajan (9.637 → 6.907 M) porque IAG compra más aviones con financiación propia (pasivos garantizados con aviones). El circulante es estructuralmente negativo por los ingresos diferidos de billetes y Avios (≈ 26 % de las ventas): crecer genera caja y una caída de reservas la consume. En junio la caja está inflada por la estacionalidad; el puente de valoración lo corrige [1,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368</w:t>
      </w:r>
      <w:r>
        <w:t xml:space="preserve">, conversión </w:t>
      </w:r>
      <w:r>
        <w:rPr>
          <w:b/>
          <w:bCs/>
        </w:rPr>
        <w:t xml:space="preserve">6 %</w:t>
      </w:r>
      <w:r>
        <w:t xml:space="preserve"> del beneficio neto; adquisiciones 0, dividendos 620, recompras 1.569.</w:t>
      </w:r>
    </w:p>
    <w:p>
      <w:pPr>
        <w:spacing w:after="100"/>
      </w:pPr>
      <w:r>
        <w:t xml:space="preserve">El flujo operativo ya incluye los intereses pagados (IAG los presenta dentro de operaciones). Flujo libre después de capex y del principal de los arrendamientos: −2.366 M (2021), −476 (2022), −411 (2023), 1.819 (2024) y 1.802 M (2025); la empresa da 3.100 M en 2025 con su definición (sin arrendamientos y con ventas de aviones). En el 1S26: flujo operativo de 4.196 M (incluye la entrada estacional de reservas, 1.436 M de circulante) y capex de 1.291 M. El capex sube: ≈ 3.400 M en 2026, ≈ 4.900 M al año en 2027-2028 y ≈ 5.600 M en 2029-2031 por el pedido de largo radio; además entran aviones arrendados (altas de derechos de uso de 543 M en 2025 y 988 M en 2024) [1, 3,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KPMG audita a IAG desde 2021 (antes, EY)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fiables y conservadoras: grado de inversión, sin compras que ensucien el balance, y extraordinarios explicados. Las zonas de juicio son las propias del sector: ingresos diferidos y caducidad de billetes y Avios (breakage), provisiones de mantenimiento, coberturas de combustible y divisas contabilizadas en patrimonio hasta que vencen (ganancias de 769 M en el 1S26), el superávit de pensiones de BA y el activo de 512 M del IVA de Loyalty, que depende de un juicio [1,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en 2024 y 149 M en el 1S26 (más en el 2S): la empresa las saca del resultado ajustado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del IVA de IAG Loyalty</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512 M pagados a HMRC y activados como cobro; si IAG pierde en 2027, cargo a resultados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Coberturas en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coberturas de combustible y divisa pasan por patrimonio y llegan al resultado al vencer: suavizan el coste, no lo eliminan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Superávit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2.115 M netos de activo de pensiones; no es caja disponible para el accionista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346 M en 2025 (el 3 % del capital invertido medio); ha subido más de un 5 % en 0 de 4 años: sin compras. ROIC publicado 27,4 %; sin fondo de comercio, 28,1 %.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8,3 %.</w:t>
      </w:r>
    </w:p>
    <w:p>
      <w:pPr>
        <w:spacing w:after="100"/>
      </w:pPr>
      <w:r>
        <w:t xml:space="preserve">El ROIC del motor (NOPAT sobre patrimonio más deuda neta con arrendamientos) es del 27,4 % en 2025, 26,0 % en 2024 y 24,4 % en 2023, frente a un WACC del 8,3 %: ≈ 19 puntos de diferencia. La empresa da un ROIC más prudente, del 18,5 % en 2025 (17,3 % en 2024), con los aviones arrendados capitalizados, y se fija un objetivo del 13-16 % [2]. Son rentabilidades de pico de ciclo: en 2020-2021 el ROIC fue muy negativo (−17,8 % en 2021) y en 2022 del 10 %. A lo largo de un ciclo completo con una crisis, el ROIC medio de IAG queda más cerca del 10-13 %, aún por encima del WACC, pero con poco margen. El ROE (48,6 % en 2025) está inflado por un patrimonio todavía pequeño tras las pérdidas de la COVID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de 9.175 M a 30-jun-2026 (8.747 de caja y 428 de depósitos) más líneas comprometidas sin disponer: liquidez total de 11.873 M, con una línea revolvente de 3.000 M USD ligada a sostenibilidad. 196 aviones libres de cargas que pueden servir de garantía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y Moody's Baa2 (estable): grado de inversión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Ingresos diferidos por billetes y Avios de 10.782 M a 30-jun-2026 (8.739 M a 31-dic-2025): el cliente paga antes de volar; la parte estacional (≈ 2.066 M sobre diciembre) infla la caja de junio. Provisiones de 4.795 M (mantenimiento de aviones y motores arrendados, reestructuración, reclamaciones). Pensiones: superávit contable de 2.115 M (activos de 2.172, obligaciones de 57), sobre todo en los planes de British Airways (NAPS y APS), no disponible para el accionista. Litigio del IVA de IAG Loyalty con HMRC: 512 M pagados y activados (vista en el 4T26, decisión en 2027). Liquidación fiscal española de la fusión (máximo 108 M) y multa de Consumo por el equipaje de mano, no provisionada. Sin covenants financieros relevantes en bonos; pasivos financiados con activos de 5.217 M garantizados con aviones [1, 3].</w:t>
      </w:r>
    </w:p>
    <w:p>
      <w:pPr>
        <w:pStyle w:val="Heading1"/>
      </w:pPr>
      <w:r>
        <w:t xml:space="preserve">12. Asignación de capital</w:t>
      </w:r>
    </w:p>
    <w:p>
      <w:pPr>
        <w:pStyle w:val="Confianza"/>
        <w:spacing w:after="100"/>
      </w:pPr>
      <w:r>
        <w:t xml:space="preserve">Confianza: Alta</w:t>
      </w:r>
    </w:p>
    <w:p>
      <w:pPr>
        <w:spacing w:after="100"/>
      </w:pPr>
      <w:r>
        <w:t xml:space="preserve">Desde 2025: dividendo ordinario de ≈ 25 % del beneficio antes de extraordinarios (0,098 € por acción por 2025: 0,048 a cuenta y 0,05 final) y devolución de la caja sobrante cuando la deuda neta quede bajo 1,0-1,5 veces el EBITDA, con deuda neta/EBITDA objetivo por debajo de 1,8 veces. Recompras: 1.000 M en 2025, 500 M (feb-may 2026), 500 M (may-sep 2026; 97,7 M de acciones) y un tercer programa de hasta 500 M del 5-oct-2026 al 26-feb-2027 (Qatar Airways vende en proporción, 126 M). El dividendo a cuenta de 2026 se anunciará con el tercer trimestre [3, 6, 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 Lingus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ganó dinero hasta 2025, pero en 2026 pierde con la competencia de EE. UU. en Irlanda (EBIT antes de extraordinarios de −34 M en el 1S26)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Europa (100 %;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por los remedios de la Comisión Europea; conserva el 20 % (234 M a valor razonable) y pagó ruptura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 (privatización; en proceso)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compite con Lufthansa y Air France-KLM por una participación minoritaria; valoración de TAP de 1.900-2.100 M según la prensa portuguesa [9].</w:t>
            </w:r>
          </w:p>
        </w:tc>
      </w:tr>
    </w:tbl>
    <w:p>
      <w:pPr>
        <w:spacing w:after="160" w:before="0"/>
      </w:pPr>
    </w:p>
    <w:p>
      <w:pPr>
        <w:spacing w:after="100"/>
      </w:pPr>
      <w:r>
        <w:t xml:space="preserve">Asignación de capital disciplinada desde 2024: reparto de dividendos y recompras de ≈ 1.700 M en 2025 y ≈ 1.500-2.000 M en 2026, a la vez que sube la inversión en flota. Las recompras se hacen a 4-7 veces el beneficio, baratas por definición, y reducen el número de acciones (4.611,7 M emitidas, ≈ 4.352 M en circulación a mediados de octubre) [3, 6, 7,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Gallego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aeronáutico; dirigió Iberia Express y después Iberia (2014-2020), donde hizo la reestructuración; consejero delegado de IAG desde septiembre de 2020, en plena COVID. Ha llevado el grupo a márgenes récord y a devolver caja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Antonio Barrionuevo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 Nicholas Cadbury (anunciado el 9-ene-2026) desde junio de 2026; venía de dirigir la estrategia y las finanzas del grupo [14].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3.200-3.400 M (subida de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capacidad ≈ 6 % y margen en el objetivo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+4,8 % de capacidad (motores) y margen del 13,8 %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parte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 +3 %, margen 12-15 %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+4,4 %, margen del 15,1 %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 +3 %, combustible de 7.000-7.400 M (febrero)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plana y combustible de 8.300-8.600 M (julio): guerra de Irán y motores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con buen historial: sacó a IAG de la COVID sin ampliación adicional tras la de 2020, recuperó márgenes récord y empezó a devolver caja. Fallos fuera de su control (motores, guerra) en 2024 y 2026, y uno propio: la compra de Air Europa, abandonada tras años de intentos. Relevo ordenado del director financiero en 2026 [1, 14].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Ferrán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Gallego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Heather Ann McSharry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Margaret Ewing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Maurice Lam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Simone Menne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(presidenta de Auditoría desde jun-2026)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Päivi Rekonen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Bruno Matheu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Phillips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KPMG audita a IAG desde 2021 (antes, EY)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Qatar Airways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(24,995 % del voto declarado); vende en proporción a las recompras; dos consejeros dominicales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260 M de acciones en autocartera tras las recompras; se amortizan periódicamente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Jorge Saco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Nicholas Cadbury (director financiero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6,11 M GBP en 2025 (≈ 7,25 M EUR a 1,186): fijo de 1,06 M, variable anual de 1,70 M y plan a largo plazo de 3,34 M (este último sube con la cotización: la acción se multiplicó por 2,7 en 2024-2025). Ratio frente a la mediana de la plantilla: 89 a 1. El plan a largo plazo mide beneficio por acción, rentabilidad total frente al sector y sostenibilidad. En la junta de 2025, el informe de remuneración tuvo un 93,37 % a favor y la política un 83,86 % (10,97 % en contra) [1, 15].</w:t>
      </w:r>
    </w:p>
    <w:p>
      <w:pPr>
        <w:pStyle w:val="Heading2"/>
      </w:pPr>
      <w:r>
        <w:t xml:space="preserve">Operaciones vinculadas, estructura de control y defensas</w:t>
      </w:r>
    </w:p>
    <w:p>
      <w:pPr>
        <w:spacing w:after="100"/>
      </w:pPr>
      <w:r>
        <w:t xml:space="preserve">Sin accionista de control: Qatar Airways tiene ≈ 25 %, con dos consejeros, y vende en proporción a las recompras para no superar ese nivel. Los estatutos permiten limitar el voto y la propiedad de los no europeos (y no británicos) para conservar las licencias de vuelo: es una defensa de hecho frente a una opa extranjera. Las operaciones con Qatar Airways (código compartido, empresa conjunta de carga y arrendamientos) son vinculadas [1].</w:t>
      </w:r>
    </w:p>
    <w:p>
      <w:pPr>
        <w:pStyle w:val="Heading2"/>
      </w:pPr>
      <w:r>
        <w:t xml:space="preserve">Señales de alerta</w:t>
      </w:r>
    </w:p>
    <w:p>
      <w:pPr>
        <w:pStyle w:val="ListParagraph"/>
        <w:numPr>
          <w:ilvl w:val="0"/>
          <w:numId w:val="2"/>
        </w:numPr>
        <w:spacing w:after="60"/>
      </w:pPr>
      <w:r>
        <w:t xml:space="preserve">Qatar Airways (25 %) es a la vez accionista, socia comercial y competidora en el Golfo; su peso limita la capacidad de una opa.</w:t>
      </w:r>
    </w:p>
    <w:p>
      <w:pPr>
        <w:pStyle w:val="ListParagraph"/>
        <w:numPr>
          <w:ilvl w:val="0"/>
          <w:numId w:val="2"/>
        </w:numPr>
        <w:spacing w:after="60"/>
      </w:pPr>
      <w:r>
        <w:t xml:space="preserve">Ventas de directivos en 2026 (Jorge Saco a 4,491 GBP el 18-jun; Nicholas Cadbury a 4,072 GBP el 29-may) y ninguna compra relevante; la política de remuneración tuvo un 11 % en contra en 2025 [15,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(31-jul-2026): capacidad plana, coste unitario sin combustible plano, combustible de 8.300-8.600 M (9.000 M en mayo), capex ≈ 3.400 M con 16 entregas; IAG espera recuperar ≈ 60 % del sobrecoste del combustible y un margen dentro del objetivo del 12-15 %. 57 % del 2S reservado, con ingreso reservado en línea con 2025. A medio plazo: margen del 12-15 %, ROIC del 13-16 %, deuda neta &lt; 1,8 veces el EBITDA, capacidad +2-4 % al año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(IAG.L), 11 analistas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(IAG.L), 12 analistas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407,60 – 634,20</w:t>
            </w:r>
          </w:p>
        </w:tc>
      </w:tr>
    </w:tbl>
    <w:p>
      <w:pPr>
        <w:spacing w:after="160" w:before="0"/>
      </w:pPr>
    </w:p>
    <w:p>
      <w:pPr>
        <w:pStyle w:val="Heading2"/>
      </w:pPr>
      <w:r>
        <w:t xml:space="preserve">Revisiones de estimaciones</w:t>
      </w:r>
    </w:p>
    <w:p>
      <w:pPr>
        <w:spacing w:after="100"/>
      </w:pPr>
      <w:r>
        <w:t xml:space="preserve">A la baja por el combustible: el BPA de 2026 del consenso de IAG.L pasó de 0,627 EUR hace 90 días a 0,609, y el de 2027 de 0,783 a 0,724 (−7,5 %). En Madrid (IAG.MC, 11 analistas) el consenso es 0,650 y 0,763 EUR, con objetivo medio de 6,00 EUR. Los objetivos de precio bajaron en marzo (Deutsche Bank de 500 a 460 peniques) y volvieron a subir en verano (Deutsche Bank 540, BofA 570); Renta 4 mantiene 5,20 EUR y sobreponderar tras el semestre [17, 20].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Índice: STOXX Europe 600 (EXSA.DE); sector: STOXX Europe 600 Travel &amp; Leisure (EXV9.DE); IAG.MC en euros. La acción se multiplicó en 2023-2025 (+28 %, +107 % y +34 %) al recuperar márgenes y devolver caja, y en 2026 va por detrás del índice (+3,8 % frente a +10,6 %) por el queroseno de la guerra de Irán. Beta semanal de 5 años de 1,58 (1,39 ajustada; la mensual, 2,18); volatilidad del 36 %. En diez años, la acción rinde un 8,2 % anual, por debajo del índice: 2020 borró la década anterior [12].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 -6,7 % / +5,1 % / +4,1 %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 +20,4 %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2026-11-06 (tercer trimestre de 2026)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(7-nov): ingresos planos y debilidad de la clase turista en EE. UU.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(27-feb, −7,8 %) y comienzo de la guerra de EE. UU. con Irán el 28-feb: queroseno disparado, cierre del espacio aéreo de Oriente Medio; mínimo de 342 peniques en marzo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Ormuz y bajada del crudo; máximo de 52 semanas en junio (subida de un día del 21,8 % el 18-jun)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Restablecimiento del bloqueo de Ormuz (14-jul) y crudo al alza; mayor caída de un mes hasta el 23-jul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la acción cae un 11,5 %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(margen del 15,1 %) y devolución de caja sobrante; la acción cae un 7,8 % al día siguiente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EE. UU. con Irán; Oriente Medio (≈ 3 % de la capacidad) suspendido el resto del año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y aviso de combustible (≈ 9.000 M en 2026)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 EBIT antes de extraordinarios de 1.757 M, mejor de lo esperado en el 2T; combustible rebajado a 8.300-8.600 M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ataques en Ormuz: Brent por encima de 100 USD (109,7 el 19-oct)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programa de recompra de hasta 500 M (hasta el 26-feb-2027)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no viene de una caída que cambie la tesis: está un 15,5 % bajo su máximo de 52 semanas, un 20 % sobre el mínimo y en tendencia lateral (−1,4 % frente a su media de 200 sesiones). Los movimientos fuertes del año los explican el queroseno y la guerra de Irán (marzo y julio a la baja, mayo-junio al alza) y los resultados trimestrales. Nada de eso es nuevo para la tesis: el precio del crudo ya está en nuestro modelo. El 6-nov-2026 publica el tercer trimestre, que puede mover el precio más de un 5 % en cualquier dirección (lo hizo el 7-nov-2025, −11,5 %); no hay ampliaciones ni decisiones regulatorias con fecha antes [1, 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PER adelantado = cierre del año ÷ BPA ajustado real del año siguiente (2018: 1,177 EUR; 2019: 1,168; 2022: 0,056; 2023: 0,506; 2024: 0,568; 2025: 0,695; 2026e: 0,65, el nuestro). Cierres de 2017-2018 en peniques sin ajustar (651 y 618) pasados a euros con el cambio de fin de año (0,887 y 0,895), porque la ampliación de 2020 distorsiona los precios ajustados; 2021-2025, cierres de Madrid. Se excluye 2021 (BPA de 2022 aún de recuperación) y no hay dato útil para 2019-2020 (BPA de 2020-2021 en pérdidas). El mercado paga 3-7 veces el beneficio siguiente a IAG: nunca le ha dado múltiplo de empresa estable, porque el beneficio de pico se acaba [1, A2, A5].</w:t>
      </w:r>
    </w:p>
    <w:p>
      <w:pPr>
        <w:pStyle w:val="Heading1"/>
      </w:pPr>
      <w:r>
        <w:t xml:space="preserve">18. Comparables cotizados</w:t>
      </w:r>
    </w:p>
    <w:p>
      <w:pPr>
        <w:pStyle w:val="Confianza"/>
        <w:spacing w:after="100"/>
      </w:pPr>
      <w:r>
        <w:t xml:space="preserve">Confianza: Media</w:t>
      </w:r>
    </w:p>
    <w:p>
      <w:pPr>
        <w:spacing w:after="100"/>
      </w:pPr>
      <w:r>
        <w:t xml:space="preserve">Grupos de red europeos (Lufthansa, Air France-KLM), aerolíneas de bajo coste europeas (Ryanair, easyJet, Jet2) y las tres grandes de EE. UU. (Delta, United, American), que compiten en el Atlántico Norte. Precios del 19-oct-2026 y BPA del consenso de Yahoo de los próximos 12 meses; capitalización en millones de EUR (GBP a 1,186; USD a 1/1,1216). Wizz Air se excluye (pérdidas). Las europeas aplican NIIF 16 (arrendamientos en el EBITDA y en la deuda); las de EE. UU. no, y su EV/EBITDA no es comparable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Air 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Airlines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American Airlines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 5,9x / 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 / 9,8x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 / 0,5x / 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r>
    </w:tbl>
    <w:p>
      <w:pPr>
        <w:spacing w:after="160" w:before="0"/>
      </w:pPr>
    </w:p>
    <w:p>
      <w:pPr>
        <w:spacing w:after="100"/>
      </w:pPr>
      <w:r>
        <w:t xml:space="preserve">IAG cotiza a ≈ 6,5 veces nuestro BPA de los próximos 12 meses (≈ 0,75 EUR) y a ≈ 3,6 veces el EBITDA de 12 meses, frente a una mediana de 9,75 veces de PER de los comparables. El descuento frente a Ryanair (13,6) y las de EE. UU. es habitual: el mercado no paga por los márgenes de pico de un grupo de red con sindicatos, pensiones y exposición al Atlántico Norte. Frente a Lufthansa (6,1) y Air France-KLM (2,5), IAG cotiza con prima por ser más rentable y tener mejor balance.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 Airways (41 %)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Lufthansa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minoritaria (325 M EUR) en una aerolínea que salía de pérdidas; múltiplo poco representativo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(privatización)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concurso (IAG, Lufthansa, Air France-KLM)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del 100 % de 1.900-2.100 M EUR según la prensa; sin cerrar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 Lingus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Antigua y de otro ciclo [1].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aerolíneas son raras, minoritarias o salen de crisis; no dan un múltiplo útil para IAG. Peso 0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+2,4 % (fijo): capacidad plana y precio +2-3 %, entre el +1,0 % del 1S26 y el +3 % del consenso [3, 17]. 2027e +4,5 %: vuelven aviones con los motores revisados y entregas (capacidad +3 %), más precio. Después, 3-3,5 % al año (objetivo de capacidad del 2-4 % [2]) y 2-2,5 % al final. Crecimiento medio del 3,2 %, por debajo del 6,2 % de 2023-2025.</w:t>
      </w:r>
    </w:p>
    <w:p>
      <w:pPr>
        <w:keepNext/>
        <w:spacing w:after="100"/>
      </w:pPr>
      <w:r>
        <w:rPr>
          <w:b/>
          <w:bCs/>
        </w:rPr>
        <w:t xml:space="preserve">Márgenes.</w:t>
      </w:r>
    </w:p>
    <w:p>
      <w:pPr>
        <w:spacing w:after="100"/>
      </w:pPr>
      <w:r>
        <w:t xml:space="preserve">Margen EBITDA (con extraordinarios) del 20,6 % en 2026e (23,0 % en 2025): queroseno de guerra y capacidad plana. 21,4 % en 2027-2028e con la curva del Brent a la baja (87 USD en dic-27, 78 en dic-28 [13]) y coberturas. Después baja al 19 % en 2033e: el margen de un ciclo medio (EBIT ≈ 9,5 %), por debajo del objetivo del 12-15 % y de 2024-2025 (13,8-15,1 %), porque nuestro horizonte incluye una recesión o una crisis.</w:t>
      </w:r>
    </w:p>
    <w:p>
      <w:pPr>
        <w:keepNext/>
        <w:spacing w:after="100"/>
      </w:pPr>
      <w:r>
        <w:rPr>
          <w:b/>
          <w:bCs/>
        </w:rPr>
        <w:t xml:space="preserve">Inversión y circulante.</w:t>
      </w:r>
    </w:p>
    <w:p>
      <w:pPr>
        <w:spacing w:after="100"/>
      </w:pPr>
      <w:r>
        <w:t xml:space="preserve">Capex con las altas de derechos de uso (≈ 500 M al año de aviones arrendados): 11,5 % de las ventas en 2026e (3.400 + 500), 15 % en 2027-2031e (4.900-5.600 M de capex guiado por el pedido de 71 aviones de largo radio [2]) y 10,5 % al final. Amortización del 8,1 % al 9,5 %. Circulante del −11 % de las ventas (clientes y existencias menos proveedores); los ingresos diferidos de billetes no se suman, por prudencia.</w:t>
      </w:r>
    </w:p>
    <w:p>
      <w:pPr>
        <w:keepNext/>
        <w:spacing w:after="100"/>
      </w:pPr>
      <w:r>
        <w:rPr>
          <w:b/>
          <w:bCs/>
        </w:rPr>
        <w:t xml:space="preserve">Coste del capital.</w:t>
      </w:r>
    </w:p>
    <w:p>
      <w:pPr>
        <w:spacing w:after="100"/>
      </w:pPr>
      <w:r>
        <w:t xml:space="preserve">Tasa libre del 3,49 % (Bund a 10 años del 19-oct-2026 [18]); beta de 1,45 (semanal ajustada de 5 años 1,39, semanal 1,58; mensual 2,18 [12]); prima del 5,5 %; coste de la deuda del 4,5 % antes de impuestos (bonos de 2031 al 3,875 % y de 2034 al 4,5 % [3]); tipo del 25,5 %; peso de la deuda del 39 % (13.867 M de deuda bruta con arrendamientos frente a 21.277 M de capitalización). WACC del 8,30 %. Con la prima implícita del mercado (4,2 % [19]), 7,15 %.</w:t>
      </w:r>
    </w:p>
    <w:p>
      <w:pPr>
        <w:keepNext/>
        <w:spacing w:after="100"/>
      </w:pPr>
      <w:r>
        <w:rPr>
          <w:b/>
          <w:bCs/>
        </w:rPr>
        <w:t xml:space="preserve">Valor terminal.</w:t>
      </w:r>
    </w:p>
    <w:p>
      <w:pPr>
        <w:spacing w:after="100"/>
      </w:pPr>
      <w:r>
        <w:t xml:space="preserve">Crecimiento a perpetuidad del 2 % (inflación de la zona euro), con un margen EBITDA del 19 %. El múltiplo de salida implícito es de 5,4 veces el EBITDA, por encima de lo que cotiza hoy IAG (3,7) y en la media de los comparables europeos con NIIF 16 (3,8-6,2) [17]. El valor terminal pesa un 67 %.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14.476 M (45 %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(ROIC 27,4 %)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frente al 3,1 %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spacing w:after="100"/>
      </w:pPr>
      <w:r>
        <w:t xml:space="preserve">La proyección reinvierte el 45 % del NOPAT. Con el ROIC del último ejercicio (27,4 %), eso financia un crecimiento del 12,2 % anual, frente al 3,1 % de ingresos proyectado. Supone que el capital nuevo rinde un -3,7 %.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plana (guía [3]); el precio por asiento-kilómetro sube ≈ 2,4 % por la repercusión del queroseno.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+3 % con aviones que vuelven del taller de motores y entregas; precio +1 %; Loyalty +0,5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+3 % (objetivo del 2-4 % [2]); precio +0,5 % con más oferta en el Atlántico Norte; Loyalty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+3 % con el pedido de largo radio; precio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+3 %; precio plano.</w:t>
            </w:r>
          </w:p>
        </w:tc>
      </w:tr>
    </w:tbl>
    <w:p>
      <w:pPr>
        <w:spacing w:after="160" w:before="0"/>
      </w:pPr>
    </w:p>
    <w:p>
      <w:pPr>
        <w:spacing w:after="100"/>
      </w:pPr>
      <w:r>
        <w:t xml:space="preserve">El crecimiento proyectado (3,2 % al año) está dentro del objetivo de capacidad de la empresa (2-4 %) y por debajo del histórico de 2023-2025 (6,2 %). La reinversión de la proyección (45 % del NOPAT) financiaría un 12,2 % al ROIC actual, y el capital nuevo apenas rinde (−3,7 %) porque la proyección baja el margen al de un ciclo medio: no se pide más rentabilidad a la inversión que la histórica. La cuota no cambia (≈ 3,5 % de la capacidad mundial). Las tres pruebas pasan. La reserva es el ciclo, no el crecimiento: el ROIC de 2025 (27 %) es de pico y lo recogemos bajando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 (base: 19,0 %)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8,3 %)</w:t>
            </w:r>
          </w:p>
        </w:tc>
      </w:tr>
    </w:tbl>
    <w:p>
      <w:pPr>
        <w:spacing w:after="160" w:before="0"/>
      </w:pPr>
    </w:p>
    <w:p>
      <w:pPr>
        <w:spacing w:after="100"/>
      </w:pPr>
      <w:r>
        <w:t xml:space="preserve">El DCF da 5,99 EUR por acción (505 peniques), un 22,5 % sobre el precio, con un WACC del 8,30 % y un valor terminal que pesa el 67 %. El DCF inverso dice que el precio descuenta un crecimiento del 1,5 % anual en 2027-2035 (frente al 3,2 % de nuestro base) o un margen EBITDA final del 17,9 % (frente al 19 %), y una rentabilidad implícita del 9,3 % anual, un punto sobre el WACC. Es decir: el mercado ya pone a IAG un margen de ciclo bajo y poco crecimiento; no exige nada heroico. Lo que pesa es la volatilidad: una crisis de un año con margen −5 puntos y un margen permanente 1,5 puntos menor (bajista) deja el valor en 2,91 EUR (−40 %). Con la prima de riesgo que pide hoy el mercado (4,2 %), el DCF sube a 7,89 EUR. El DCF mira a largo plazo; la decisión a 12 meses depende del PER que el mercado da a IAG, que es bajo por norma.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en 2027: recesión, el queroseno sigue por encima de 100 USD y la capacidad transatlántica de EE. UU. se recupera; ingresos −3,5 % y margen EBITDA 5 puntos menor (EBIT ≈ 8 %); recuperación lenta en 2028-2029 y margen 1,5 puntos menor para siempre; WACC +0,5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queroseno baja con la curva (87 USD en 2027, 78 en 2028), vuelven los aviones parados por los motores y la capacidad crece un 3 % al año; el margen EBIT se mantiene en el 13-14 % hasta 2028 y converge a un ciclo medio (≈ 9,5 %) en 2033.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Paz en Oriente Medio, crudo a 70-75 USD, oferta del sector limitada por la falta de aviones y demanda premium sólida: 0,5 puntos más de crecimiento y un punto más de margen todos los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5,58 EUR (+14,1 %).</w:t>
      </w:r>
    </w:p>
    <w:p>
      <w:pPr>
        <w:spacing w:after="100"/>
      </w:pPr>
      <w:r>
        <w:t xml:space="preserve">La asimetría a largo plazo es favorable pero amplia: el alcista vale 7,42 EUR (+52 %) y el bajista 2,91 (−40 %), con el base en 5,99 (+22,5 %). Es la marca de una aerolínea: un año malo borra el beneficio de dos buenos, y el valor terminal (67 %) depende del margen de ciclo medio que se suponga. A 12 meses la asimetría es la contraria, porque el mercado nunca ha pagado más de 6-7 veces el beneficio siguiente.</w:t>
      </w:r>
    </w:p>
    <w:p>
      <w:pPr>
        <w:pStyle w:val="Heading1"/>
      </w:pPr>
      <w:r>
        <w:t xml:space="preserve">22. Suma de partes</w:t>
      </w:r>
    </w:p>
    <w:p>
      <w:pPr>
        <w:pStyle w:val="Confianza"/>
        <w:spacing w:after="100"/>
      </w:pPr>
      <w:r>
        <w:t xml:space="preserve">Confianza: Media</w:t>
      </w:r>
    </w:p>
    <w:p>
      <w:pPr>
        <w:spacing w:after="100"/>
      </w:pPr>
      <w:r>
        <w:t xml:space="preserve">No aplica como método: las aerolíneas comparten red, flota, compras y marca, y su resultado es uno. IAG Loyalty (Avios: 548 M de EBIT en 2025, objetivo de 1.000 M a medio plazo) tendría valor propio como negocio de fidelización con poco capital; a 10-12 veces el EBIT sería ≈ 5.500-6.500 M, el 25-30 % de la capitalización, pero depende de los vuelos de BA e Iberia y la empresa no planea separarlo [2, 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5,99 EUR (+22,5 % sobre 4,89).</w:t>
      </w:r>
    </w:p>
    <w:p>
      <w:pPr>
        <w:spacing w:after="100"/>
      </w:pPr>
      <w:r>
        <w:t xml:space="preserve">Pesos: DCF 40 %, escenarios 40 % y comparables 20 %; transacciones 0 (compras escasas, minoritarias o de crisis: Lufthansa-ITA a 2,3 veces el EBITDA, TAP sin cerrar). Los comparables europeos con NIIF 16 (Lufthansa 4,9 veces el EBITDA, Air France-KLM 3,8, Ryanair 6,2, easyJet 5,7) son el contraste útil; las de EE. UU. no aplican NIIF 16 y su EV/EBITDA sale más alto. IAG cotiza a 3,7 veces el EBITDA de 12 meses y a 6,7 veces el BPA de los próximos 12 meses. Suma de partes: no aplica (ver abajo), pero IAG Loyalty (548 M de EBIT, poco capital) valdría ≈ 5.000-6.000 M a 10 veces, un cuarto de la capitalización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(6.7x) ÷ 1.1 (tope: la mediana de 5 años, 4.2x,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r>
    </w:tbl>
    <w:p>
      <w:pPr>
        <w:spacing w:after="160" w:before="0"/>
      </w:pPr>
    </w:p>
    <w:p>
      <w:pPr>
        <w:spacing w:after="100"/>
      </w:pPr>
      <w:r>
        <w:rPr>
          <w:b/>
          <w:bCs/>
        </w:rPr>
        <w:t xml:space="preserve">Objetivo a 12 meses (ponderado):</w:t>
      </w:r>
      <w:r>
        <w:t xml:space="preserve"> 4,69 EUR (395,45 GBp) · rentabilidad -2,1 % (base +1,4 %) · señal Mantener.</w:t>
      </w:r>
    </w:p>
    <w:p>
      <w:pPr>
        <w:spacing w:after="100"/>
      </w:pPr>
      <w:r>
        <w:t xml:space="preserve">Para comparar, con la regla v2 (historia al cierre, mismo precio): 3,5x / 6,4x / 8,3x, 2,9 % Mantener; con el tope anterior del base (×1,3, 14-oct mediodía): -13,7 %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(0,65 EUR) está en la parte alta del consenso (0,609 en Londres, 0,650 en Madrid) [17] porque el segundo trimestre batió lo esperado y el combustible guiado bajó de 9.000 a 8.300-8.600 M [3]; el de 2027e (0,748) coincide con el consenso (0,724-0,763). Las revisiones del consenso van a la baja (−7,5 % en el BPA de 2027 en 90 días). Nuestro BPA de 2028e (0,797) no lleva recompras nuevas: si IAG devuelve 1.000 M al año como en 2025-2026, sumaría ≈ 5 % por año.</w:t>
      </w:r>
    </w:p>
    <w:p>
      <w:pPr>
        <w:keepNext/>
        <w:spacing w:after="100"/>
      </w:pPr>
      <w:r>
        <w:rPr>
          <w:b/>
          <w:bCs/>
        </w:rPr>
        <w:t xml:space="preserve">Del valor intrínseco al objetivo a 12 meses.</w:t>
      </w:r>
    </w:p>
    <w:p>
      <w:pPr>
        <w:spacing w:after="100"/>
      </w:pPr>
      <w:r>
        <w:t xml:space="preserve">El objetivo a 12 meses (4,69 EUR, 395 peniques, ponderado 25/50/25) queda un 4,1 % bajo el precio: −2,1 % con el dividendo, y +1,4 % en el caso base. El base (6,1 veces × 0,797 = 4,86 EUR) no da más porque la regla acerca el PER actual (6,7 veces el BPA de los próximos 12 meses) a la mediana adelantada de cinco años (4,2 veces), con el tope de ÷1,1. El bajista pesa mucho (2,8 × 0,595 = 1,67 EUR, −66 %): una aerolínea en crisis cotiza a múltiplos de crisis sobre beneficios de crisis. El valor intrínseco (5,99 EUR) está un 22,5 % por encima del precio: barata a largo plazo, sin recorrido a 12 meses según su propia historia. Para Comprar haría falta un precio de 4,16 EUR (≈ 351 peniques) o menos.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combustible y margen del año; dividendo a cuenta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 → 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programa de recompra (500 M) y posible cuarto en febrero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2026-4T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del IVA de IAG Loyalty en el First-tier Tribunal (decisión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512 M activados: devolución o cargo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(capacidad, combustible, devolución de caja)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 curva del crudo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Paz o escalada en Irán y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USD de Brent ≈ ±600-800 M de combustible al año sin coberturas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aviones parados por los motores (GTF y Trent)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y menos coste unitario; también más oferta en el sector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Privatización de TAP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cara restaría caja a las recompras; una minoritaria barata reforzaría Lisboa-Brasil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los márgenes de 2024-2025 son de pico y las crisis llegan sin aviso (2009,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−66 % a 12 meses con PER de crisis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grado de inversión, 11.873 M de liquidez y deuda neta de 0,6 veces el EBITDA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unitario de pasaje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Queroseno con la guerra de Irán y Ormuz (Brent de 110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del ≈ 70 % del 2S26 y política a tres años (hasta 75 % a corto); recupera ≈ 60 % con precio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de dic-27 por encima de 95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transatlántica de las aerolíneas de EE. UU. (Irlanda, sur de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American (≈ 49 % del Atlántico Norte con socios) y slots de Heathrow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Aer Lingus en el año o PRASK del Atlántico Norte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Motores de Pratt &amp; Whitney (GTF) y Rolls-Royce (Trent 1000 y XWB): aviones en tierra y coste de mantenimiento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Compensaciones de los fabricantes, arrendamiento de aviones usados (Vueling: 9 A320ceo) y flota mixta (CFM en parte)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capacidad de 2027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Laboral y reestructuraciones (Iberia, BA, Aer Lingus)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plurianuales; reestructuraciones ya anunciadas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Huelgas en verano o cargos de reestructuración por encima de 300 M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 y regulatorio (IVA de Loyalty 512 M, liquidación española de 108 M, derechos de emisión, combustible sostenible)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y activos contingentes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adversa del First-tier Tribunal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agentes de compra que comparan precios por el cliente, ciberataques más baratos y transformación de la distribución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Volar no se sustituye; la IA baja costes de mantenimiento, precios y atención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ingreso por billete en canales directos o un ciberataque grave</w:t>
            </w:r>
          </w:p>
        </w:tc>
      </w:tr>
    </w:tbl>
    <w:p>
      <w:pPr>
        <w:spacing w:after="160" w:before="0"/>
      </w:pPr>
    </w:p>
    <w:p>
      <w:pPr>
        <w:pStyle w:val="Heading2"/>
      </w:pPr>
      <w:r>
        <w:t xml:space="preserve">Pre-mortem</w:t>
      </w:r>
    </w:p>
    <w:p>
      <w:pPr>
        <w:spacing w:after="100"/>
      </w:pPr>
      <w:r>
        <w:t xml:space="preserve">Octubre de 2027: la acción ha caído un 45 %. El queroseno no bajó como decía la curva: Ormuz siguió cerrado a ratos y el Brent se quedó en 100-110 USD; a la vez, la recesión en Europa y en EE. UU. golpeó la clase turista, y las aerolíneas de EE. UU. llenaron de asientos el Atlántico Norte con aviones que por fin salían de los talleres de motores. IAG cumplió sus coberturas en 2026, pero en 2027 tuvo que comprar combustible caro con menos ingreso por asiento: el margen EBIT cayó al 8 %, el BPA a 0,45 EUR, y el mercado volvió a pagar 3 veces el beneficio, como en 2022. Las recompras siguieron, pero a menor ritmo. La señal estaba en el 3T26: guía de 2027 con capacidad baja y el ingreso unitario del Atlántico Norte en negativo.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un avión: el 95 % del resultado de IAG es transportar personas y carga. La exposición está en la distribución: agentes de compra que buscan el billete más barato por el cliente pueden debilitar la marca, la venta directa y los ingresos complementarios (asientos, equipaje), y aumentan el poder de los intermediarios. También abaratan los ciberataques (IAG lo cita entre sus riesgos principales, con la IA agéntica [3]). A favor: precios dinámicos, mantenimiento predictivo (motores), planificación de tripulaciones y atención al cliente con menos coste. Neto: riesgo menor, pero presente.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IAG es el clima (≈ 30 millones de toneladas de CO2 al año; objetivo de cero emisiones netas en 2050, 10 % de combustible sostenible en 2030; derechos de emisión europeos y británicos cada vez más caros), la seguridad aérea, las relaciones laborales (sindicatos de pilotos y tripulantes en el Reino Unido, España e Irlanda; reestructuraciones de Iberia y BA en 2026) y la protección del consumidor (reembolsos, equipaje de mano) [1, 3].</w:t>
      </w:r>
    </w:p>
    <w:p>
      <w:pPr>
        <w:pStyle w:val="Heading2"/>
      </w:pPr>
      <w:r>
        <w:t xml:space="preserve">Controversias</w:t>
      </w:r>
    </w:p>
    <w:p>
      <w:pPr>
        <w:spacing w:after="100"/>
      </w:pPr>
      <w:r>
        <w:t xml:space="preserve">Multa del Ministerio de Consumo de España por cobrar el equipaje de mano (Vueling, recurrida y no provisionada); sanciones y reclamaciones por retrasos y cancelaciones; ciberataque de British Airways de 2018 (multa del ICO). Sin controversias graves abiertas de corrupción o seguridad [1,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2027 está cubierto y a qué precio medio, y cuánto del sobrecoste de 2026 se podrá repercutir si el Brent sigue en 100-110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aviones siguen en tierra por los motores GTF y Trent, cuándo vuelven y qué compensación pagan Pratt &amp; Whitney y Rolls-Royce?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capacidad plana de 2026 y el crecimiento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Atlántico Norte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ingreso unitario del Atlántico Norte por clase, y qué hace Aer Lingus para volver a beneficios?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30,6 % de la capacidad y la mayor parte del resultado de BA.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Devolución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devolverá en 2027 con el capex subiendo a 4.900 M y la deuda neta en 0,6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son el motor del BPA que no está en nuestro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Loyalty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llegar a 1.000 M de EBIT en IAG Loyalty y qué pasa si pierde el litigio del 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de más valor por euro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precio máximo pagaría por TAP y cómo lo financiaría?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cara sustituiría recompras.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(ICAGY)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mayoritariamente alcistas: «Lower Fuel Costs Strengthen The Upside Case» (3-sep-2026) y otros de abril y mayo; uno rebaja a comprar (de compra fuerte) por el combustible el 5-mar. Tesis común: barata a 6-7 veces el beneficio con recompras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(IAG / ICAGY)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Mixto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Muy bajista en marzo (guerra, queroseno) y alcista en mayo-junio (Ormuz); sigue al crudo día a día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ii.co.uk (interactive investor)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«Still look cheap» (7-jul) y «steers steady course» (31-jul): valor razonable del consenso por encima de 525 peniques y rentabilidad por dividendo ≈ 2,1 %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por PER y por flujo libre, con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(6,5 veces el BPA adelantado), pero es lo normal en IAG: la mediana adelantada de cinco años es 4,2 veces.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Queroseno y guerra de Irán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combustible sube ≈ 1.300 M en 2026; la curva de futuros baja en 2027-2028 y las coberturas suavizan.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transatlántica de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Aer Lingus (pérdidas en el 1S26); BA resiste con la empresa conjunta con American.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Loyalty como joya escondida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548 M de EBIT en 2025 con poco capital; objetivo de 1.000 M a medio plazo.</w:t>
            </w:r>
          </w:p>
        </w:tc>
      </w:tr>
    </w:tbl>
    <w:p>
      <w:pPr>
        <w:spacing w:after="160" w:before="0"/>
      </w:pPr>
    </w:p>
    <w:p>
      <w:pPr>
        <w:spacing w:after="100"/>
      </w:pPr>
      <w:r>
        <w:t xml:space="preserve">El sentimiento de analistas y particulares es positivo (13 de 15 analistas en comprar, objetivo medio de 535 peniques, un 30 % sobre el precio), aunque los BPA se recortan desde hace tres meses por el combustible. Lo que nadie discute es que IAG es la mejor gestionada de las grandes europeas; lo que separa a alcistas y bajistas es si los márgenes de 2024-2025 son el nuevo normal o el pico del ciclo.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25 (14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0,08 calculado frente a 0,06 publicado (con convertibles, el BPA diluido publicado ajusta el numerador: explícalo si la diferencia viene de ahí). Explicación: El BPA diluido publicado de 2022 (6,1 céntimos; 0,06 en el ESEF) resta del numerador las ganancias de valor razonable del bono convertible y suma sus acciones; el motor divide el beneficio (431 M) entre 5.344 M de acciones diluidas sin ajustar el numerador (0,08). El BPA básico fue de 8,7 céntimos [5]. No afecta a la valoración: la historia del PER usa el BPA ajustado de la empresa (5,6 céntimos en 2022)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-3,7 % frente a un ROIC de 27,4 %: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-11,1 % real: genera una variación de circulante de -63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europeo (asientos-kilómetro de todas las aerolíneas)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IATA (informes públicos sin serie por región); 2) Eurocontrol (vuelos, no AKO); 3) informes de IAG (solo su capacidad)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 la capacidad de IAG como serie y la cuota aproximada; el crecimiento esperado del 3 % es la guía de IAG (2-4 % al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 importe de las ventas de directivos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PDMR de Investegate (precio, sin tabla legible de acciones); 2) informe anual; 3) Yahoo insider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dan la fecha, la persona y el precio (Saco a 4,491 GBP; Cadbury a 4,072 GBP) sin importe.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deuda neta/EBITDA y flujo libre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2) informes anuales (ocho empresas, sin tiempo); 3) MarketScreener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PER y EV/EBITDA bastan.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(ESEF; cuentas consolidadas 2025 y comparativos, notas, gobierno,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Consolidated Airlines Group, S.A.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https://filings.xbrl.org/959800TZHQRUSH1ESL13/2025-12-31/ESEF/GB/0/959800TZHQRUSH1ESL13-2025-12-31/reports/959800TZHQRUSH1ESL13-2025-12-31-T01.html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IAG FY 2025 Results (comunicado y PDF íntegro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IAG (RNS, London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https://www.rns-pdf.londonstockexchange.com/rns/6078U_1-2026-2-26.pdf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Half Year Financial Report 2026 (enero-junio, PDF íntegro)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London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https://www.rns-pdf.londonstockexchange.com/rns/6982O_1-2026-7-31.pdf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1st Quarter Results 2026 y 3rd Quarter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https://www.rns-pdf.londonstockexchange.com/rns/4939D_1-2026-5-7.pdf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FY 2023, FY 2022 y FY 2024 Results (comparativos 2021-2024, segmentos, extraordinarios)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https://www.investegate.co.uk/announcement/rns/international-consolidated-airlines-group-sa-cdi---iag/iag-fy-2023-results-/8062077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dividend and return of excess cash; Interim dividend declaration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https://www.investegate.co.uk/announcement/rns/international-consolidated-airlines-group-sa-cdi---iag/final-dividend-and-return-of-excess-cash-/9449580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Launch of €500 million share buyback programme (5-oct-2026) y Completion of €500 million share buyback programme (10-sep-2026)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https://www.investegate.co.uk/announcement/rns/international-consolidated-airlines-group-sa-cdi---iag/launch-of-500-million-share-buyback-programme-/9805075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(1-oct-2026) y Transaction in own shares (hasta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https://www.investegate.co.uk/announcement/rns/international-consolidated-airlines-group-sa-cdi---iag/transaction-in-own-shares/9830283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Privatización de TAP: valoración y candidatos (Lufthansa, Air France-KLM, IAG)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portuguesa (eco.sapo.pt)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https://eco.sapo.pt/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3rd Quarter Results 2025 (PDF íntegro)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https://www.rns-pdf.londonstockexchange.com/rns/5744G_1-2025-11-6.pdf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Half 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https://www.investegate.co.uk/announcement/rns/international-consolidated-airlines-group-sa-cdi---iag/half-year-report/9018031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comparables (ingresos, EBITDA, valor de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https://finance.yahoo.com/quote/IAG.L/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del Brent (BZ) y del gasóleo de calefacción (HO), curva a dic-27 y dic-28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(NYMEX/ICE)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Financial Officer Transition; Directorate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https://www.investegate.co.uk/announcement/rns/international-consolidated-airlines-group-sa-cdi---iag/chief-financial-officer-transition-/9343608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https://www.investegate.co.uk/announcement/rns/international-consolidated-airlines-group-sa-cdi---iag/result-of-agm/9625917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(ventas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https://www.investegate.co.uk/announcement/rns/international-consolidated-airlines-group-sa-cdi---iag/director-pdmr-shareholding/9635150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objetivos y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https://finance.yahoo.com/quote/IAG.L/analysis/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alemán a 10 años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12 meses: resultados, guerra de Irán, Ormuz, objetivos de precio (Deutsche Bank, BofA, Renta 4,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económica (Reuters, Expansión, Cinco Días, Proactive)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https://www.marketscreener.com/quote/stock/INTERNATIONAL-CONSOLIDAT-9688436/news/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sobre ICAGY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https://seekingalpha.com/symbol/ICAGY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IAG / ICAGY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https://stocktwits.com/symbol/ICAGY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 IAG shares still look cheap; IAG steers steady course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propio de IAG: BPA antes de extraordinarios 2026e-2028e (ventas × margen EBIT − cargos no operativos, 26 % de impuesto, acciones tras recompras), calibrado con 2025 y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(informes/iag-2026-10-19/notas/propio.mjs)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informes/iag-2026-10-19/notas/propio.mjs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Final Results 2019 (BPA ajustado de 2018 y 2019; dividendo de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https://www.investegate.co.uk/announcement/rns/international-consolidated-airlines-group-sa-cdi---iag/iag-final-results-2019/5906795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19 oct 2026.</w:t>
      </w:r>
    </w:p>
    <w:p>
      <w:pPr>
        <w:pStyle w:val="Nota"/>
        <w:spacing w:after="100"/>
      </w:pPr>
      <w:r>
        <w:t xml:space="preserve">Cifras en millones de EUR, ejercicio a 31 de diciembre. Cuentas 2021-2025 del ESEF (informe anual 2025) y semestre a 30-jun-2026 del informe semestral; el tercer trimestre de 2026 sale el 6-nov-2026, después del corte. La acción cotiza en peniques en Londres: precio de 412,2 peniques (cierre del 19-oct-2026) a 0,01186 EUR por penique (GBPEUR 1,186, 16:40 UTC). 2021 y 2022 no son comparables (COVID). El BPA de los casos es antes de extraordinarios (base del BPA ajustado de la empresa y de la historia del PER); el de la cuenta es el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International Consolidated Airlines Group, S.A. (IAG)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(3,82 – 5,72)</c:v>
                </c:pt>
                <c:pt idx="1">
                  <c:v>Precio objetivo de los analistas (407,60 – 634,20)</c:v>
                </c:pt>
                <c:pt idx="2">
                  <c:v>Comparables: PER NTM (5,43 – 9,27)</c:v>
                </c:pt>
                <c:pt idx="3">
                  <c:v>DCF (WACC y g ± 0,5) (5,04 – 7,29)</c:v>
                </c:pt>
                <c:pt idx="4">
                  <c:v>Escenarios (bajista – alcista) (2,91 – 7,42)</c:v>
                </c:pt>
                <c:pt idx="5">
                  <c:v>DCF con la prima implícita del mercado (4,2 %)</c:v>
                </c:pt>
                <c:pt idx="6">
                  <c:v>Precio actual (4,89)</c:v>
                </c:pt>
              </c:strCache>
            </c:strRef>
          </c:cat>
          <c:val>
            <c:numRef>
              <c:f>Hoja1!$B$2:$B$8</c:f>
              <c:numCache>
                <c:formatCode>#,##0</c:formatCode>
                <c:ptCount val="7"/>
                <c:pt idx="0">
                  <c:v>3.82</c:v>
                </c:pt>
                <c:pt idx="1">
                  <c:v>407.6</c:v>
                </c:pt>
                <c:pt idx="2">
                  <c:v>5.43</c:v>
                </c:pt>
                <c:pt idx="3">
                  <c:v>5.04</c:v>
                </c:pt>
                <c:pt idx="4">
                  <c:v>2.91</c:v>
                </c:pt>
                <c:pt idx="5">
                  <c:v>6.97</c:v>
                </c:pt>
                <c:pt idx="6">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(3,82 – 5,72)</c:v>
                </c:pt>
                <c:pt idx="1">
                  <c:v>Precio objetivo de los analistas (407,60 – 634,20)</c:v>
                </c:pt>
                <c:pt idx="2">
                  <c:v>Comparables: PER NTM (5,43 – 9,27)</c:v>
                </c:pt>
                <c:pt idx="3">
                  <c:v>DCF (WACC y g ± 0,5) (5,04 – 7,29)</c:v>
                </c:pt>
                <c:pt idx="4">
                  <c:v>Escenarios (bajista – alcista) (2,91 – 7,42)</c:v>
                </c:pt>
                <c:pt idx="5">
                  <c:v>DCF con la prima implícita del mercado (4,2 %)</c:v>
                </c:pt>
                <c:pt idx="6">
                  <c:v>Precio actual (4,89)</c:v>
                </c:pt>
              </c:strCache>
            </c:strRef>
          </c:cat>
          <c:val>
            <c:numRef>
              <c:f>Hoja1!$C$2:$C$8</c:f>
              <c:numCache>
                <c:formatCode>#,##0</c:formatCode>
                <c:ptCount val="7"/>
                <c:pt idx="0">
                  <c:v>1.9</c:v>
                </c:pt>
                <c:pt idx="1">
                  <c:v>226.60000000000002</c:v>
                </c:pt>
                <c:pt idx="2">
                  <c:v>3.84</c:v>
                </c:pt>
                <c:pt idx="3">
                  <c:v>2.25</c:v>
                </c:pt>
                <c:pt idx="4">
                  <c:v>4.51</c:v>
                </c:pt>
                <c:pt idx="5">
                  <c:v>2.05</c:v>
                </c:pt>
                <c:pt idx="6">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British Airways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16028</c:v>
                </c:pt>
                <c:pt idx="1">
                  <c:v>16457</c:v>
                </c:pt>
                <c:pt idx="2">
                  <c:v>16679</c:v>
                </c:pt>
              </c:numCache>
            </c:numRef>
          </c:val>
        </c:ser>
        <c:ser>
          <c:idx val="1"/>
          <c:order val="1"/>
          <c:tx>
            <c:strRef>
              <c:f>Hoja1!$C$1</c:f>
              <c:strCache>
                <c:ptCount val="1"/>
                <c:pt idx="0">
                  <c:v>Iberia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6434</c:v>
                </c:pt>
                <c:pt idx="1">
                  <c:v>7091</c:v>
                </c:pt>
                <c:pt idx="2">
                  <c:v>7687</c:v>
                </c:pt>
              </c:numCache>
            </c:numRef>
          </c:val>
        </c:ser>
        <c:ser>
          <c:idx val="2"/>
          <c:order val="2"/>
          <c:tx>
            <c:strRef>
              <c:f>Hoja1!$D$1</c:f>
              <c:strCache>
                <c:ptCount val="1"/>
                <c:pt idx="0">
                  <c:v>Vueling</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3197</c:v>
                </c:pt>
                <c:pt idx="1">
                  <c:v>3259</c:v>
                </c:pt>
                <c:pt idx="2">
                  <c:v>3263</c:v>
                </c:pt>
              </c:numCache>
            </c:numRef>
          </c:val>
        </c:ser>
        <c:ser>
          <c:idx val="3"/>
          <c:order val="3"/>
          <c:tx>
            <c:strRef>
              <c:f>Hoja1!$E$1</c:f>
              <c:strCache>
                <c:ptCount val="1"/>
                <c:pt idx="0">
                  <c:v>Aer Lingus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2259</c:v>
                </c:pt>
                <c:pt idx="1">
                  <c:v>2362</c:v>
                </c:pt>
                <c:pt idx="2">
                  <c:v>2505</c:v>
                </c:pt>
              </c:numCache>
            </c:numRef>
          </c:val>
        </c:ser>
        <c:ser>
          <c:idx val="4"/>
          <c:order val="4"/>
          <c:tx>
            <c:strRef>
              <c:f>Hoja1!$F$1</c:f>
              <c:strCache>
                <c:ptCount val="1"/>
                <c:pt idx="0">
                  <c:v>IAG Loyalty</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1191</c:v>
                </c:pt>
                <c:pt idx="1">
                  <c:v>2512</c:v>
                </c:pt>
                <c:pt idx="2">
                  <c:v>2652</c:v>
                </c:pt>
              </c:numCache>
            </c:numRef>
          </c:val>
        </c:ser>
        <c:ser>
          <c:idx val="5"/>
          <c:order val="5"/>
          <c:tx>
            <c:strRef>
              <c:f>Hoja1!$G$1</c:f>
              <c:strCache>
                <c:ptCount val="1"/>
                <c:pt idx="0">
                  <c:v>Otros (LEVEL, IAG Cargo, centro)</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344</c:v>
                </c:pt>
                <c:pt idx="1">
                  <c:v>419</c:v>
                </c:pt>
                <c:pt idx="2">
                  <c:v>427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British Airways</c:v>
                </c:pt>
                <c:pt idx="1">
                  <c:v>Iberia</c:v>
                </c:pt>
                <c:pt idx="2">
                  <c:v>Vueling</c:v>
                </c:pt>
                <c:pt idx="3">
                  <c:v>Aer Lingus</c:v>
                </c:pt>
                <c:pt idx="4">
                  <c:v>IAG Loyalty</c:v>
                </c:pt>
                <c:pt idx="5">
                  <c:v>Otros (LEVEL, IAG Cargo, centro)</c:v>
                </c:pt>
              </c:strCache>
            </c:strRef>
          </c:cat>
          <c:val>
            <c:numRef>
              <c:f>Hoja1!$B$2:$B$7</c:f>
              <c:numCache>
                <c:formatCode>General</c:formatCode>
                <c:ptCount val="6"/>
                <c:pt idx="0">
                  <c:v>50.2</c:v>
                </c:pt>
                <c:pt idx="1">
                  <c:v>23.1</c:v>
                </c:pt>
                <c:pt idx="2">
                  <c:v>9.8</c:v>
                </c:pt>
                <c:pt idx="3">
                  <c:v>7.5</c:v>
                </c:pt>
                <c:pt idx="4">
                  <c:v>8</c:v>
                </c:pt>
                <c:pt idx="5">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ingresos por lugar de venta del billete, 2025 [1]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Reino Unido</c:v>
                </c:pt>
                <c:pt idx="1">
                  <c:v>España</c:v>
                </c:pt>
                <c:pt idx="2">
                  <c:v>EE. UU.</c:v>
                </c:pt>
                <c:pt idx="3">
                  <c:v>Resto del mundo</c:v>
                </c:pt>
              </c:strCache>
            </c:strRef>
          </c:cat>
          <c:val>
            <c:numRef>
              <c:f>Hoja1!$B$2:$B$5</c:f>
              <c:numCache>
                <c:formatCode>0"%"</c:formatCode>
                <c:ptCount val="4"/>
                <c:pt idx="0">
                  <c:v>35.5</c:v>
                </c:pt>
                <c:pt idx="1">
                  <c:v>19.2</c:v>
                </c:pt>
                <c:pt idx="2">
                  <c:v>16.5</c:v>
                </c:pt>
                <c:pt idx="3">
                  <c:v>28.9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asientos-kilómetro ofrecidos por IAG)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2023</c:v>
                </c:pt>
                <c:pt idx="2">
                  <c:v>2024</c:v>
                </c:pt>
                <c:pt idx="3">
                  <c:v>2025</c:v>
                </c:pt>
              </c:strCache>
            </c:strRef>
          </c:cat>
          <c:val>
            <c:numRef>
              <c:f>Hoja1!$B$2:$B$5</c:f>
              <c:numCache>
                <c:formatCode>#,##0</c:formatCode>
                <c:ptCount val="4"/>
                <c:pt idx="0">
                  <c:v>337</c:v>
                </c:pt>
                <c:pt idx="1">
                  <c:v>323</c:v>
                </c:pt>
                <c:pt idx="2">
                  <c:v>337</c:v>
                </c:pt>
                <c:pt idx="3">
                  <c:v>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Amenaza de entrada</c:v>
                </c:pt>
                <c:pt idx="2">
                  <c:v>Poder de los proveedores</c:v>
                </c:pt>
                <c:pt idx="3">
                  <c:v>Poder de los clientes</c:v>
                </c:pt>
                <c:pt idx="4">
                  <c:v>Sustitutos</c:v>
                </c:pt>
              </c:strCache>
            </c:strRef>
          </c:cat>
          <c:val>
            <c:numRef>
              <c:f>Hoja1!$B$2:$B$6</c:f>
              <c:numCache>
                <c:formatCode>General</c:formatCode>
                <c:ptCount val="5"/>
                <c:pt idx="0">
                  <c:v>4</c:v>
                </c:pt>
                <c:pt idx="1">
                  <c:v>2</c:v>
                </c:pt>
                <c:pt idx="2">
                  <c:v>5</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IAG</c:v>
                </c:pt>
                <c:pt idx="1">
                  <c:v>Lufthansa Group</c:v>
                </c:pt>
                <c:pt idx="2">
                  <c:v>Air France-KLM</c:v>
                </c:pt>
                <c:pt idx="3">
                  <c:v>Ryanair</c:v>
                </c:pt>
                <c:pt idx="4">
                  <c:v>easyJet</c:v>
                </c:pt>
                <c:pt idx="5">
                  <c:v>Delta, United y American</c:v>
                </c:pt>
              </c:strCache>
            </c:strRef>
          </c:cat>
          <c:val>
            <c:numRef>
              <c:f>Hoja1!$B$2:$B$7</c:f>
              <c:numCache>
                <c:formatCode>0.0"%"</c:formatCode>
                <c:ptCount val="6"/>
                <c:pt idx="0">
                  <c:v>15.1</c:v>
                </c:pt>
                <c:pt idx="1">
                  <c:v>4.5</c:v>
                </c:pt>
                <c:pt idx="2">
                  <c:v>6</c:v>
                </c:pt>
                <c:pt idx="3">
                  <c:v>16</c:v>
                </c:pt>
                <c:pt idx="4">
                  <c:v>6</c:v>
                </c:pt>
                <c:pt idx="5">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c:v>
                </c:pt>
                <c:pt idx="3">
                  <c:v>Ventaja en costes</c:v>
                </c:pt>
                <c:pt idx="4">
                  <c:v>Escala eficiente</c:v>
                </c:pt>
              </c:strCache>
            </c:strRef>
          </c:cat>
          <c:val>
            <c:numRef>
              <c:f>Hoja1!$B$2:$B$6</c:f>
              <c:numCache>
                <c:formatCode>0</c:formatCode>
                <c:ptCount val="5"/>
                <c:pt idx="0">
                  <c:v>3</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8455</c:v>
                </c:pt>
                <c:pt idx="1">
                  <c:v>23066</c:v>
                </c:pt>
                <c:pt idx="2">
                  <c:v>29453</c:v>
                </c:pt>
                <c:pt idx="3">
                  <c:v>32100</c:v>
                </c:pt>
                <c:pt idx="4">
                  <c:v>33213</c:v>
                </c:pt>
                <c:pt idx="5">
                  <c:v>34010</c:v>
                </c:pt>
                <c:pt idx="6">
                  <c:v>35541</c:v>
                </c:pt>
                <c:pt idx="7">
                  <c:v>36962</c:v>
                </c:pt>
                <c:pt idx="8">
                  <c:v>38256</c:v>
                </c:pt>
                <c:pt idx="9">
                  <c:v>39595</c:v>
                </c:pt>
                <c:pt idx="10">
                  <c:v>40783</c:v>
                </c:pt>
                <c:pt idx="11">
                  <c:v>42006</c:v>
                </c:pt>
                <c:pt idx="12">
                  <c:v>43056</c:v>
                </c:pt>
                <c:pt idx="13">
                  <c:v>44133</c:v>
                </c:pt>
                <c:pt idx="14">
                  <c:v>45015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-1038</c:v>
                </c:pt>
                <c:pt idx="1">
                  <c:v>3317</c:v>
                </c:pt>
                <c:pt idx="2">
                  <c:v>5570</c:v>
                </c:pt>
                <c:pt idx="3">
                  <c:v>6807</c:v>
                </c:pt>
                <c:pt idx="4">
                  <c:v>7652</c:v>
                </c:pt>
                <c:pt idx="5">
                  <c:v>7006</c:v>
                </c:pt>
                <c:pt idx="6">
                  <c:v>7606</c:v>
                </c:pt>
                <c:pt idx="7">
                  <c:v>7910</c:v>
                </c:pt>
                <c:pt idx="8">
                  <c:v>7957</c:v>
                </c:pt>
                <c:pt idx="9">
                  <c:v>8038</c:v>
                </c:pt>
                <c:pt idx="10">
                  <c:v>8075</c:v>
                </c:pt>
                <c:pt idx="11">
                  <c:v>8149</c:v>
                </c:pt>
                <c:pt idx="12">
                  <c:v>8181</c:v>
                </c:pt>
                <c:pt idx="13">
                  <c:v>8385</c:v>
                </c:pt>
                <c:pt idx="14">
                  <c:v>8553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77.1</c:v>
                </c:pt>
                <c:pt idx="1">
                  <c:v>73.5</c:v>
                </c:pt>
                <c:pt idx="2">
                  <c:v>74.3</c:v>
                </c:pt>
                <c:pt idx="3">
                  <c:v>76.3</c:v>
                </c:pt>
                <c:pt idx="4">
                  <c:v>78.7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-12.3</c:v>
                </c:pt>
                <c:pt idx="1">
                  <c:v>14.4</c:v>
                </c:pt>
                <c:pt idx="2">
                  <c:v>18.9</c:v>
                </c:pt>
                <c:pt idx="3">
                  <c:v>21.2</c:v>
                </c:pt>
                <c:pt idx="4">
                  <c:v>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-35.1</c:v>
                </c:pt>
                <c:pt idx="1">
                  <c:v>5.4</c:v>
                </c:pt>
                <c:pt idx="2">
                  <c:v>11.9</c:v>
                </c:pt>
                <c:pt idx="3">
                  <c:v>13.8</c:v>
                </c:pt>
                <c:pt idx="4">
                  <c:v>15.1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-34.7</c:v>
                </c:pt>
                <c:pt idx="1">
                  <c:v>1.9</c:v>
                </c:pt>
                <c:pt idx="2">
                  <c:v>9</c:v>
                </c:pt>
                <c:pt idx="3">
                  <c:v>8.5</c:v>
                </c:pt>
                <c:pt idx="4">
                  <c:v>10.1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2T25</c:v>
                </c:pt>
                <c:pt idx="1">
                  <c:v>3T25</c:v>
                </c:pt>
                <c:pt idx="2">
                  <c:v>4T25</c:v>
                </c:pt>
                <c:pt idx="3">
                  <c:v>1T26</c:v>
                </c:pt>
                <c:pt idx="4">
                  <c:v>2T26</c:v>
                </c:pt>
              </c:strCache>
            </c:strRef>
          </c:cat>
          <c:val>
            <c:numRef>
              <c:f>Hoja1!$B$2:$B$6</c:f>
              <c:numCache>
                <c:formatCode>0.0"%"</c:formatCode>
                <c:ptCount val="5"/>
                <c:pt idx="1">
                  <c:v>0</c:v>
                </c:pt>
                <c:pt idx="2">
                  <c:v>-0.8</c:v>
                </c:pt>
                <c:pt idx="3">
                  <c:v>1.9</c:v>
                </c:pt>
                <c:pt idx="4">
                  <c:v>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c:v>
                </c:pt>
                <c:pt idx="1">
                  <c:v>21</c:v>
                </c:pt>
                <c:pt idx="2">
                  <c:v>19</c:v>
                </c:pt>
                <c:pt idx="3">
                  <c:v>20</c:v>
                </c:pt>
                <c:pt idx="4">
                  <c:v>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c:v>
                </c:pt>
                <c:pt idx="1">
                  <c:v>7</c:v>
                </c:pt>
                <c:pt idx="2">
                  <c:v>8</c:v>
                </c:pt>
                <c:pt idx="3">
                  <c:v>9</c:v>
                </c:pt>
                <c:pt idx="4">
                  <c:v>10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143</c:v>
                </c:pt>
                <c:pt idx="1">
                  <c:v>96</c:v>
                </c:pt>
                <c:pt idx="2">
                  <c:v>85</c:v>
                </c:pt>
                <c:pt idx="3">
                  <c:v>89</c:v>
                </c:pt>
                <c:pt idx="4">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-2366</c:v>
                </c:pt>
                <c:pt idx="1">
                  <c:v>-476</c:v>
                </c:pt>
                <c:pt idx="2">
                  <c:v>-411</c:v>
                </c:pt>
                <c:pt idx="3">
                  <c:v>1819</c:v>
                </c:pt>
                <c:pt idx="4">
                  <c:v>1802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-2933</c:v>
                </c:pt>
                <c:pt idx="1">
                  <c:v>431</c:v>
                </c:pt>
                <c:pt idx="2">
                  <c:v>2655</c:v>
                </c:pt>
                <c:pt idx="3">
                  <c:v>2732</c:v>
                </c:pt>
                <c:pt idx="4">
                  <c:v>3342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-17.8</c:v>
                </c:pt>
                <c:pt idx="1">
                  <c:v>10</c:v>
                </c:pt>
                <c:pt idx="2">
                  <c:v>24.4</c:v>
                </c:pt>
                <c:pt idx="3">
                  <c:v>26</c:v>
                </c:pt>
                <c:pt idx="4">
                  <c:v>27.4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-349.2</c:v>
                </c:pt>
                <c:pt idx="1">
                  <c:v>30.2</c:v>
                </c:pt>
                <c:pt idx="2">
                  <c:v>100.4</c:v>
                </c:pt>
                <c:pt idx="3">
                  <c:v>57.9</c:v>
                </c:pt>
                <c:pt idx="4">
                  <c:v>48.6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-11.24</c:v>
                </c:pt>
                <c:pt idx="1">
                  <c:v>3.13</c:v>
                </c:pt>
                <c:pt idx="2">
                  <c:v>1.66</c:v>
                </c:pt>
                <c:pt idx="3">
                  <c:v>1.1</c:v>
                </c:pt>
                <c:pt idx="4">
                  <c:v>0.78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1764</c:v>
                </c:pt>
                <c:pt idx="1">
                  <c:v>2059</c:v>
                </c:pt>
                <c:pt idx="2">
                  <c:v>5879</c:v>
                </c:pt>
                <c:pt idx="3">
                  <c:v>7854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149</c:v>
                </c:pt>
                <c:pt idx="4">
                  <c:v>471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c:v>
                </c:pt>
                <c:pt idx="1">
                  <c:v>23</c:v>
                </c:pt>
                <c:pt idx="2">
                  <c:v>77</c:v>
                </c:pt>
                <c:pt idx="3">
                  <c:v>202</c:v>
                </c:pt>
                <c:pt idx="4">
                  <c:v>1243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8</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Qatar Airways</c:v>
                </c:pt>
                <c:pt idx="1">
                  <c:v>Capital Research and Management</c:v>
                </c:pt>
                <c:pt idx="2">
                  <c:v>BlackRock</c:v>
                </c:pt>
                <c:pt idx="3">
                  <c:v>Autocartera</c:v>
                </c:pt>
              </c:strCache>
            </c:strRef>
          </c:cat>
          <c:val>
            <c:numRef>
              <c:f>Hoja1!$B$2:$B$5</c:f>
              <c:numCache>
                <c:formatCode>0.0"%"</c:formatCode>
                <c:ptCount val="4"/>
                <c:pt idx="0">
                  <c:v>25.14</c:v>
                </c:pt>
                <c:pt idx="1">
                  <c:v>5.03</c:v>
                </c:pt>
                <c:pt idx="2">
                  <c:v>3.45</c:v>
                </c:pt>
                <c:pt idx="3">
                  <c:v>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-62.6</c:v>
                </c:pt>
                <c:pt idx="1">
                  <c:v>-4.9</c:v>
                </c:pt>
                <c:pt idx="2">
                  <c:v>-18.4</c:v>
                </c:pt>
                <c:pt idx="3">
                  <c:v>28.1</c:v>
                </c:pt>
                <c:pt idx="4">
                  <c:v>106.6</c:v>
                </c:pt>
                <c:pt idx="5">
                  <c:v>34.3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c:v>
                </c:pt>
                <c:pt idx="1">
                  <c:v>24.6</c:v>
                </c:pt>
                <c:pt idx="2">
                  <c:v>-10.3</c:v>
                </c:pt>
                <c:pt idx="3">
                  <c:v>15.5</c:v>
                </c:pt>
                <c:pt idx="4">
                  <c:v>8.5</c:v>
                </c:pt>
                <c:pt idx="5">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2017</c:v>
                </c:pt>
                <c:pt idx="1">
                  <c:v>2018</c:v>
                </c:pt>
                <c:pt idx="2">
                  <c:v>2021</c:v>
                </c:pt>
                <c:pt idx="3">
                  <c:v>2022</c:v>
                </c:pt>
                <c:pt idx="4">
                  <c:v>2023</c:v>
                </c:pt>
                <c:pt idx="5">
                  <c:v>2024</c:v>
                </c:pt>
                <c:pt idx="6">
                  <c:v>2025</c:v>
                </c:pt>
              </c:strCache>
            </c:strRef>
          </c:cat>
          <c:val>
            <c:numRef>
              <c:f>Hoja1!$B$2:$B$8</c:f>
              <c:numCache>
                <c:formatCode>0.0"x"</c:formatCode>
                <c:ptCount val="7"/>
                <c:pt idx="3">
                  <c:v>5.4</c:v>
                </c:pt>
                <c:pt idx="4">
                  <c:v>3.3</c:v>
                </c:pt>
                <c:pt idx="5">
                  <c:v>3.9</c:v>
                </c:pt>
                <c:pt idx="6">
                  <c:v>3.9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2017</c:v>
                </c:pt>
                <c:pt idx="1">
                  <c:v>2018</c:v>
                </c:pt>
                <c:pt idx="2">
                  <c:v>2021</c:v>
                </c:pt>
                <c:pt idx="3">
                  <c:v>2022</c:v>
                </c:pt>
                <c:pt idx="4">
                  <c:v>2023</c:v>
                </c:pt>
                <c:pt idx="5">
                  <c:v>2024</c:v>
                </c:pt>
                <c:pt idx="6">
                  <c:v>2025</c:v>
                </c:pt>
              </c:strCache>
            </c:strRef>
          </c:cat>
          <c:val>
            <c:numRef>
              <c:f>Hoja1!$C$2:$C$8</c:f>
              <c:numCache>
                <c:formatCode>0.0"x"</c:formatCode>
                <c:ptCount val="7"/>
                <c:pt idx="0">
                  <c:v>3.9</c:v>
                </c:pt>
                <c:pt idx="1">
                  <c:v>3.9</c:v>
                </c:pt>
                <c:pt idx="2">
                  <c:v>3.9</c:v>
                </c:pt>
                <c:pt idx="3">
                  <c:v>3.9</c:v>
                </c:pt>
                <c:pt idx="4">
                  <c:v>3.9</c:v>
                </c:pt>
                <c:pt idx="5">
                  <c:v>3.9</c:v>
                </c:pt>
                <c:pt idx="6">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ITA Airways (41 %)</c:v>
                </c:pt>
                <c:pt idx="1">
                  <c:v>TAP (privatización)</c:v>
                </c:pt>
                <c:pt idx="2">
                  <c:v>Aer Lingus</c:v>
                </c:pt>
              </c:strCache>
            </c:strRef>
          </c:cat>
          <c:val>
            <c:numRef>
              <c:f>Hoja1!$B$2:$B$4</c:f>
              <c:numCache>
                <c:formatCode>0.0"x"</c:formatCode>
                <c:ptCount val="3"/>
                <c:pt idx="0">
                  <c:v>2.26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2074</c:v>
                </c:pt>
                <c:pt idx="1">
                  <c:v>1185</c:v>
                </c:pt>
                <c:pt idx="2">
                  <c:v>1463</c:v>
                </c:pt>
                <c:pt idx="3">
                  <c:v>1009</c:v>
                </c:pt>
                <c:pt idx="4">
                  <c:v>1125</c:v>
                </c:pt>
                <c:pt idx="5">
                  <c:v>1211</c:v>
                </c:pt>
                <c:pt idx="6">
                  <c:v>2183</c:v>
                </c:pt>
                <c:pt idx="7">
                  <c:v>2302</c:v>
                </c:pt>
                <c:pt idx="8">
                  <c:v>2580</c:v>
                </c:pt>
                <c:pt idx="9">
                  <c:v>2833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10833</c:v>
                </c:pt>
                <c:pt idx="1">
                  <c:v>22020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2.91</c:v>
                </c:pt>
                <c:pt idx="1">
                  <c:v>5.99</c:v>
                </c:pt>
                <c:pt idx="2">
                  <c:v>7.42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(3,82 – 5,72)</c:v>
                </c:pt>
                <c:pt idx="1">
                  <c:v>Precio objetivo de los analistas (407,60 – 634,20)</c:v>
                </c:pt>
                <c:pt idx="2">
                  <c:v>Comparables: PER NTM (5,43 – 9,27)</c:v>
                </c:pt>
                <c:pt idx="3">
                  <c:v>DCF (WACC y g ± 0,5) (5,04 – 7,29)</c:v>
                </c:pt>
                <c:pt idx="4">
                  <c:v>Escenarios (bajista – alcista) (2,91 – 7,42)</c:v>
                </c:pt>
                <c:pt idx="5">
                  <c:v>DCF con la prima implícita del mercado (4,2 %)</c:v>
                </c:pt>
                <c:pt idx="6">
                  <c:v>Precio actual (4,89)</c:v>
                </c:pt>
              </c:strCache>
            </c:strRef>
          </c:cat>
          <c:val>
            <c:numRef>
              <c:f>Hoja1!$B$2:$B$8</c:f>
              <c:numCache>
                <c:formatCode>#,##0</c:formatCode>
                <c:ptCount val="7"/>
                <c:pt idx="0">
                  <c:v>3.82</c:v>
                </c:pt>
                <c:pt idx="1">
                  <c:v>407.6</c:v>
                </c:pt>
                <c:pt idx="2">
                  <c:v>5.43</c:v>
                </c:pt>
                <c:pt idx="3">
                  <c:v>5.04</c:v>
                </c:pt>
                <c:pt idx="4">
                  <c:v>2.91</c:v>
                </c:pt>
                <c:pt idx="5">
                  <c:v>6.97</c:v>
                </c:pt>
                <c:pt idx="6">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(3,82 – 5,72)</c:v>
                </c:pt>
                <c:pt idx="1">
                  <c:v>Precio objetivo de los analistas (407,60 – 634,20)</c:v>
                </c:pt>
                <c:pt idx="2">
                  <c:v>Comparables: PER NTM (5,43 – 9,27)</c:v>
                </c:pt>
                <c:pt idx="3">
                  <c:v>DCF (WACC y g ± 0,5) (5,04 – 7,29)</c:v>
                </c:pt>
                <c:pt idx="4">
                  <c:v>Escenarios (bajista – alcista) (2,91 – 7,42)</c:v>
                </c:pt>
                <c:pt idx="5">
                  <c:v>DCF con la prima implícita del mercado (4,2 %)</c:v>
                </c:pt>
                <c:pt idx="6">
                  <c:v>Precio actual (4,89)</c:v>
                </c:pt>
              </c:strCache>
            </c:strRef>
          </c:cat>
          <c:val>
            <c:numRef>
              <c:f>Hoja1!$C$2:$C$8</c:f>
              <c:numCache>
                <c:formatCode>#,##0</c:formatCode>
                <c:ptCount val="7"/>
                <c:pt idx="0">
                  <c:v>1.9</c:v>
                </c:pt>
                <c:pt idx="1">
                  <c:v>226.60000000000002</c:v>
                </c:pt>
                <c:pt idx="2">
                  <c:v>3.84</c:v>
                </c:pt>
                <c:pt idx="3">
                  <c:v>2.25</c:v>
                </c:pt>
                <c:pt idx="4">
                  <c:v>4.51</c:v>
                </c:pt>
                <c:pt idx="5">
                  <c:v>2.05</c:v>
                </c:pt>
                <c:pt idx="6">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