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36edae99c53ca6cbe2b66e90185a8f31e9c52e"/>
    <w:p>
      <w:pPr>
        <w:pStyle w:val="Heading1"/>
      </w:pPr>
      <w:r>
        <w:t xml:space="preserve">Addtech AB (ADDT-B): análisis growth, 14-oct-2026</w:t>
      </w:r>
    </w:p>
    <w:p>
      <w:pPr>
        <w:pStyle w:val="FirstParagraph"/>
      </w:pPr>
      <w:r>
        <w:rPr>
          <w:bCs/>
          <w:b/>
        </w:rPr>
        <w:t xml:space="preserve">Señal (método v11, vigente): Vender, es decir, no comprar (no está en cartera)</w:t>
      </w:r>
      <w:r>
        <w:t xml:space="preserve"> </w:t>
      </w:r>
      <w:r>
        <w:t xml:space="preserve">· Puntuación 46,8/100 · Señales de cambio de tendencia 1/8 · EV/beneficio bruto 11,1x · EV/EBITDA de los 12 meses siguientes 20,1x (EV/EBITA 22,6x)</w:t>
      </w:r>
      <w:r>
        <w:t xml:space="preserve"> </w:t>
      </w:r>
      <w:r>
        <w:t xml:space="preserve">Precio 322,00 SEK (cierre del 13-oct) · Objetivo 12 m 272,2 SEK (ponderada −14,4 %, base −12,0 %, bajista −53,5 %, alcista +20,1 %) · Compra hasta 262,0 SEK</w:t>
      </w:r>
      <w:r>
        <w:t xml:space="preserve"> </w:t>
      </w:r>
      <w:r>
        <w:t xml:space="preserve">Peso orientativo: no entra.</w:t>
      </w:r>
      <w:r>
        <w:t xml:space="preserve"> </w:t>
      </w:r>
      <w:r>
        <w:t xml:space="preserve">Referencia v9: Vender, ponderada −14,2 %, base −11,7 %, bajista −53,5 %, compra hasta 262,5 SEK.</w:t>
      </w:r>
      <w:r>
        <w:t xml:space="preserve"> </w:t>
      </w:r>
      <w:r>
        <w:t xml:space="preserve">Candidata v12 (con el crecimiento orgánico): Vender, ponderada −2,5 %, base +0,3 %, bajista −44,8 %, compra hasta 298,7 SEK. v13 y v14 dan lo mismo que v12.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(328,40 SEK, cierre del 14-oct, 15:29 UTC; objetivo del informe fijo): ponderada</w:t>
      </w:r>
      <w:r>
        <w:t xml:space="preserve"> </w:t>
      </w:r>
      <w:r>
        <w:rPr>
          <w:bCs/>
          <w:b/>
        </w:rPr>
        <w:t xml:space="preserve">−16,0 %</w:t>
      </w:r>
      <w:r>
        <w:t xml:space="preserve">.</w:t>
      </w:r>
      <w:r>
        <w:t xml:space="preserve"> </w:t>
      </w:r>
      <w:r>
        <w:t xml:space="preserve">Alertas de robustez: 1 (sin guía de ventas; ver sección 11). Prueba</w:t>
      </w:r>
      <w:r>
        <w:t xml:space="preserve"> </w:t>
      </w:r>
      <w:r>
        <w:rPr>
          <w:rStyle w:val="VerbatimChar"/>
        </w:rPr>
        <w:t xml:space="preserve">robustez-growth</w:t>
      </w:r>
      <w:r>
        <w:t xml:space="preserve">:</w:t>
      </w:r>
      <w:r>
        <w:t xml:space="preserve"> </w:t>
      </w:r>
      <w:r>
        <w:rPr>
          <w:bCs/>
          <w:b/>
        </w:rPr>
        <w:t xml:space="preserve">SÓLIDA</w:t>
      </w:r>
      <w:r>
        <w:t xml:space="preserve"> </w:t>
      </w:r>
      <w:r>
        <w:t xml:space="preserve">(Vender en todas las variantes).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Addtech compra y gestiona pequeñas empresas industriales de nicho (más de 150, en unos 20 países). Es uno de los «compounders» nórdicos: Lagercrantz, Lifco, Indutrade y Addtech [1].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es una empresa de crecimiento alto.</w:t>
      </w:r>
      <w:r>
        <w:t xml:space="preserve"> </w:t>
      </w:r>
      <w:r>
        <w:t xml:space="preserve">Las ventas crecen un 3,8 % en 12 meses, y casi todo viene de compras. El crecimiento orgánico fue del 2 % en el último ejercicio y de cero en los dos últimos trimestres [1][2].</w:t>
      </w:r>
    </w:p>
    <w:p>
      <w:pPr>
        <w:numPr>
          <w:ilvl w:val="0"/>
          <w:numId w:val="1001"/>
        </w:numPr>
        <w:pStyle w:val="Compact"/>
      </w:pPr>
      <w:r>
        <w:t xml:space="preserve">Lo que sí hace muy bien es ganar dinero: margen EBITA récord del 16,6 %, beneficio por acción +15 % y caja que crece cada año. El beneficio sube más que las ventas porque compra empresas más rentables, sube precios y recorta costes [1].</w:t>
      </w:r>
    </w:p>
    <w:p>
      <w:pPr>
        <w:numPr>
          <w:ilvl w:val="0"/>
          <w:numId w:val="1001"/>
        </w:numPr>
        <w:pStyle w:val="Compact"/>
      </w:pPr>
      <w:r>
        <w:t xml:space="preserve">El problema es el precio: 39 veces el beneficio de 12 meses y 20 veces el EBITDA, para un negocio cuyas ventas crecen menos del 5 % sin compras. El precio descuenta crecer un 11 % al año durante 10 años [5][11].</w:t>
      </w:r>
    </w:p>
    <w:p>
      <w:pPr>
        <w:numPr>
          <w:ilvl w:val="0"/>
          <w:numId w:val="1001"/>
        </w:numPr>
        <w:pStyle w:val="Compact"/>
      </w:pPr>
      <w:r>
        <w:t xml:space="preserve">El método da</w:t>
      </w:r>
      <w:r>
        <w:t xml:space="preserve"> </w:t>
      </w:r>
      <w:r>
        <w:rPr>
          <w:bCs/>
          <w:b/>
        </w:rPr>
        <w:t xml:space="preserve">Vender (no comprar)</w:t>
      </w:r>
      <w:r>
        <w:t xml:space="preserve">: puntuación 46,8 (listón 50) y rentabilidad esperada negativa. Incluso con el ajuste del crecimiento orgánico (v12) se queda en −2,5 %.</w:t>
      </w:r>
      <w:r>
        <w:t xml:space="preserve"> </w:t>
      </w:r>
      <w:r>
        <w:rPr>
          <w:bCs/>
          <w:b/>
        </w:rPr>
        <w:t xml:space="preserve">No es suplente.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Addtech (Estocolmo; ejercicio de abril a marzo) es un grupo de empresas técnicas independientes. Venden productos y soluciones de alta tecnología a la industria y a las infraestructuras. Desde 1-oct-2025 tiene seis áreas de negocio [1][4]: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Industry</w:t>
      </w:r>
      <w:r>
        <w:t xml:space="preserve"> </w:t>
      </w:r>
      <w:r>
        <w:t xml:space="preserve">(20 % de las ventas): soluciones para vehículos especiales, aserraderos, electrónica, submarino y reciclaje. Margen EBITA del 20,9 %.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</w:t>
      </w:r>
      <w:r>
        <w:t xml:space="preserve"> </w:t>
      </w:r>
      <w:r>
        <w:t xml:space="preserve">(17 %): productos para redes eléctricas nacionales y regionales, distribución, ferrocarril y generación. Margen del 19,5 %.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(18 %): equipos para la industria de proceso, el sector marino y la energía. Margen del 14,3 %.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Electrification</w:t>
      </w:r>
      <w:r>
        <w:t xml:space="preserve"> </w:t>
      </w:r>
      <w:r>
        <w:t xml:space="preserve">(16 %): baterías, motores y generadores (RAMME), electrónica de potencia y sistemas para vehículos especiales y barcos. Margen del 16,2 %.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</w:t>
      </w:r>
      <w:r>
        <w:t xml:space="preserve"> </w:t>
      </w:r>
      <w:r>
        <w:t xml:space="preserve">(16 %): movimiento, sensores e informática industrial. Margen del 13,6 %.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Safety</w:t>
      </w:r>
      <w:r>
        <w:t xml:space="preserve"> </w:t>
      </w:r>
      <w:r>
        <w:t xml:space="preserve">(14 %): seguridad vial, cajas exteriores, edificación y productos para centros de datos. Margen del 14,9 %.</w:t>
      </w:r>
    </w:p>
    <w:p>
      <w:pPr>
        <w:pStyle w:val="BodyText"/>
      </w:pPr>
      <w:r>
        <w:t xml:space="preserve">El modelo: compra empresas privadas pequeñas y rentables (ventas de 50 a 400 M SEK), a menudo de sus fundadores, y las deja funcionar solas, con la red y el capital del grupo. En 2025/26 hizo nueve compras con 1.595 M de ventas anuales; en el 1T 2026/27, dos más (Staka y Nijhuis, Países Bajos) [1][2].</w:t>
      </w:r>
    </w:p>
    <w:p>
      <w:pPr>
        <w:pStyle w:val="BodyText"/>
      </w:pPr>
      <w:r>
        <w:t xml:space="preserve">Qué tiene de nuevo: nada en el sentido de una tecnología propia. Una parte de las filiales fabrica productos propios con patentes (Nijhuis, RAMME, Staka) y otra parte es comercio técnico de productos de terceros con mucho valor de ingeniería.</w:t>
      </w:r>
      <w:r>
        <w:t xml:space="preserve"> </w:t>
      </w:r>
      <w:r>
        <w:rPr>
          <w:bCs/>
          <w:b/>
        </w:rPr>
        <w:t xml:space="preserve">Tecnología 2/5</w:t>
      </w:r>
      <w:r>
        <w:t xml:space="preserve">: buenos nichos, pero con alternativas.</w:t>
      </w:r>
      <w:r>
        <w:t xml:space="preserve"> </w:t>
      </w:r>
      <w:r>
        <w:rPr>
          <w:bCs/>
          <w:b/>
        </w:rPr>
        <w:t xml:space="preserve">Posición 3/5</w:t>
      </w:r>
      <w:r>
        <w:t xml:space="preserve">: líder en muchos nichos pequeños, sin cuota relevante en ningún mercado grande.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(año fiscal)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SEK)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2025/26 (abr-jun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2025/26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2025/26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2025/26 (ene-mar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2026/27 (abr-jun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Ejercicio 2025/26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Últimos 12 meses (jul-25 a jun-26)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Consenso ejercicio 2026/27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Consenso ejercicio 2027/28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Aceleración +1,5 pp</w:t>
      </w:r>
      <w:r>
        <w:t xml:space="preserve">: el 1T (+5,7 %) frente a la media de los cuatro anteriores (+4,2 %). Viene de las compras, no del negocio que ya tenía.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CAGR propio a 2 años: 9,1 %</w:t>
      </w:r>
      <w:r>
        <w:t xml:space="preserve"> </w:t>
      </w:r>
      <w:r>
        <w:t xml:space="preserve">(de 23.036 M a ~27.440 M en los 12 meses a jun-2028, consenso). Ese consenso lleva compras ya hechas y, probablemente, algunas futuras.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Crecimiento orgánico (campo de v12): 3 % para los 12 meses siguientes.</w:t>
      </w:r>
      <w:r>
        <w:t xml:space="preserve"> </w:t>
      </w:r>
      <w:r>
        <w:t xml:space="preserve">Es una estimación propia sobre la cifra que publica la empresa: la media de los cuatro últimos trimestres es del 1,25 %. La empresa dice que el mercado mejoró en el 1T, con entrada de pedidos sólida y más pedidos que ventas, y que los pedidos de redes eléctricas volvieron a ser «muy fuertes» [1][3]. Las compras ya cerradas añaden unos 905 M de ventas anuales que aún no están enteras en los 12 meses (cálculo propio con la tabla de compras): las ventas pro forma son unos 23.940 M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Addtech</w:t>
      </w:r>
      <w:r>
        <w:t xml:space="preserve"> </w:t>
      </w:r>
      <w:r>
        <w:rPr>
          <w:bCs/>
          <w:b/>
        </w:rPr>
        <w:t xml:space="preserve">no da guía de ventas</w:t>
      </w:r>
      <w:r>
        <w:t xml:space="preserve">. Su objetivo es crecer el EBITA al menos un 15 % al año a lo largo del ciclo; en 2025/26 creció un 12 % y en 2024/25 un 14 % [2][9].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Lectura</w:t>
      </w:r>
      <w:r>
        <w:t xml:space="preserve">: el crecimiento orgánico lleva casi tres años plano (forestal, proceso y construcción flojos). El beneficio crece mucho más que las ventas: EBITA +11 % en el 1T con ventas orgánicas planas.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alcanzable: ~2.300.000 M SEK</w:t>
      </w:r>
      <w:r>
        <w:t xml:space="preserve"> </w:t>
      </w:r>
      <w:r>
        <w:t xml:space="preserve">en 2028, aproximación propia con el mercado europeo de distribución de suministros industriales (MRO), de unos 220.000 M USD en 2025 y +3,9 % al año [16]. Addtech no publica un mercado total: compra en nichos de un mercado muy fragmentado.</w:t>
      </w:r>
      <w:r>
        <w:t xml:space="preserve"> </w:t>
      </w:r>
      <w:r>
        <w:rPr>
          <w:bCs/>
          <w:b/>
        </w:rPr>
        <w:t xml:space="preserve">Penetración ~1 %.</w:t>
      </w:r>
      <w:r>
        <w:t xml:space="preserve"> </w:t>
      </w:r>
      <w:r>
        <w:t xml:space="preserve">La cifra es solo orientativa: lo que cuenta en un comprador en serie es cuántas empresas pequeñas y buenas quedan por comprar, y en Europa son miles.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 en las compras</w:t>
      </w:r>
      <w:r>
        <w:t xml:space="preserve">: Lagercrantz, Lifco, Indutrade, OEM, Bergman &amp; Beving, Sdiptech y fondos de capital privado. Hay competencia por las mismas empresas, sobre todo en los nórdicos; Addtech compra cada vez más en el continente (42 % de las ventas ya es fuera de los nórdicos) [2].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reputación de buen dueño a largo plazo, descentralización (el fundador sigue al mando de su empresa) y disciplina de precio. La rentabilidad sobre el capital circulante (P/WC) es del 81 %, muy por encima de su objetivo del 45 % [1].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¿Sí/no?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Mixtas. Handelsbanken sube su objetivo a 420 SEK y Goldman a 417; DNB Carnegie lo baja de 410 a 395 el 6-oct. El 1T batió en EBITA (1.026 M frente a 998 M esperados), sin prueba de que suban las ventas esperadas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322,00 SEK frente a una media de 327,4, casi plana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−1,1 % frente a +4,5 % del índice de Estocolmo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de ~20,1x frente a un mínimo de 12 meses de ~19,2x: +5 %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EBITA +0,8 pp en el 1T. Mejora constante, pero no un salto de 5 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Neutral: «buena empresa, pero cara». Dos años de acción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de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dos compras pequeñas de directores de área (~0,3 M SEK cada una, mayo)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 (6 meses)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2T el 22-oct con comparaciones fáciles, y la recuperación de los pedidos de redes eléctricas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[1][3]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Sube un 7,2 % en 12 meses y el EV/beneficio bruto es de 11,1x. Bloque C: 2,5/20.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 33,6 %</w:t>
      </w:r>
      <w:r>
        <w:t xml:space="preserve"> </w:t>
      </w:r>
      <w:r>
        <w:t xml:space="preserve">(12 meses), subiendo en las seis áreas. Es de industria y comercio técnico, no de software: puntúa 2/5.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EBITDA 18,3 % y EBITA 16,3 %</w:t>
      </w:r>
      <w:r>
        <w:t xml:space="preserve"> </w:t>
      </w:r>
      <w:r>
        <w:t xml:space="preserve">en 12 meses, récord. El margen sube por mezcla de productos, precios, compras más rentables y recortes de costes en Automation y Safety [1].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 de 12 meses: ~2.940 M</w:t>
      </w:r>
      <w:r>
        <w:t xml:space="preserve"> </w:t>
      </w:r>
      <w:r>
        <w:t xml:space="preserve">(caja de las operaciones de 3.124 M menos 186 M de inversión en inmovilizado; margen 12,8 %), frente a ~2.500 M un año antes:</w:t>
      </w:r>
      <w:r>
        <w:t xml:space="preserve"> </w:t>
      </w:r>
      <w:r>
        <w:rPr>
          <w:bCs/>
          <w:b/>
        </w:rPr>
        <w:t xml:space="preserve">creciente</w:t>
      </w:r>
      <w:r>
        <w:t xml:space="preserve"> </w:t>
      </w:r>
      <w:r>
        <w:t xml:space="preserve">(5/5). Antes de los pagos de arrendamientos, que la empresa no desglosa en el informe trimestral. Casi todo el FCF se va a compras (1.634 M en 12 meses) y dividendos (864 M) [1].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40: 17</w:t>
      </w:r>
      <w:r>
        <w:t xml:space="preserve"> </w:t>
      </w:r>
      <w:r>
        <w:t xml:space="preserve">(3,8 % de crecimiento más 12,8 % de margen FCF): puntúa 0/5.</w:t>
      </w:r>
    </w:p>
    <w:p>
      <w:pPr>
        <w:numPr>
          <w:ilvl w:val="0"/>
          <w:numId w:val="1004"/>
        </w:numPr>
        <w:pStyle w:val="Compact"/>
      </w:pPr>
      <w:r>
        <w:t xml:space="preserve">Bloque D: 7/15.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Deuda financiera neta de 5.678 M SEK</w:t>
      </w:r>
      <w:r>
        <w:t xml:space="preserve"> </w:t>
      </w:r>
      <w:r>
        <w:t xml:space="preserve">(con 241 M de pensiones) a 30-jun-2026; deuda neta/EBITDA 1,3. Liquidez disponible de 5.263 M, con un préstamo nuevo de 1.000 M del Banco Nórdico de Inversiones a 8 años. Pagos aplazados de compras pendientes: 542 M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Minoritarios</w:t>
      </w:r>
      <w:r>
        <w:t xml:space="preserve">: Addtech compra muchas empresas al 80-90 % y deja una parte al fundador. Se suman al valor de empresa unos 2.000 M, estimación propia: el 2,3 % del beneficio es de los minoritarios, aplicado a la capitalización. En el JSON,</w:t>
      </w:r>
      <w:r>
        <w:t xml:space="preserve"> </w:t>
      </w:r>
      <w:r>
        <w:rPr>
          <w:rStyle w:val="VerbatimChar"/>
        </w:rPr>
        <w:t xml:space="preserve">deuda_m</w:t>
      </w:r>
      <w:r>
        <w:t xml:space="preserve"> </w:t>
      </w:r>
      <w:r>
        <w:t xml:space="preserve">= 7.680 y</w:t>
      </w:r>
      <w:r>
        <w:t xml:space="preserve"> </w:t>
      </w:r>
      <w:r>
        <w:rPr>
          <w:rStyle w:val="VerbatimChar"/>
        </w:rPr>
        <w:t xml:space="preserve">caja_m</w:t>
      </w:r>
      <w:r>
        <w:t xml:space="preserve"> </w:t>
      </w:r>
      <w:r>
        <w:t xml:space="preserve">= 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Pista: FCF positivo. Dilución ~0,1 %</w:t>
      </w:r>
      <w:r>
        <w:t xml:space="preserve"> </w:t>
      </w:r>
      <w:r>
        <w:t xml:space="preserve">(programas de opciones cubiertos con autocartera). Bloque E: 10/10.</w:t>
      </w:r>
    </w:p>
    <w:p>
      <w:pPr>
        <w:numPr>
          <w:ilvl w:val="0"/>
          <w:numId w:val="1005"/>
        </w:numPr>
        <w:pStyle w:val="Compact"/>
      </w:pPr>
      <w:r>
        <w:t xml:space="preserve">Dividendo de 3,60 SEK por 2025/26 (1,1 %).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Niklas Stenberg</w:t>
      </w:r>
      <w:r>
        <w:t xml:space="preserve">, consejero delegado desde 2018, tiene 229.076 acciones B (~74 M SEK) [15]. Bajo su mando, las ventas han pasado de unos 10.000 M SEK (de memoria) a 23.000 M y el margen EBITA, de algo más del 10 % (de memoria) al 16 %. La reorganización en seis áreas (oct-2025) y los recortes en las áreas débiles ya se ven en los márgenes.</w:t>
      </w:r>
      <w:r>
        <w:t xml:space="preserve"> </w:t>
      </w:r>
      <w:r>
        <w:rPr>
          <w:bCs/>
          <w:b/>
        </w:rPr>
        <w:t xml:space="preserve">Dirección 5/5</w:t>
      </w:r>
      <w:r>
        <w:t xml:space="preserve">: asignación de capital disciplinada, deuda baja y compras pequeñas sin sobrepagar.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4/5</w:t>
      </w:r>
      <w:r>
        <w:t xml:space="preserve">: no da guía, así que se mide frente a su objetivo de EBITA +15 % al año. Lo superó con holgura en 2021-2023, pero lo ha incumplido dos años seguidos (+14 % y +12 %). Batió al consenso de EBITA en el 1T [8].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Métrica: EV/EBITDA de los 12 meses siguientes.</w:t>
      </w:r>
      <w:r>
        <w:t xml:space="preserve"> </w:t>
      </w:r>
      <w:r>
        <w:t xml:space="preserve">Addtech gana dinero de forma estable desde hace décadas, con un margen bruto de industria (34 %). El EV/ventas la compararía mal con el software. El mercado y la propia empresa miran el</w:t>
      </w:r>
      <w:r>
        <w:t xml:space="preserve"> </w:t>
      </w:r>
      <w:r>
        <w:rPr>
          <w:bCs/>
          <w:b/>
        </w:rPr>
        <w:t xml:space="preserve">EBITA</w:t>
      </w:r>
      <w:r>
        <w:t xml:space="preserve"> </w:t>
      </w:r>
      <w:r>
        <w:t xml:space="preserve">(beneficio operativo antes de amortizar lo pagado de más en las compras). El motor usa EBITDA; pasar a EBITA no cambia el resultado, porque el EBITA es un 89 % estable del EBITDA. Las dos cifras:</w:t>
      </w:r>
      <w:r>
        <w:t xml:space="preserve"> </w:t>
      </w:r>
      <w:r>
        <w:rPr>
          <w:bCs/>
          <w:b/>
        </w:rPr>
        <w:t xml:space="preserve">EV/EBITDA 20,1x y EV/EBITA 22,6x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Hoy</w:t>
      </w:r>
      <w:r>
        <w:t xml:space="preserve">: EV ≈ 94.640 M SEK (322 × 270,1 M de acciones + 5.678 M de deuda neta + ~2.000 M de minoritarios). EBITDA de los 12 meses siguientes ≈ 4.716 M (consenso de los ejercicios 2026/27 y 2027/28) [5]. PER de 12 meses: 39x.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Frente a su historia (compounders nórdicos)</w:t>
      </w:r>
      <w:r>
        <w:t xml:space="preserve">: mediana de 3 años</w:t>
      </w:r>
      <w:r>
        <w:t xml:space="preserve"> </w:t>
      </w:r>
      <w:r>
        <w:rPr>
          <w:bCs/>
          <w:b/>
        </w:rPr>
        <w:t xml:space="preserve">~21,3x</w:t>
      </w:r>
      <w:r>
        <w:t xml:space="preserve">, mínimo ~16,6x (oct-2023) y máximo ~26,4x (jun-2024), estimación propia [11]. El PER al cierre de cada ejercicio ha estado entre 37x y 44x desde 2022 [5][10]. Antes de 2019, los compradores en serie nórdicos cotizaban a unas 20-25 veces el beneficio (de memoria, sin comprobar); Placera dice que su nivel histórico es «algo por encima de 25x» [12].</w:t>
      </w:r>
      <w:r>
        <w:t xml:space="preserve"> </w:t>
      </w:r>
      <w:r>
        <w:rPr>
          <w:bCs/>
          <w:b/>
        </w:rPr>
        <w:t xml:space="preserve">Hoy no está cara frente a su historia reciente</w:t>
      </w:r>
      <w:r>
        <w:t xml:space="preserve">, pero su historia reciente es la de una época de tipos cero: el múltiplo se ganó en 2019-2021 y no lo ha devuelto.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Comparables</w:t>
      </w:r>
      <w:r>
        <w:t xml:space="preserve"> </w:t>
      </w:r>
      <w:r>
        <w:t xml:space="preserve">(EV/EBITA del ejercicio 2027, Factset): Lagercrantz 21,1x, Lifco 20,7x, OEM 21,1x, Indutrade 16,8x, Asker 16,4x y AddLife 15,9x; mediana 18,75x, que en EBITDA son ~16,7x.</w:t>
      </w:r>
      <w:r>
        <w:t xml:space="preserve"> </w:t>
      </w:r>
      <w:r>
        <w:rPr>
          <w:bCs/>
          <w:b/>
        </w:rPr>
        <w:t xml:space="preserve">Addtech es la más cara del grupo</w:t>
      </w:r>
      <w:r>
        <w:t xml:space="preserve"> </w:t>
      </w:r>
      <w:r>
        <w:t xml:space="preserve">(21,8x, y PER 2027 de 30x) [12].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Ventas del ejercicio objetivo</w:t>
      </w:r>
      <w:r>
        <w:t xml:space="preserve"> </w:t>
      </w:r>
      <w:r>
        <w:t xml:space="preserve">(12 meses a jun-2028): bajista 24.700 M (orgánico ~1,5 % y las compras ya hechas),</w:t>
      </w:r>
      <w:r>
        <w:t xml:space="preserve"> </w:t>
      </w:r>
      <w:r>
        <w:rPr>
          <w:bCs/>
          <w:b/>
        </w:rPr>
        <w:t xml:space="preserve">base 26.000 M</w:t>
      </w:r>
      <w:r>
        <w:t xml:space="preserve"> </w:t>
      </w:r>
      <w:r>
        <w:t xml:space="preserve">(orgánico ~4 %, sin compras futuras) y alcista 27.400 M (≈ consenso de 27.440 M). La regla mecánica da 24.535 / 26.081 / 26.713 M; v11 toma la menor en cada escenario.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Crecimiento</w:t>
      </w:r>
      <w:r>
        <w:t xml:space="preserve"> </w:t>
      </w:r>
      <w:r>
        <w:t xml:space="preserve">de los 12 meses siguientes 10,5 % (consenso, con compras) y del año objetivo 7,8 %: factor de desaceleración 0,86.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SEK)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 (con 1,1 % de dividendo)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24.535 (mecánica)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146,1 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 (informe)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279,8 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26.713 (mecánica)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383,2 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(v11)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272,2 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−14,4 %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Ponderado (v12, orgánico 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24.535 / 25.287 / 25.561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12,1x / 20,1x / 26,1x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310,4 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−2,5 %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Asimetría 0,4.</w:t>
      </w:r>
      <w:r>
        <w:t xml:space="preserve"> </w:t>
      </w:r>
      <w:r>
        <w:rPr>
          <w:bCs/>
          <w:b/>
        </w:rPr>
        <w:t xml:space="preserve">Compra hasta 262,0 SEK</w:t>
      </w:r>
      <w:r>
        <w:t xml:space="preserve"> </w:t>
      </w:r>
      <w:r>
        <w:t xml:space="preserve">(v11); con v12, 298,7.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 qué v11 y v12 difieren tanto</w:t>
      </w:r>
      <w:r>
        <w:t xml:space="preserve">: v11 compara el crecimiento de los próximos 12 meses con compras (10,5 %) con el del año objetivo (7,8 %), ve un frenazo y rebaja el múltiplo un 14 %. Pero ese frenazo es solo que las compras de este año dejan de sumar. v12 mide la desaceleración desde el orgánico (3 %) y no rebaja el múltiplo.</w:t>
      </w:r>
      <w:r>
        <w:t xml:space="preserve"> </w:t>
      </w:r>
      <w:r>
        <w:rPr>
          <w:bCs/>
          <w:b/>
        </w:rPr>
        <w:t xml:space="preserve">Para un comprador en serie, v12 es la lectura correcta</w:t>
      </w:r>
      <w:r>
        <w:t xml:space="preserve">, y aun así da −2,5 %.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382,86 SEK (7 analistas, Comprar), con objetivos recientes de 340 a 420 [5][6]. Los analistas suponen que el múltiplo se mantiene y que las compras siguen sumando. El método no paga por las compras futuras porque cuestan dinero.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el precio descuenta</w:t>
      </w:r>
      <w:r>
        <w:t xml:space="preserve"> </w:t>
      </w:r>
      <w:r>
        <w:rPr>
          <w:bCs/>
          <w:b/>
        </w:rPr>
        <w:t xml:space="preserve">~11 % de crecimiento anual de ventas a 10 años</w:t>
      </w:r>
      <w:r>
        <w:t xml:space="preserve"> </w:t>
      </w:r>
      <w:r>
        <w:t xml:space="preserve">con un margen FCF del 12,8 % (coste de capital 8,5 %, crecimiento final 2,5 %). Pero el FCF no puede pagar a la vez ese crecimiento por compras y llegar al accionista: en la práctica pide un orgánico de ~4-5 % más ~6 % de compras durante 10 años sin que baje el múltiplo.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foros suecos</w:t>
      </w:r>
      <w:r>
        <w:t xml:space="preserve"> </w:t>
      </w:r>
      <w:r>
        <w:t xml:space="preserve">(Placera, Affärsvärlden, EFN): el tema es siempre el mismo. Es una de las mejores empresas de la bolsa sueca, pero cara. Placera esperaba («för hög värdering»), Affärsvärlden la llama «förvärvsmaskinen är fullvärderad» y «en dyr darling», DNB Carnegie la bajó a Mantener en abril (350 SEK) y SEB está en Mantener (328 SEK) [13]. Después del 1T, varios analistas dijeron que el crecimiento orgánico debería volver [13].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Bancos</w:t>
      </w:r>
      <w:r>
        <w:t xml:space="preserve">: la mayoría recomienda Comprar (MarketScreener: 7 analistas, objetivo 382,86 SEK). Las subidas de objetivo de Handelsbanken y Goldman (sep) se compensan con el recorte de DNB Carnegie justo antes del 2T [5][6][7].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y Seeking Alpha</w:t>
      </w:r>
      <w:r>
        <w:t xml:space="preserve">: no encontré hilos recientes. Hay un artículo antiguo de Seeking Alpha («Winning formula for acquisitions») y una comunidad pequeña de inversores en «serial acquirers», que la cita como modelo [9].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sentimiento es neutral y la acción lleva dos años entre 290 y 360 SEK. No hay ni euforia ni capitulación. El 7-oct cayó un 7,6 % en un día sin noticia propia localizada (el recorte de objetivo de DNB Carnegie fue el 6-oct).</w:t>
      </w:r>
    </w:p>
    <w:bookmarkEnd w:id="29"/>
    <w:bookmarkStart w:id="30" w:name="riesgos-robustez-y-qué-rompería-la-tesis"/>
    <w:p>
      <w:pPr>
        <w:pStyle w:val="Heading2"/>
      </w:pPr>
      <w:r>
        <w:t xml:space="preserve">11. Riesgos, robustez y qué rompería la tesis</w:t>
      </w:r>
    </w:p>
    <w:p>
      <w:pPr>
        <w:pStyle w:val="FirstParagraph"/>
      </w:pPr>
      <w:r>
        <w:rPr>
          <w:bCs/>
          <w:b/>
        </w:rPr>
        <w:t xml:space="preserve">Alertas del motor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) y si debilitan la señal: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«Sin guía anual de 12 meses: el recorte por la guía (v9) no actúa.»</w:t>
      </w:r>
      <w:r>
        <w:t xml:space="preserve"> </w:t>
      </w:r>
      <w:r>
        <w:t xml:space="preserve">Es cierto: Addtech no da guía de ventas.</w:t>
      </w:r>
      <w:r>
        <w:t xml:space="preserve"> </w:t>
      </w:r>
      <w:r>
        <w:rPr>
          <w:bCs/>
          <w:b/>
        </w:rPr>
        <w:t xml:space="preserve">No debilita la señal</w:t>
      </w:r>
      <w:r>
        <w:t xml:space="preserve">: el recorte por la guía solo podría bajar las ventas, y la señal ya es Vender. El freno que sí actúa es el orgánico de v12.</w:t>
      </w:r>
    </w:p>
    <w:p>
      <w:pPr>
        <w:pStyle w:val="BodyText"/>
      </w:pPr>
      <w:r>
        <w:rPr>
          <w:bCs/>
          <w:b/>
        </w:rPr>
        <w:t xml:space="preserve">Prueba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robustez-growth</w:t>
      </w:r>
      <w:r>
        <w:rPr>
          <w:bCs/>
          <w:b/>
        </w:rPr>
        <w:t xml:space="preserve"> </w:t>
      </w:r>
      <w:r>
        <w:rPr>
          <w:bCs/>
          <w:b/>
        </w:rPr>
        <w:t xml:space="preserve">(con el precio de hoy): SÓLIDA, Vender en todas las variantes.</w:t>
      </w:r>
      <w:r>
        <w:t xml:space="preserve"> </w:t>
      </w:r>
      <w:r>
        <w:t xml:space="preserve">v7 −14,2 %; con las ventas del analista −13,5 %; con probabilidades 35/50/15 −21,7 %; al precio de hoy con el objetivo fijo −16,0 %. Avisos: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G2</w:t>
      </w:r>
      <w:r>
        <w:t xml:space="preserve">: el objetivo se mueve casi uno a uno con el precio (elasticidad 1,02), porque valora con el múltiplo de hoy. Por eso al revisar el precio se deja fijo el objetivo del informe (272,2 SEK).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G4</w:t>
      </w:r>
      <w:r>
        <w:t xml:space="preserve">: sin guía, v9 = v7 (lo mismo que la alerta de arriba).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G6</w:t>
      </w:r>
      <w:r>
        <w:t xml:space="preserve">: bajista del −54 %. Viene de aplicar 0,6 veces el múltiplo base (10,4x EBITDA). Es duro, pero no imposible: Addtech cotizó a ~11-13x en 2018-2019 (de memoria).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G8</w:t>
      </w:r>
      <w:r>
        <w:t xml:space="preserve">: el precio descuenta crecer un 11 % al año durante 10 años, más que el 8 % que proyectamos al final del periodo.</w:t>
      </w:r>
    </w:p>
    <w:p>
      <w:pPr>
        <w:pStyle w:val="BodyText"/>
      </w:pPr>
      <w:r>
        <w:rPr>
          <w:bCs/>
          <w:b/>
        </w:rPr>
        <w:t xml:space="preserve">Pruebas propias de sensibilidad</w:t>
      </w:r>
      <w:r>
        <w:t xml:space="preserve"> </w:t>
      </w:r>
      <w:r>
        <w:t xml:space="preserve">(cambiando un dato cada vez):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v11: 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v12: 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Orgánico del 5 % (no 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Crecimiento de los 12 meses siguientes del 5,5 % (orgánico más divisas, sin compras)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(puntuación)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base = consenso (27.400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Comparables a 19,4x (sin las baratas)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Sumar el FCF retenido de 2 años (~15 SEK/acción)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~−10,7 %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honesta:</w:t>
      </w:r>
      <w:r>
        <w:t xml:space="preserve"> </w:t>
      </w:r>
      <w:r>
        <w:t xml:space="preserve">la señal no depende de un número. Aunque la valoración saliera neutra,</w:t>
      </w:r>
      <w:r>
        <w:t xml:space="preserve"> </w:t>
      </w:r>
      <w:r>
        <w:rPr>
          <w:bCs/>
          <w:b/>
        </w:rPr>
        <w:t xml:space="preserve">la puntuación (46,8) la deja fuera</w:t>
      </w:r>
      <w:r>
        <w:t xml:space="preserve">: le faltan crecimiento (5 de 25 puntos), tendencia (1 de 8 señales) y regla del 40. Para llegar a 60 necesitaría a la vez crecer más del 10 % orgánico y que giraran 4-5 señales. Es una gran empresa de calidad, pero no es lo que busca el análisis growth.</w:t>
      </w:r>
    </w:p>
    <w:p>
      <w:pPr>
        <w:pStyle w:val="BodyText"/>
      </w:pPr>
      <w:r>
        <w:rPr>
          <w:bCs/>
          <w:b/>
        </w:rPr>
        <w:t xml:space="preserve">Riesgos del negocio: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Múltiplo</w:t>
      </w:r>
      <w:r>
        <w:t xml:space="preserve">: el mayor riesgo. Es la más cara de su grupo, con un orgánico casi nulo. Si los compradores en serie vuelven a 25-30 veces el beneficio, la acción caería un 25-35 % aunque el negocio siga bien.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Orgánico</w:t>
      </w:r>
      <w:r>
        <w:t xml:space="preserve">: tres años sin crecer por sí sola. Si el 2T (22-oct) no muestra recuperación, el consenso del 10 % para este ejercicio (que lleva ~4,5 pp de orgánico, divisas y compras futuras) bajará.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Compras</w:t>
      </w:r>
      <w:r>
        <w:t xml:space="preserve">: más competencia por las empresas buenas (fondos, Lagercrantz, Lifco) sube los precios de compra; las compras fuera de los nórdicos son más difíciles de integrar.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Ciclo industrial</w:t>
      </w:r>
      <w:r>
        <w:t xml:space="preserve">: forestal, proceso y construcción siguen flojos; Suecia y Noruega, débiles [1].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Divisas</w:t>
      </w:r>
      <w:r>
        <w:t xml:space="preserve">: le restaron un 4 % de ventas en 2025/26 por la corona fuerte.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Riesgo de IA: bajo, con un matiz.</w:t>
      </w:r>
      <w:r>
        <w:t xml:space="preserve"> </w:t>
      </w:r>
      <w:r>
        <w:t xml:space="preserve">La IA no sustituye un motor eléctrico, un transformador, una batería ni una señal de tráfico. Al contrario: la demanda de electricidad de los centros de datos impulsa sus áreas Energy y Electrification, y vende productos para centros de datos (Data &amp; Telecom, ~4 % de las ventas) [1]. El matiz: parte de sus filiales son intermediarios técnicos que venden productos de terceros. Las herramientas de compra con IA y las plataformas en línea pueden presionar a medio plazo el margen de ese comercio, y es la parte de menor margen del grupo (Automation, 13,6 %).</w:t>
      </w:r>
    </w:p>
    <w:p>
      <w:pPr>
        <w:pStyle w:val="BodyText"/>
      </w:pPr>
      <w:r>
        <w:rPr>
          <w:bCs/>
          <w:b/>
        </w:rPr>
        <w:t xml:space="preserve">Qué la haría interesante (no hay posición; no es una señal de venta):</w:t>
      </w:r>
      <w:r>
        <w:t xml:space="preserve"> </w:t>
      </w:r>
      <w:r>
        <w:t xml:space="preserve">orgánico por encima del 5 % dos trimestres seguidos con el precio por debajo de ~260 SEK (unas 17 veces el EBITDA).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2T 2026/27 (jul-sep): se verá si vuelve el orgánico. La comparación no es fácil (+4 % orgánico en el 2T anterior, la mitad por proyectos puntuales); las del 3T y 4T sí lo son (+1 % y 0 %) 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(oct-dic)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Compras: la empresa espera «un ritmo alto» con 5.263 M de liquidez disponible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Mayo-2027 (aprox.)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del ejercicio 2026/27; prueba de su objetivo de EBITA +15 %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Bolsillo growth lleno (~20 %)</w:t>
      </w:r>
      <w:r>
        <w:t xml:space="preserve">: Nu (+19 %), Axon (+36 %), Shopify (+18 %), Snowflake (+13 %) y Samsara (+15 %), al precio actual con v11. La liquidez es de ≈27 EUR, así que solo cabe sustituir. Alphabet se vende mañana y no cuenta.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Addtech al precio actual: −16,0 % de ponderada</w:t>
      </w:r>
      <w:r>
        <w:t xml:space="preserve"> </w:t>
      </w:r>
      <w:r>
        <w:t xml:space="preserve">con el objetivo fijo (272,2 SEK frente a 328,40). Sale Vender:</w:t>
      </w:r>
      <w:r>
        <w:t xml:space="preserve"> </w:t>
      </w:r>
      <w:r>
        <w:rPr>
          <w:bCs/>
          <w:b/>
        </w:rPr>
        <w:t xml:space="preserve">no sustituye a ninguna y no entra en la lista de suplentes</w:t>
      </w:r>
      <w:r>
        <w:t xml:space="preserve"> </w:t>
      </w:r>
      <w:r>
        <w:t xml:space="preserve">(MongoDB, Toast, Zscaler, dLocal, Dexcom, argenx, Datadog, Saab, Natera, Ypsomed).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Para la cartera value</w:t>
      </w:r>
      <w:r>
        <w:t xml:space="preserve">: es una empresa de calidad (P/WC 81 %, rentabilidad sobre fondos propios del 28 %, deuda baja), y su sitio natural sería el análisis value, no el growth. Con PER de 39x y orgánico plano, tampoco pasaría hoy el objetivo a 12 meses por PER del método value. No se propone ninguna orden.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Cuándo cambiaría</w:t>
      </w:r>
      <w:r>
        <w:t xml:space="preserve">: con el orgánico de vuelta por encima del 5 % y el precio por debajo de ~260 SEK, o como candidata value si cae hacia 25-30 veces el beneficio.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+3,8 % (0), CAGR propio a 2 años 9,1 % (0), aceleración +1,5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~1 % (5), tecnología 2, posición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señal (catalizador);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33,6 % (2), regla del 40 = 17 (0),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positivo, dilución 0,1 %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Addtech, Interim report 1 April - 30 June 2026 (14-jul-2026; attachment.news.eu.nasdaq.com/ad1a5fab27409b6149fd5135b14845fb3 y q12026.reports.addtech.com): cifras del trimestre y de 12 meses, datos trimestrales por área, ventas por país y segmento, balance, flujo de caja, indicadores, acciones, opciones, tabla de compras, próximo informe el 22-oct-2026</w:t>
      </w:r>
      <w:r>
        <w:t xml:space="preserve"> </w:t>
      </w:r>
      <w:r>
        <w:t xml:space="preserve">[2] Addtech, Year-end report 1 April 2025 - 31 March 2026 (mb.cision.com/Main/3619/4347027/4102743.pdf): ejercicio 2025/26 y 4T (orgánico 0 %), compras, dividendo, datos trimestrales 2024/25</w:t>
      </w:r>
      <w:r>
        <w:t xml:space="preserve"> </w:t>
      </w:r>
      <w:r>
        <w:t xml:space="preserve">[3] Addtech, presentación del 1T 2026/27 (addtech.se, Presentation-Q1-26-27.pdf): entrada de pedidos sólida y más pedidos que ventas; deuda neta/EBITDA 1,3</w:t>
      </w:r>
      <w:r>
        <w:t xml:space="preserve"> </w:t>
      </w:r>
      <w:r>
        <w:t xml:space="preserve">[4] Addtech, Interim report 1 April - 30 September 2025 (mb.cision.com/Main/3619/4254332/3738639.pdf) y presentación del 2T 2025/26; 3T 2025/26 (q32025.reports.addtech.com e Inderes)</w:t>
      </w:r>
      <w:r>
        <w:t xml:space="preserve"> </w:t>
      </w:r>
      <w:r>
        <w:t xml:space="preserve">[5] MarketScreener, AddTech AB, finanzas y estimaciones (14-oct-2026): consenso de ventas, EBITDA y BPA de los ejercicios a mar-2027, mar-2028 y mar-2029; 7 analistas, objetivo medio 382,86 SEK; último cierre 322,00 SEK</w:t>
      </w:r>
      <w:r>
        <w:t xml:space="preserve"> </w:t>
      </w:r>
      <w:r>
        <w:t xml:space="preserve">[6] Targetwatch (riktkurs.nu, 14-oct-2026): precios objetivo de 2026 por banco y fecha; último cierre 322,00 SEK el 13-oct</w:t>
      </w:r>
      <w:r>
        <w:t xml:space="preserve"> </w:t>
      </w:r>
      <w:r>
        <w:t xml:space="preserve">[7] ad-hoc-news.de (13-oct-2026): DNB Carnegie baja el objetivo de 410 a 395 SEK (6-oct) y mantiene Comprar</w:t>
      </w:r>
      <w:r>
        <w:t xml:space="preserve"> </w:t>
      </w:r>
      <w:r>
        <w:t xml:space="preserve">[8] Placera Telegram (14-jul-2026): EBITA del 1T frente al consenso de Infront</w:t>
      </w:r>
      <w:r>
        <w:t xml:space="preserve"> </w:t>
      </w:r>
      <w:r>
        <w:t xml:space="preserve">[9] Addtech, objetivos financieros (EBITA +15 % al año, P/WC ≥ 45 %); Seeking Alpha, «Addtech: Winning Formula For Acquisitions Shows No Signs Of Slowing Down»</w:t>
      </w:r>
      <w:r>
        <w:t xml:space="preserve"> </w:t>
      </w:r>
      <w:r>
        <w:t xml:space="preserve">[10] Yahoo Finance chart API: ADDT-B.ST y ^OMXSPI (cierres diarios a 2 años y mensuales a 10 años; 322,00 SEK el 13-oct y 328,40 SEK el 14-oct a las 15:29 UTC); segunda fuente del cierre: MarketScreener y Targetwatch</w:t>
      </w:r>
      <w:r>
        <w:t xml:space="preserve"> </w:t>
      </w:r>
      <w:r>
        <w:t xml:space="preserve">[11] Múltiplos históricos: estimación propia con cierres mensuales de Yahoo, EBITDA real y de consenso [5], deuda neta interpolada y minoritarios estimados</w:t>
      </w:r>
      <w:r>
        <w:t xml:space="preserve"> </w:t>
      </w:r>
      <w:r>
        <w:t xml:space="preserve">[12] Placera (19-ago-2026), «Så värderas serieförvärvarna» (Factset): EV/EBITA y PER 2027e de Addtech y sus comparables; nivel histórico del PER del grupo</w:t>
      </w:r>
      <w:r>
        <w:t xml:space="preserve"> </w:t>
      </w:r>
      <w:r>
        <w:t xml:space="preserve">[13] Placera Telegram (21-may-2026), «Flera analytiker bedömer att tillväxten återvänder»; Affärsvärlden, «Förvärvsmaskinen är fullvärderad» y «Addtech – en dyr darling»; Placera, «Addtechs värdering för hög – Placera avvaktar»; EFN, «DNB Carnegie nedgraderar Addtech» (abr-2026)</w:t>
      </w:r>
      <w:r>
        <w:t xml:space="preserve"> </w:t>
      </w:r>
      <w:r>
        <w:t xml:space="preserve">[14] Affärsvärlden, ficha de Addtech: compras de directivos de mayo-2026; préstamo del Banco Nórdico de Inversiones (26-jun-2026)</w:t>
      </w:r>
      <w:r>
        <w:t xml:space="preserve"> </w:t>
      </w:r>
      <w:r>
        <w:t xml:space="preserve">[15] MarketScreener, ficha de Niklas Stenberg: 229.076 acciones B, última operación el 22-sep-2025</w:t>
      </w:r>
      <w:r>
        <w:t xml:space="preserve"> </w:t>
      </w:r>
      <w:r>
        <w:t xml:space="preserve">[16] Astute Analytica, «Europe MRO distribution market» (219.950 M USD en 2025, +3,9 % al año); USD/SEK 10,02 (Yahoo, 14-oct-2026)</w:t>
      </w:r>
    </w:p>
    <w:p>
      <w:pPr>
        <w:pStyle w:val="BodyText"/>
      </w:pPr>
      <w:r>
        <w:rPr>
          <w:iCs/>
          <w:i/>
        </w:rPr>
        <w:t xml:space="preserve">Limitaciones: Addtech no está en la SEC y no da guía; las cifras salen de sus informes trimestrales (fuente primaria), del consenso de MarketScreener y de prensa sueca, a veces leída a través de buscadores (Affärsvärlden está tras un muro de pago). Son estimaciones propias, y así se dice: el orgánico de los 12 meses siguientes, las ventas pro forma, el valor de los minoritarios, los múltiplos históricos y el mercado alcanzable. Es de memoria, sin comprobar, el múltiplo de los compradores en serie antes de 2019. No encontré la causa de la caída del 7-oct.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2026-10-14T21:04:19Z</dcterms:created>
  <dcterms:modified xsi:type="dcterms:W3CDTF">2026-10-14T21:04:19Z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