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608279254555d9a186f327812f0adecd7b60a0"/>
    <w:p>
      <w:pPr>
        <w:pStyle w:val="Heading1"/>
      </w:pPr>
      <w:r>
        <w:t xml:space="preserve">Exosens (EXENS, París): análisis growth, 14-oct-2026</w:t>
      </w:r>
    </w:p>
    <w:p>
      <w:pPr>
        <w:pStyle w:val="FirstParagraph"/>
      </w:pPr>
      <w:r>
        <w:rPr>
          <w:bCs/>
          <w:b/>
        </w:rPr>
        <w:t xml:space="preserve">Señal: Mantener (v11)</w:t>
      </w:r>
      <w:r>
        <w:t xml:space="preserve"> </w:t>
      </w:r>
      <w:r>
        <w:t xml:space="preserve">· Puntuación 56,2/100 · Señales de cambio de tendencia 3/8 · Euforia: no (+19 % en 12 meses)</w:t>
      </w:r>
      <w:r>
        <w:t xml:space="preserve"> </w:t>
      </w:r>
      <w:r>
        <w:t xml:space="preserve">Precio 57,00 EUR (cierre del 13-oct) · Objetivo 12 m 51,6 EUR · Ponderada −9,0 % · Base −6,8 % · Bajista −54,3 % · Alcista +32,1 % · Compra hasta 49,4 EUR (y además le falta puntuación: con menos de 60 no compra a ningún precio)</w:t>
      </w:r>
      <w:r>
        <w:t xml:space="preserve"> </w:t>
      </w:r>
      <w:r>
        <w:t xml:space="preserve">Referencia v9: ponderada −8,4 %, base −5,7 %, bajista −54,3 %, Mantener; compra hasta 49,7 EUR</w:t>
      </w:r>
      <w:r>
        <w:t xml:space="preserve"> </w:t>
      </w:r>
      <w:r>
        <w:t xml:space="preserve">Al precio actual (58,10 EUR, 14-oct 15:35 UTC, cierre del día) y con el objetivo del informe fijo (51,6 ÷ 58,10 − 1 + 0,5 % de dividendo):</w:t>
      </w:r>
      <w:r>
        <w:t xml:space="preserve"> </w:t>
      </w:r>
      <w:r>
        <w:rPr>
          <w:bCs/>
          <w:b/>
        </w:rPr>
        <w:t xml:space="preserve">−10,7 %</w:t>
      </w:r>
      <w:r>
        <w:t xml:space="preserve"> </w:t>
      </w:r>
      <w:r>
        <w:t xml:space="preserve">Peso orientativo:</w:t>
      </w:r>
      <w:r>
        <w:t xml:space="preserve"> </w:t>
      </w:r>
      <w:r>
        <w:rPr>
          <w:bCs/>
          <w:b/>
        </w:rPr>
        <w:t xml:space="preserve">no entra</w:t>
      </w:r>
    </w:p>
    <w:p>
      <w:pPr>
        <w:pStyle w:val="BodyText"/>
      </w:pPr>
      <w:r>
        <w:rPr>
          <w:bCs/>
          <w:b/>
        </w:rPr>
        <w:t xml:space="preserve">Resumen en llano.</w:t>
      </w:r>
      <w:r>
        <w:t xml:space="preserve"> </w:t>
      </w:r>
      <w:r>
        <w:t xml:space="preserve">Exosens es la antigua Photonis: el mayor fabricante del mundo, fuera de EE. UU., de tubos intensificadores de imagen, la pieza central de las gafas de visión nocturna militares, y cada vez más de cámaras para drones y antidrones. Crece alrededor del 20 % al año, gana mucho dinero (un tercio de cada euro vendido es EBITDA) y acaba de subir sus previsiones por segunda vez. El problema es el precio: la bolsa ya paga 15,5 veces el EBITDA de los próximos doce meses, más que su mediana desde que cotiza, y el método calcula un valor a 12 meses por debajo de la cotización. Además, depende mucho de un cliente (Theon, el 38 % de las ventas) y su accionista de control, un fondo de capital riesgo, sigue vendiendo. Buena empresa, precio justo o algo caro:</w:t>
      </w:r>
      <w:r>
        <w:t xml:space="preserve"> </w:t>
      </w:r>
      <w:r>
        <w:rPr>
          <w:bCs/>
          <w:b/>
        </w:rPr>
        <w:t xml:space="preserve">Mantener, sin hueco en el bolsillo growth.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Líder mundial en tubos intensificadores de imagen sin restricciones de exportación de EE. UU. (ITAR): es el proveedor natural de la OTAN fuera de EE. UU. Solo hay tres fabricantes serios en el mundo (Exosens, L3Harris y Elbit) [6].</w:t>
      </w:r>
    </w:p>
    <w:p>
      <w:pPr>
        <w:numPr>
          <w:ilvl w:val="0"/>
          <w:numId w:val="1001"/>
        </w:numPr>
        <w:pStyle w:val="Compact"/>
      </w:pPr>
      <w:r>
        <w:t xml:space="preserve">Crece por la demanda de defensa: ventas +19 % en los últimos 12 meses (de ellas, unos 7 puntos por compras) y guía 2026 subida a 558-570 M (+20 %), con un segundo semestre implícito del +25 % gracias a la capacidad nueva en Europa [1][3].</w:t>
      </w:r>
    </w:p>
    <w:p>
      <w:pPr>
        <w:numPr>
          <w:ilvl w:val="0"/>
          <w:numId w:val="1001"/>
        </w:numPr>
        <w:pStyle w:val="Compact"/>
      </w:pPr>
      <w:r>
        <w:t xml:space="preserve">Muy rentable y con caja: margen EBITDA ajustado del 33 %, FCF positivo todos los años y deuda neta de solo 1,2 veces el EBITDA [1].</w:t>
      </w:r>
    </w:p>
    <w:p>
      <w:pPr>
        <w:numPr>
          <w:ilvl w:val="0"/>
          <w:numId w:val="1001"/>
        </w:numPr>
        <w:pStyle w:val="Compact"/>
      </w:pPr>
      <w:r>
        <w:t xml:space="preserve">Pero el precio ya lo descuenta: 15,5 veces el EBITDA de los próximos 12 meses, frente a una mediana de 13,8 desde que cotiza; el escenario base del método da 52,8 EUR (−7 %) y la ponderada −9 % [12].</w:t>
      </w:r>
    </w:p>
    <w:p>
      <w:pPr>
        <w:numPr>
          <w:ilvl w:val="0"/>
          <w:numId w:val="1001"/>
        </w:numPr>
        <w:pStyle w:val="Compact"/>
      </w:pPr>
      <w:r>
        <w:t xml:space="preserve">Puntuación 56,2, por debajo del listón de 60 (crecimiento que se frena en el último trimestre, pocas señales de tendencia y un accionista vendedor).</w:t>
      </w:r>
      <w:r>
        <w:t xml:space="preserve"> </w:t>
      </w:r>
      <w:r>
        <w:rPr>
          <w:bCs/>
          <w:b/>
        </w:rPr>
        <w:t xml:space="preserve">Mantener</w:t>
      </w:r>
      <w:r>
        <w:t xml:space="preserve">; se revisa con las ventas de nueve meses del 27-oct y la guía 2027 del 22-feb.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Amplification (67 % de las ventas de los últimos 12 meses, margen bruto 52,5 %):</w:t>
      </w:r>
      <w:r>
        <w:t xml:space="preserve"> </w:t>
      </w:r>
      <w:r>
        <w:t xml:space="preserve">tubos intensificadores de imagen (16 mm, 18 mm y el nuevo</w:t>
      </w:r>
      <w:r>
        <w:t xml:space="preserve"> </w:t>
      </w:r>
      <w:r>
        <w:rPr>
          <w:bCs/>
          <w:b/>
        </w:rPr>
        <w:t xml:space="preserve">5G</w:t>
      </w:r>
      <w:r>
        <w:t xml:space="preserve">, lanzado en 2025), que convierten la poca luz de la noche en una imagen visible. Los compran fabricantes de visores (Theon, ACTinBlack, BROLIS) para los ejércitos europeos, de Oriente Medio y Asia. Plan para subir la capacidad un 40 % hasta 2027 en Europa y abrir fábrica en EE. UU.; en 2026 ganó el programa BiNOD del Ejército de EE. UU. (primer pedido en agosto) [1][2][17].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Detection &amp; Imaging (31 %, margen bruto 48 %):</w:t>
      </w:r>
      <w:r>
        <w:t xml:space="preserve"> </w:t>
      </w:r>
      <w:r>
        <w:t xml:space="preserve">cámaras térmicas e infrarrojas (entre ellas las de Noxant, comprada en 2025), detectores nucleares (neutrones y gamma, para centrales y pequeños reactores), detectores para espectrometría de masas y microscopía electrónica, y sensores de frente de onda (Phasics). El crecimiento viene de defensa y vigilancia: cámaras para drones interceptores y sistemas antidrones (pedido récord en abril; capacidad de cámaras térmicas triplicada y de infrarrojo refrigerado duplicada en 2026) [1][3][17].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nuevo:</w:t>
      </w:r>
      <w:r>
        <w:t xml:space="preserve"> </w:t>
      </w:r>
      <w:r>
        <w:t xml:space="preserve">el tubo 5G (más sensibilidad), la cartera de cámaras para drones, y sensores de puntos cuánticos de Emberion (comprada en abril de 2026) [1][2].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Riesgo de que la IA lo sustituya: bajo a medio plazo, con un matiz.</w:t>
      </w:r>
      <w:r>
        <w:t xml:space="preserve"> </w:t>
      </w:r>
      <w:r>
        <w:t xml:space="preserve">Vende componentes físicos de fotónica fabricados con procesos de vacío y materiales muy difíciles de replicar; la IA no los fabrica ni los sustituye. Es más bien viento a favor: los drones autónomos y los sistemas antidrones necesitan más sensores, los centros de datos tiran de la energía nuclear (detectores) y de la fabricación de semiconductores (inspección). El matiz: a largo plazo, la</w:t>
      </w:r>
      <w:r>
        <w:t xml:space="preserve"> </w:t>
      </w:r>
      <w:r>
        <w:rPr>
          <w:bCs/>
          <w:b/>
        </w:rPr>
        <w:t xml:space="preserve">visión nocturna digital</w:t>
      </w:r>
      <w:r>
        <w:t xml:space="preserve"> </w:t>
      </w:r>
      <w:r>
        <w:t xml:space="preserve">(sensores CMOS de poca luz más procesado de imagen, en parte con IA) podría ir quitando sitio al tubo analógico. Hoy el tubo sigue ganando en consumo, peso y retraso de imagen, y Exosens se cubre con su negocio de cámaras digitales e infrarrojas, pero es el riesgo tecnológico que hay que vigilar.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p>
      <w:pPr>
        <w:pStyle w:val="FirstParagraph"/>
      </w:pPr>
      <w:r>
        <w:t xml:space="preserve">Ventas por trimestre, millones de EUR, sin el negocio de microondas vendido el 31-dic-2025 [1][2]: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(sin compras ni divisa)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130,5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+11,4 %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+10,3 %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Últimos 12 meses (jul-25 a jun-26):</w:t>
      </w:r>
      <w:r>
        <w:t xml:space="preserve"> </w:t>
      </w:r>
      <w:r>
        <w:t xml:space="preserve">501,8 M, +19,0 %. CAGR propio a dos años ~+20,9 % (aproximado: los 12 meses a jun-2024 se estiman en ~343 M con cifras sin reexpresar) [5].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Aceleración:</w:t>
      </w:r>
      <w:r>
        <w:t xml:space="preserve"> </w:t>
      </w:r>
      <w:r>
        <w:t xml:space="preserve">el 2T26 (+11,4 %) va 10,3 puntos por debajo de la media de los cuatro anteriores (+21,7 %). Parte es efecto de compras que dejan de sumar; en comparable el frenazo es pequeño (+10,3 % frente a +11,7 % de media).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Orgánico frente a compras.</w:t>
      </w:r>
      <w:r>
        <w:t xml:space="preserve"> </w:t>
      </w:r>
      <w:r>
        <w:t xml:space="preserve">En los últimos 12 meses, unos 7 de los 19 puntos vinieron de compras (Noxant, NVLS, Phasics). Para los</w:t>
      </w:r>
      <w:r>
        <w:t xml:space="preserve"> </w:t>
      </w:r>
      <w:r>
        <w:rPr>
          <w:bCs/>
          <w:b/>
        </w:rPr>
        <w:t xml:space="preserve">12 meses siguientes</w:t>
      </w:r>
      <w:r>
        <w:t xml:space="preserve"> </w:t>
      </w:r>
      <w:r>
        <w:t xml:space="preserve">las compras pesan poco: Phasics (8,5 M al año) suma un trimestre, NVLS unas semanas y Emberion casi nada (sensores aún en fase inicial). Estimación propia: algo menos de un punto de crecimiento. Como no llega a los 2 puntos del encargo, no se rellena</w:t>
      </w:r>
      <w:r>
        <w:t xml:space="preserve"> </w:t>
      </w:r>
      <w:r>
        <w:rPr>
          <w:rStyle w:val="VerbatimChar"/>
        </w:rPr>
        <w:t xml:space="preserve">crecimiento_actual_organico_pct</w:t>
      </w:r>
      <w:r>
        <w:t xml:space="preserve"> </w:t>
      </w:r>
      <w:r>
        <w:t xml:space="preserve">(v12 = v11 en esta empresa) [1][18].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Guía:</w:t>
      </w:r>
      <w:r>
        <w:t xml:space="preserve"> </w:t>
      </w:r>
      <w:r>
        <w:t xml:space="preserve">2026 de 558-570 M (punto medio +20,5 %), segunda subida del año (en febrero era 520-540 M). Implica un segundo semestre del +25 % por la capacidad europea que llega antes de lo previsto. A medio plazo: ventas orgánicas de hasta «mid-teens» (unos 15 %) al año y EBITDA por encima del 15 % [2][3].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Historial con la guía:</w:t>
      </w:r>
      <w:r>
        <w:t xml:space="preserve"> </w:t>
      </w:r>
      <w:r>
        <w:t xml:space="preserve">bate siempre. 2024 superó la guía de la salida a bolsa; 2025 guiaba «high-teens» y creció un 22,1 %; 2026 ya ha subido dos veces [2][5].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</w:t>
      </w:r>
      <w:r>
        <w:t xml:space="preserve"> </w:t>
      </w:r>
      <w:r>
        <w:t xml:space="preserve">la empresa lo cifra en 4.300 M en 2027 (1.600 M de tubos y 2.700 M de detección e imagen), con 600 M «por compras futuras»; quitándolos y creciendo al 8 % anual, unos</w:t>
      </w:r>
      <w:r>
        <w:t xml:space="preserve"> </w:t>
      </w:r>
      <w:r>
        <w:rPr>
          <w:bCs/>
          <w:b/>
        </w:rPr>
        <w:t xml:space="preserve">4.000 M en el ejercicio objetivo</w:t>
      </w:r>
      <w:r>
        <w:t xml:space="preserve">. Penetración del 12,5 % [6].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Cuota:</w:t>
      </w:r>
      <w:r>
        <w:t xml:space="preserve"> </w:t>
      </w:r>
      <w:r>
        <w:t xml:space="preserve">en tubos, líder fuera de EE. UU. y el único gran proveedor ITAR-free; en EE. UU. dominan L3Harris y Elbit America. En cámaras y detectores el mercado está muy repartido (Teledyne FLIR, Lynred, Hamamatsu) [6].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gana:</w:t>
      </w:r>
      <w:r>
        <w:t xml:space="preserve"> </w:t>
      </w:r>
      <w:r>
        <w:t xml:space="preserve">barreras de fabricación (rendimientos de producción que tardan años en dominarse), certificación militar, relaciones de 20 años con sus diez primeros clientes y ser europeo en plena carrera por la soberanía en defensa [6].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Comparables por EV/EBITDA de los próximos 12 meses:</w:t>
      </w:r>
      <w:r>
        <w:t xml:space="preserve"> </w:t>
      </w:r>
      <w:r>
        <w:t xml:space="preserve">Hensoldt ~17x, Theon ~13-14x, Teledyne ~18x [mem.], L3Harris ~15x [mem.]; mediana ~16x. Exosens (15,5x) está en línea con su grupo [10][18].</w:t>
      </w:r>
    </w:p>
    <w:bookmarkEnd w:id="23"/>
    <w:bookmarkStart w:id="24" w:name="cambio-de-tendencia-38-euforia-no"/>
    <w:p>
      <w:pPr>
        <w:pStyle w:val="Heading2"/>
      </w:pPr>
      <w:r>
        <w:t xml:space="preserve">5. Cambio de tendencia (3/8; euforia: no)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subida el 17-sep (ventas 558-570 M, EBITDA 186-192 M); Bernstein, Oddo, All Invest y Deutsche Bank suben objetivos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[3][9][10]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57,00 EUR frente a una media de 60,2 EUR (que sí sube)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−9,3 % frente a −5,0 % del CAC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Múltiplo +20 % desde su mínimo de 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por poco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de 12,3x (24-nov-2025) a 14,9x con el mismo cálculo, +20,3 %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rentable; margen EBITDA +0,8 puntos en el 1S26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Euforia breve en septiembre que se deshace en octubre con la caída del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HLD sigue vendiendo (otro 4,4 % en abril); la entrada de Theon es un traspaso de HLD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en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de nueve meses (27-oct), guía 2027 (22-feb), BiNOD en EE. UU.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[1][3][17]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Sube un 19 % en 12 meses y un 192 % desde la salida a bolsa (19,50 EUR en junio de 2024), pero en los últimos seis meses cae un 9 % y está un 22 % por debajo de su máximo de marzo (72,90 EUR). EV/beneficio bruto de 10,3, lejos del veto (&gt; 20 con subida ≥ 150 %).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 ajustado:</w:t>
      </w:r>
      <w:r>
        <w:t xml:space="preserve"> </w:t>
      </w:r>
      <w:r>
        <w:t xml:space="preserve">50,5 % en los últimos 12 meses (51,3 % en el 1S26). Ojo: la empresa incluye en el coste el personal de producción, así que no es comparable con el de una empresa de software [1].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EBITDA ajustado:</w:t>
      </w:r>
      <w:r>
        <w:t xml:space="preserve"> </w:t>
      </w:r>
      <w:r>
        <w:t xml:space="preserve">33,0 % en el 1S26, récord; objetivo de mejora suave [1][2].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FCF:</w:t>
      </w:r>
      <w:r>
        <w:t xml:space="preserve"> </w:t>
      </w:r>
      <w:r>
        <w:t xml:space="preserve">58,7 M en 12 meses (11,7 % de las ventas), plano en tres años porque la inversión en capacidad se duplica (capex del 9 % de las ventas en 2026 frente a un 5 % normal). Cuando se normalice, el FCF puede subir con fuerza: el consenso espera 113 M en 2028 [1][10].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40:</w:t>
      </w:r>
      <w:r>
        <w:t xml:space="preserve"> </w:t>
      </w:r>
      <w:r>
        <w:t xml:space="preserve">19 + 11,7 = 30,7. Correcta para una industrial, floja para el listón growth.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t xml:space="preserve">Caja 68,8 M, deuda financiera y arrendamientos 268,6 M;</w:t>
      </w:r>
      <w:r>
        <w:t xml:space="preserve"> </w:t>
      </w:r>
      <w:r>
        <w:rPr>
          <w:bCs/>
          <w:b/>
        </w:rPr>
        <w:t xml:space="preserve">deuda neta 199,8 M, 1,2 veces el EBITDA</w:t>
      </w:r>
      <w:r>
        <w:t xml:space="preserve">. Línea de crédito ampliada a 200 M y préstamo del BEI de 140 M para crecer. La empresa avisa de que puede subir a ~2 veces por compras [1][2].</w:t>
      </w:r>
    </w:p>
    <w:p>
      <w:pPr>
        <w:numPr>
          <w:ilvl w:val="0"/>
          <w:numId w:val="1006"/>
        </w:numPr>
        <w:pStyle w:val="Compact"/>
      </w:pPr>
      <w:r>
        <w:t xml:space="preserve">Pista de caja: no aplica (FCF positivo).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Dilución:</w:t>
      </w:r>
      <w:r>
        <w:t xml:space="preserve"> </w:t>
      </w:r>
      <w:r>
        <w:t xml:space="preserve">casi nula (50,94 M de acciones, estables); pagos en acciones del 1,4 % de las ventas. Reparte un dividendo pequeño (0,30 EUR, el 0,5 %) [2][16].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Ejecución (5/5):</w:t>
      </w:r>
      <w:r>
        <w:t xml:space="preserve"> </w:t>
      </w:r>
      <w:r>
        <w:t xml:space="preserve">bate la guía todos los años desde la salida a bolsa y adelanta la capacidad nueva [2][3].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y capital (3/5):</w:t>
      </w:r>
      <w:r>
        <w:t xml:space="preserve"> </w:t>
      </w:r>
      <w:r>
        <w:t xml:space="preserve">Jérôme Cerisier, consejero delegado, con equipo estable y compras pequeñas y sensatas. Pero el control lo ha tenido HLD, un fondo de capital riesgo que</w:t>
      </w:r>
      <w:r>
        <w:t xml:space="preserve"> </w:t>
      </w:r>
      <w:r>
        <w:rPr>
          <w:bCs/>
          <w:b/>
        </w:rPr>
        <w:t xml:space="preserve">está saliendo</w:t>
      </w:r>
      <w:r>
        <w:t xml:space="preserve">: varias colocaciones en 2025, el 9,77 % a Theon a 54 EUR y otro 4,4 % en abril de 2026 a ~64,5 EUR, con descuento. Le queda (con sus vehículos) el 17,94 %: hay más papel por venir [8][15].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Gobierno:</w:t>
      </w:r>
      <w:r>
        <w:t xml:space="preserve"> </w:t>
      </w:r>
      <w:r>
        <w:t xml:space="preserve">el mayor cliente (Theon, 38 % de las ventas en 2024) es ahora también el segundo accionista. Puede ser bueno (alinea intereses y asegura demanda hasta 2030) o un conflicto (negocia precios con quien es dueño de casi el 10 %) [6][7][8].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Métrica:</w:t>
      </w:r>
      <w:r>
        <w:t xml:space="preserve"> </w:t>
      </w:r>
      <w:r>
        <w:rPr>
          <w:bCs/>
          <w:b/>
        </w:rPr>
        <w:t xml:space="preserve">EV/EBITDA de los próximos 12 meses</w:t>
      </w:r>
      <w:r>
        <w:t xml:space="preserve">, porque la empresa es rentable de forma estable (margen EBITDA del 31-33 % desde 2024 y FCF positivo todos los años). EBITDA de los próximos 12 meses: 200,1 M (segundo semestre implícito en la guía más la primera mitad de 2027 de consenso). EV de 3.102,8 M; múltiplo de hoy 15,5x [12].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 jun-2028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25,8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−54,3 %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52,8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51,6 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−9,0 %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Ventas:</w:t>
      </w:r>
      <w:r>
        <w:t xml:space="preserve"> </w:t>
      </w:r>
      <w:r>
        <w:t xml:space="preserve">la proyección mecánica del método (crecimiento de partida del 18 %) da 683 M en el base, casi lo mismo que el</w:t>
      </w:r>
      <w:r>
        <w:t xml:space="preserve"> </w:t>
      </w:r>
      <w:r>
        <w:rPr>
          <w:bCs/>
          <w:b/>
        </w:rPr>
        <w:t xml:space="preserve">consenso</w:t>
      </w:r>
      <w:r>
        <w:t xml:space="preserve"> </w:t>
      </w:r>
      <w:r>
        <w:t xml:space="preserve">(676 M en los 12 meses a jun-2028, a partir de 640 M en 2027 y 720 M en 2028 de MarketScreener). v11 toma la menor en cada escenario: 589 M en el bajista (mecánica), 676 M en el base (consenso) y 723 M en el alcista (mecánica) [10].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Múltiplo:</w:t>
      </w:r>
      <w:r>
        <w:t xml:space="preserve"> </w:t>
      </w:r>
      <w:r>
        <w:t xml:space="preserve">el base rebaja el 15,5x de hoy un 17 % porque el crecimiento se frena del 19 % al 13 %; el bajista es 0,6 veces el base; el alcista, 1,3 veces.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 qué sale por debajo del precio:</w:t>
      </w:r>
      <w:r>
        <w:t xml:space="preserve"> </w:t>
      </w:r>
      <w:r>
        <w:t xml:space="preserve">aunque el EBITDA suba un 13 % al año, el múltiplo de hoy es alto para una empresa que va a crecer al 13-15 % cuando pase el empujón de capacidad; si el mercado le paga dentro de un año lo mismo que hoy (escenario alcista), sube un 32 %, pero si le aplica su media se queda plana.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consenso:</w:t>
      </w:r>
      <w:r>
        <w:t xml:space="preserve"> </w:t>
      </w:r>
      <w:r>
        <w:t xml:space="preserve">objetivo medio de 69,7 EUR (de 63 a 75 EUR; 10 analistas, Comprar). Los analistas suponen que el múltiplo se mantiene; el método no.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inverso:</w:t>
      </w:r>
      <w:r>
        <w:t xml:space="preserve"> </w:t>
      </w:r>
      <w:r>
        <w:t xml:space="preserve">el precio descuenta que las ventas crezcan un 13,6 % al año durante 10 años con un margen de FCF del 17 % y un coste de capital del 9 %. Es exigente: más que el crecimiento orgánico prometido a medio plazo cuando el ciclo de defensa se normalice.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Compra hasta 49,4 EUR</w:t>
      </w:r>
      <w:r>
        <w:t xml:space="preserve"> </w:t>
      </w:r>
      <w:r>
        <w:t xml:space="preserve">por precio, pero con puntuación de 56,2 no compraría ni a ese precio (el listón es 60).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Boursorama (foro de EXENS):</w:t>
      </w:r>
      <w:r>
        <w:t xml:space="preserve"> </w:t>
      </w:r>
      <w:r>
        <w:t xml:space="preserve">muy activo. Euforia el 17-sep con la subida de guía («Direction 70 euros d’ici demain», «Les Broker US sont enthousiastes»), que se convierte en nervios con la caída del 6 al 8-oct («Quel plongeon !»), hilos técnicos sobre huecos de precio y, en los últimos días, optimismo por EE. UU. («Nouvelle étape aux États Unis») [13].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Analistas:</w:t>
      </w:r>
      <w:r>
        <w:t xml:space="preserve"> </w:t>
      </w:r>
      <w:r>
        <w:t xml:space="preserve">casi todos Comprar (Bernstein 74 EUR, Berenberg 72, All Invest 70, Oddo 69; Deutsche Bank Mantener con 63) [9][10].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Simply Wall St y similares:</w:t>
      </w:r>
      <w:r>
        <w:t xml:space="preserve"> </w:t>
      </w:r>
      <w:r>
        <w:t xml:space="preserve">valor razonable ~67 EUR; riesgos citados: expansión agresiva, cadena de suministro, ciclo de defensa [14].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y Rankia:</w:t>
      </w:r>
      <w:r>
        <w:t xml:space="preserve"> </w:t>
      </w:r>
      <w:r>
        <w:t xml:space="preserve">sin hilos útiles; es un valor de pequeña capitalización poco seguido fuera de Francia.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datos:</w:t>
      </w:r>
      <w:r>
        <w:t xml:space="preserve"> </w:t>
      </w:r>
      <w:r>
        <w:t xml:space="preserve">el tono sigue a las noticias del sector de defensa (alto el fuego en Ucrania, presupuestos de la OTAN) más que a la empresa. La caída de octubre fue de todo el sector (Hensoldt −10 %, Theon −8 %), no de Exosens.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Concentración de cliente:</w:t>
      </w:r>
      <w:r>
        <w:t xml:space="preserve"> </w:t>
      </w:r>
      <w:r>
        <w:t xml:space="preserve">Theon fue el 38 % de las ventas de 2024 (34 % de media en tres años). La alerta automática del motor no salta porque falta el dato del segundo cliente (</w:t>
      </w:r>
      <w:r>
        <w:rPr>
          <w:rStyle w:val="VerbatimChar"/>
        </w:rPr>
        <w:t xml:space="preserve">clientes_top2_pct</w:t>
      </w:r>
      <w:r>
        <w:t xml:space="preserve"> </w:t>
      </w:r>
      <w:r>
        <w:t xml:space="preserve">= null), pero con el primero en el 38 % los dos primeros pasan casi seguro del 40 %:</w:t>
      </w:r>
      <w:r>
        <w:t xml:space="preserve"> </w:t>
      </w:r>
      <w:r>
        <w:rPr>
          <w:bCs/>
          <w:b/>
        </w:rPr>
        <w:t xml:space="preserve">se trata como si la alerta estuviera activa</w:t>
      </w:r>
      <w:r>
        <w:t xml:space="preserve">. Lo atenúa el contrato hasta 2030 y que Theon sea accionista [6][7].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Accionista vendedor:</w:t>
      </w:r>
      <w:r>
        <w:t xml:space="preserve"> </w:t>
      </w:r>
      <w:r>
        <w:t xml:space="preserve">HLD conserva el 17,94 %; cada colocación ha salido con descuento (−4 a −6 %) y frena las subidas.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Ciclo de defensa:</w:t>
      </w:r>
      <w:r>
        <w:t xml:space="preserve"> </w:t>
      </w:r>
      <w:r>
        <w:t xml:space="preserve">un alto el fuego en Ucrania o un frenazo de los presupuestos europeos rebajaría el múltiplo antes que las ventas (la empresa dice que la demanda dura con o sin guerra, pero el mercado no lo cree del todo).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 solo producto:</w:t>
      </w:r>
      <w:r>
        <w:t xml:space="preserve"> </w:t>
      </w:r>
      <w:r>
        <w:t xml:space="preserve">los tubos son el 67 % de las ventas (no llega al 70 % que dispara las probabilidades prudentes de la candidata v14).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Tecnología:</w:t>
      </w:r>
      <w:r>
        <w:t xml:space="preserve"> </w:t>
      </w:r>
      <w:r>
        <w:t xml:space="preserve">la visión nocturna digital podría sustituir al tubo a largo plazo (ver apartado 2).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Ejecución industrial:</w:t>
      </w:r>
      <w:r>
        <w:t xml:space="preserve"> </w:t>
      </w:r>
      <w:r>
        <w:t xml:space="preserve">ampliar capacidad un 40 % y abrir fábrica en EE. UU. a la vez; los rendimientos de fabricación de tubos son delicados.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Alertas de robustez de v11 (</w:t>
      </w:r>
      <w:r>
        <w:rPr>
          <w:rStyle w:val="VerbatimChar"/>
          <w:bCs/>
          <w:b/>
        </w:rPr>
        <w:t xml:space="preserve">calc.alertas</w:t>
      </w:r>
      <w:r>
        <w:rPr>
          <w:bCs/>
          <w:b/>
        </w:rPr>
        <w:t xml:space="preserve">): ninguna.</w:t>
      </w:r>
      <w:r>
        <w:t xml:space="preserve"> </w:t>
      </w:r>
      <w:r>
        <w:t xml:space="preserve">La proyección mecánica (683 M) va en línea con el consenso (676 M), el múltiplo de hoy (15,5x) es 1,1 veces su mediana, hay guía anual, el exceso sobre la guía (+4,6 puntos) es moderado, el EBITDA de 12 meses está informado y los pagos en acciones son el 1,4 % de las ventas.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Prueba de 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herramientas/robustez-growth.mjs --precios</w:t>
      </w:r>
      <w:r>
        <w:t xml:space="preserve">):</w:t>
      </w:r>
      <w:r>
        <w:t xml:space="preserve"> </w:t>
      </w:r>
      <w:r>
        <w:rPr>
          <w:bCs/>
          <w:b/>
        </w:rPr>
        <w:t xml:space="preserve">SÓLIDA, señal robusta Mantener.</w:t>
      </w:r>
      <w:r>
        <w:t xml:space="preserve"> </w:t>
      </w:r>
      <w:r>
        <w:t xml:space="preserve">Avisos: (G2) el objetivo se mueve con el precio porque se valora por EBITDA, así que al revisar precio se deja fijo el objetivo de 51,6 EUR y el límite de 49,4 EUR; (G6) el bajista del −54 % pide posición pequeña y en tramos si algún día entra; (G8) el precio ya descuenta crecer un 14 % anual diez años, más que nuestro crecimiento al final del periodo (13 %). Variantes: v7, ventas del analista y pesos 25/50/25 dan Mantener; con pesos 35/50/15 (si se tratara la dependencia de Theon como riesgo de un solo cliente) daría</w:t>
      </w:r>
      <w:r>
        <w:t xml:space="preserve"> </w:t>
      </w:r>
      <w:r>
        <w:rPr>
          <w:bCs/>
          <w:b/>
        </w:rPr>
        <w:t xml:space="preserve">Vender</w:t>
      </w:r>
      <w:r>
        <w:t xml:space="preserve"> </w:t>
      </w:r>
      <w:r>
        <w:t xml:space="preserve">(−17,6 %). Ninguna variante da Comprar.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 precio actual con objetivo fijo (−10,7 %)</w:t>
      </w:r>
      <w:r>
        <w:t xml:space="preserve"> </w:t>
      </w:r>
      <w:r>
        <w:t xml:space="preserve">pasa del umbral de venta del método (−10 %). Como no está en cartera, la lectura es simplemente «no comprar».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Señales de venta concretas (si se tuviera):</w:t>
      </w:r>
      <w:r>
        <w:t xml:space="preserve"> </w:t>
      </w:r>
      <w:r>
        <w:t xml:space="preserve">dos trimestres seguidos de crecimiento comparable por debajo del 5 %; pérdida o recorte fuerte de los pedidos de Theon; margen EBITDA por debajo del 30 %; guía 2027 por debajo del +10 %.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27-oct-2026:</w:t>
      </w:r>
      <w:r>
        <w:t xml:space="preserve"> </w:t>
      </w:r>
      <w:r>
        <w:t xml:space="preserve">ventas de nueve meses y margen bruto (antes de la apertura). Se verá si el tercer trimestre acelera hacia el +25 % implícito.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22-feb-2027:</w:t>
      </w:r>
      <w:r>
        <w:t xml:space="preserve"> </w:t>
      </w:r>
      <w:r>
        <w:t xml:space="preserve">resultados de 2026 y primera guía de 2027.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Programa BiNOD (EE. UU.):</w:t>
      </w:r>
      <w:r>
        <w:t xml:space="preserve"> </w:t>
      </w:r>
      <w:r>
        <w:t xml:space="preserve">nuevos pedidos de entrega; fábrica de EE. UU. en marcha.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Pequeños reactores nucleares en EE. UU.:</w:t>
      </w:r>
      <w:r>
        <w:t xml:space="preserve"> </w:t>
      </w:r>
      <w:r>
        <w:t xml:space="preserve">primeros pedidos de preserie de instrumentación.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Colocaciones de HLD:</w:t>
      </w:r>
      <w:r>
        <w:t xml:space="preserve"> </w:t>
      </w:r>
      <w:r>
        <w:t xml:space="preserve">sin fecha; suelen llegar tras buenos resultados.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Bolsillo growth lleno</w:t>
      </w:r>
      <w:r>
        <w:t xml:space="preserve"> </w:t>
      </w:r>
      <w:r>
        <w:t xml:space="preserve">(~20 %: Nu +19 %, Axon +36 %, Shopify +18 %, Snowflake +13 %, Samsara +15 %, rentabilidad al precio actual con v11) y liquidez de ~27 EUR: solo cabe sustituyendo. Exosens da</w:t>
      </w:r>
      <w:r>
        <w:t xml:space="preserve"> </w:t>
      </w:r>
      <w:r>
        <w:rPr>
          <w:bCs/>
          <w:b/>
        </w:rPr>
        <w:t xml:space="preserve">Mantener con −9 %</w:t>
      </w:r>
      <w:r>
        <w:t xml:space="preserve"> </w:t>
      </w:r>
      <w:r>
        <w:t xml:space="preserve">(−10,7 % al precio actual): no sustituye a ninguna y</w:t>
      </w:r>
      <w:r>
        <w:t xml:space="preserve"> </w:t>
      </w:r>
      <w:r>
        <w:rPr>
          <w:bCs/>
          <w:b/>
        </w:rPr>
        <w:t xml:space="preserve">no entra en la lista de suplentes</w:t>
      </w:r>
      <w:r>
        <w:t xml:space="preserve"> </w:t>
      </w:r>
      <w:r>
        <w:t xml:space="preserve">(MongoDB, Toast, Zscaler, dLocal, Dexcom, argenx, Datadog, Saab, Natera, Ypsomed).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Frente a la cartera value y a otras de defensa:</w:t>
      </w:r>
      <w:r>
        <w:t xml:space="preserve"> </w:t>
      </w:r>
      <w:r>
        <w:t xml:space="preserve">Alphabet se vende mañana y no cuenta como exposición a IA; Exosens no cambiaría eso (no es una empresa de IA). En defensa europea, Saab (suplente 8) da Comprar con +6 %; Exosens sería una segunda posición de defensa europea, con más dependencia de un cliente.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qué precio entraría:</w:t>
      </w:r>
      <w:r>
        <w:t xml:space="preserve"> </w:t>
      </w:r>
      <w:r>
        <w:t xml:space="preserve">necesitaría a la vez</w:t>
      </w:r>
      <w:r>
        <w:t xml:space="preserve"> </w:t>
      </w:r>
      <w:r>
        <w:rPr>
          <w:bCs/>
          <w:b/>
        </w:rPr>
        <w:t xml:space="preserve">más puntuación</w:t>
      </w:r>
      <w:r>
        <w:t xml:space="preserve"> </w:t>
      </w:r>
      <w:r>
        <w:t xml:space="preserve">(60; le faltan 3,8 puntos: por ejemplo, que el precio vuelva sobre su media de 200 sesiones y supere al CAC en seis meses, o que el crecimiento vuelva a acelerar en el 3T)</w:t>
      </w:r>
      <w:r>
        <w:t xml:space="preserve"> </w:t>
      </w:r>
      <w:r>
        <w:rPr>
          <w:bCs/>
          <w:b/>
        </w:rPr>
        <w:t xml:space="preserve">y un precio por debajo de 49,4 EUR</w:t>
      </w:r>
      <w:r>
        <w:t xml:space="preserve">. Se revisa el 27-oct.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Preferencias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MEMORIA.md</w:t>
      </w:r>
      <w:r>
        <w:rPr>
          <w:bCs/>
          <w:b/>
        </w:rPr>
        <w:t xml:space="preserve">:</w:t>
      </w:r>
      <w:r>
        <w:t xml:space="preserve"> </w:t>
      </w:r>
      <w:r>
        <w:t xml:space="preserve">sin conflicto (no es juego, apuestas ni comercio minorista).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+19 % y CAGR +21 %, pero el último trimestre frena 10 puntos (efecto de compras)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del 12,5 %; tecnología 4/5 (tubos difíciles de replicar); posición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 8 señales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50,5 %, regla del 40 de 30,7, FCF 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positivo, dilución casi nula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 la guía siempre (5/5); HLD vendiendo y cliente accionista (3/5)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debajo del listón de 60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Versiones candidatas (no vigentes):</w:t>
      </w:r>
      <w:r>
        <w:t xml:space="preserve"> </w:t>
      </w:r>
      <w:r>
        <w:t xml:space="preserve">v12 = v11 (no se rellena el crecimiento orgánico: las compras mueven menos de 2 puntos el crecimiento de los 12 meses siguientes); v14: ponderada −9,1 %, base −6,9 %, bajista −54,4 %, Mantener, compra hasta 49,3 EUR (con tubos al 67 % de las ventas no salta el 35/50/15; dilución esperada del 0,3 %).</w:t>
      </w:r>
    </w:p>
    <w:p>
      <w:pPr>
        <w:pStyle w:val="BodyText"/>
      </w:pPr>
      <w:r>
        <w:rPr>
          <w:bCs/>
          <w:b/>
        </w:rPr>
        <w:t xml:space="preserve">Mejora de método propuesta:</w:t>
      </w:r>
      <w:r>
        <w:t xml:space="preserve"> </w:t>
      </w:r>
      <w:r>
        <w:t xml:space="preserve">la alerta de concentración de clientes solo mira</w:t>
      </w:r>
      <w:r>
        <w:t xml:space="preserve"> </w:t>
      </w:r>
      <w:r>
        <w:rPr>
          <w:rStyle w:val="VerbatimChar"/>
        </w:rPr>
        <w:t xml:space="preserve">clientes_top2_pct</w:t>
      </w:r>
      <w:r>
        <w:t xml:space="preserve">/</w:t>
      </w:r>
      <w:r>
        <w:rPr>
          <w:rStyle w:val="VerbatimChar"/>
        </w:rPr>
        <w:t xml:space="preserve">top3</w:t>
      </w:r>
      <w:r>
        <w:t xml:space="preserve">. Muchas empresas europeas solo publican el</w:t>
      </w:r>
      <w:r>
        <w:t xml:space="preserve"> </w:t>
      </w:r>
      <w:r>
        <w:rPr>
          <w:bCs/>
          <w:b/>
        </w:rPr>
        <w:t xml:space="preserve">primer</w:t>
      </w:r>
      <w:r>
        <w:t xml:space="preserve"> </w:t>
      </w:r>
      <w:r>
        <w:t xml:space="preserve">cliente (aquí, Theon con el 38 %). Propuesta: campo</w:t>
      </w:r>
      <w:r>
        <w:t xml:space="preserve"> </w:t>
      </w:r>
      <w:r>
        <w:rPr>
          <w:rStyle w:val="VerbatimChar"/>
        </w:rPr>
        <w:t xml:space="preserve">clientes_top1_pct</w:t>
      </w:r>
      <w:r>
        <w:t xml:space="preserve"> </w:t>
      </w:r>
      <w:r>
        <w:t xml:space="preserve">y alerta si el primero supera el 35 % (los dos primeros pasan entonces casi seguro del 40 %). Y una alerta de</w:t>
      </w:r>
      <w:r>
        <w:t xml:space="preserve"> </w:t>
      </w:r>
      <w:r>
        <w:rPr>
          <w:bCs/>
          <w:b/>
        </w:rPr>
        <w:t xml:space="preserve">accionista de control vendedor</w:t>
      </w:r>
      <w:r>
        <w:t xml:space="preserve"> </w:t>
      </w:r>
      <w:r>
        <w:t xml:space="preserve">(fondo de capital riesgo con más del 10 % que ha vendido en los últimos 12 meses), que en salidas a bolsa recientes frena el múltiplo.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Exosens, H1 2026 results (28-jul-2026, nota de prensa en PDF vía GlobeNewswire): ventas, márgenes, FCF, balance, compras y guía.</w:t>
      </w:r>
      <w:r>
        <w:t xml:space="preserve"> </w:t>
      </w:r>
      <w:r>
        <w:t xml:space="preserve">[2] Exosens, Full year 2025 results (23-feb-2026, PDF): ventas 2025 de 468,2 M y trimestres 2024-2025 reexpresados, EBITDA, FCF, objetivos a medio plazo.</w:t>
      </w:r>
      <w:r>
        <w:t xml:space="preserve"> </w:t>
      </w:r>
      <w:r>
        <w:t xml:space="preserve">[3] Exosens, subida de la guía 2026 (17-sep-2026, webdisclosure.com): 558-570 M de ventas y 186-192 M de EBITDA; calendario.</w:t>
      </w:r>
      <w:r>
        <w:t xml:space="preserve"> </w:t>
      </w:r>
      <w:r>
        <w:t xml:space="preserve">[4] Exosens, Q1 2026 revenue (27-abr-2026, PDF).</w:t>
      </w:r>
      <w:r>
        <w:t xml:space="preserve"> </w:t>
      </w:r>
      <w:r>
        <w:t xml:space="preserve">[5] Exosens, Outlook 2025 (8-ene-2025) y Full year 2024 results (3-mar-2025); H1 2024 revenue (24-jul-2024).</w:t>
      </w:r>
      <w:r>
        <w:t xml:space="preserve"> </w:t>
      </w:r>
      <w:r>
        <w:t xml:space="preserve">[6] Exosens, Universal Registration Document 2024 (mayo-2025): clientes, competidores y mercado alcanzable.</w:t>
      </w:r>
      <w:r>
        <w:t xml:space="preserve"> </w:t>
      </w:r>
      <w:r>
        <w:t xml:space="preserve">[7] Exosens, ampliación del acuerdo con Theon hasta 2030 (3-dic-2025) y contrato OCCAR (10-dic-2025).</w:t>
      </w:r>
      <w:r>
        <w:t xml:space="preserve"> </w:t>
      </w:r>
      <w:r>
        <w:t xml:space="preserve">[8] HLD y THEON, venta del 9,77 % de Exosens a Theon a 54 EUR (ene-2026).</w:t>
      </w:r>
      <w:r>
        <w:t xml:space="preserve"> </w:t>
      </w:r>
      <w:r>
        <w:t xml:space="preserve">[9] Zonebourse/TradingSat, Option Finance, Boursorama y Fortuneo (17-18-sep-2026): reacción a la subida de guía y objetivos de analistas.</w:t>
      </w:r>
      <w:r>
        <w:t xml:space="preserve"> </w:t>
      </w:r>
      <w:r>
        <w:t xml:space="preserve">[10] MarketScreener, Exosens y Hensoldt: estimaciones y consenso (14-oct-2026).</w:t>
      </w:r>
      <w:r>
        <w:t xml:space="preserve"> </w:t>
      </w:r>
      <w:r>
        <w:t xml:space="preserve">[11] Yahoo Finance chart API (EXENS.PA y CAC 40) y Boursorama (Euronext): cierres y precio del 14-oct.</w:t>
      </w:r>
      <w:r>
        <w:t xml:space="preserve"> </w:t>
      </w:r>
      <w:r>
        <w:t xml:space="preserve">[12] Cálculo propio de múltiplos (EV, EV/EBITDA, mediana y mínimo desde oct-2024).</w:t>
      </w:r>
      <w:r>
        <w:t xml:space="preserve"> </w:t>
      </w:r>
      <w:r>
        <w:t xml:space="preserve">[13] Boursorama, foro de Exosens (14-oct-2026).</w:t>
      </w:r>
      <w:r>
        <w:t xml:space="preserve"> </w:t>
      </w:r>
      <w:r>
        <w:t xml:space="preserve">[14] Simply Wall St y Webull (sep-oct-2026).</w:t>
      </w:r>
      <w:r>
        <w:t xml:space="preserve"> </w:t>
      </w:r>
      <w:r>
        <w:t xml:space="preserve">[15] Investing.com y Berenberg (colocación de abril de 2026); MarketScreener/AMF (grupo HLD al 17,94 %); BNP Paribas (colocaciones de 2025, sin verificar).</w:t>
      </w:r>
      <w:r>
        <w:t xml:space="preserve"> </w:t>
      </w:r>
      <w:r>
        <w:t xml:space="preserve">[16] Exosens, acciones y derechos de voto a 30-sep-2026: 50.936.749 acciones.</w:t>
      </w:r>
      <w:r>
        <w:t xml:space="preserve"> </w:t>
      </w:r>
      <w:r>
        <w:t xml:space="preserve">[17] Exosens, notas de prensa en Euronext (abr-oct-2026).</w:t>
      </w:r>
      <w:r>
        <w:t xml:space="preserve"> </w:t>
      </w:r>
      <w:r>
        <w:t xml:space="preserve">[18] Active Silicon/Techleap (ventas de Phasics); THEON, Q2 2026 / H1 2026 trading update.</w:t>
      </w:r>
    </w:p>
    <w:p>
      <w:pPr>
        <w:pStyle w:val="BodyText"/>
      </w:pPr>
      <w:r>
        <w:t xml:space="preserve">Detalle completo de cada fuente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2026-10-14T21:04:21Z</dcterms:created>
  <dcterms:modified xsi:type="dcterms:W3CDTF">2026-10-14T21:04:21Z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