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dad8e0c2a347b8287ae82703706c6d153f2934"/>
    <w:p>
      <w:pPr>
        <w:pStyle w:val="Heading1"/>
      </w:pPr>
      <w:r>
        <w:t xml:space="preserve">Hensoldt AG (HAG): análisis growth, 14-oct-2026</w:t>
      </w:r>
    </w:p>
    <w:p>
      <w:pPr>
        <w:pStyle w:val="FirstParagraph"/>
      </w:pPr>
      <w:r>
        <w:rPr>
          <w:bCs/>
          <w:b/>
        </w:rPr>
        <w:t xml:space="preserve">Señal (método v11, vigente): Vender / no comprar</w:t>
      </w:r>
      <w:r>
        <w:t xml:space="preserve"> </w:t>
      </w:r>
      <w:r>
        <w:t xml:space="preserve">· Puntuación 57/100 · Señales de cambio de tendencia 2/8 · EV/beneficio bruto 16,2x · EV/EBITDA de los 12 meses siguientes 18,5x</w:t>
      </w:r>
      <w:r>
        <w:t xml:space="preserve"> </w:t>
      </w:r>
      <w:r>
        <w:t xml:space="preserve">Precio 79,18 EUR (cierre del 13-oct) · Objetivo 12 m 68,1 EUR (ponderada −13,3 %, base −10,8 %, bajista −51,4 %, alcista +19,6 %) · Compra hasta 65,3 EUR</w:t>
      </w:r>
      <w:r>
        <w:t xml:space="preserve"> </w:t>
      </w:r>
      <w:r>
        <w:t xml:space="preserve">Peso orientativo: no entra.</w:t>
      </w:r>
      <w:r>
        <w:t xml:space="preserve"> </w:t>
      </w:r>
      <w:r>
        <w:t xml:space="preserve">Referencia v9: la misma cifra que v11 (Vender, ponderada −13,3 %), porque la proyección de la regla queda por debajo de las ventas del informe y v11 se queda con la menor. Las candidatas v12 y v14 dan lo mismo.</w:t>
      </w:r>
      <w:r>
        <w:t xml:space="preserve"> </w:t>
      </w:r>
      <w:r>
        <w:rPr>
          <w:bCs/>
          <w:b/>
        </w:rPr>
        <w:t xml:space="preserve">Al precio actual</w:t>
      </w:r>
      <w:r>
        <w:t xml:space="preserve"> </w:t>
      </w:r>
      <w:r>
        <w:t xml:space="preserve">(80,78 EUR, 14-oct a las 15:35 UTC; objetivo del informe fijo): ponderada</w:t>
      </w:r>
      <w:r>
        <w:t xml:space="preserve"> </w:t>
      </w:r>
      <w:r>
        <w:rPr>
          <w:bCs/>
          <w:b/>
        </w:rPr>
        <w:t xml:space="preserve">−15,0 %</w:t>
      </w:r>
      <w:r>
        <w:t xml:space="preserve">.</w:t>
      </w:r>
      <w:r>
        <w:t xml:space="preserve"> </w:t>
      </w:r>
      <w:r>
        <w:t xml:space="preserve">Alertas de robustez del motor: ninguna. Prueba</w:t>
      </w:r>
      <w:r>
        <w:t xml:space="preserve"> </w:t>
      </w:r>
      <w:r>
        <w:rPr>
          <w:rStyle w:val="VerbatimChar"/>
        </w:rPr>
        <w:t xml:space="preserve">robustez-growth</w:t>
      </w:r>
      <w:r>
        <w:t xml:space="preserve">:</w:t>
      </w:r>
      <w:r>
        <w:t xml:space="preserve"> </w:t>
      </w:r>
      <w:r>
        <w:rPr>
          <w:bCs/>
          <w:b/>
        </w:rPr>
        <w:t xml:space="preserve">FRÁGIL</w:t>
      </w:r>
      <w:r>
        <w:t xml:space="preserve">. La señal exacta (Vender o Mantener) depende de cómo se lea la guía, pero</w:t>
      </w:r>
      <w:r>
        <w:t xml:space="preserve"> </w:t>
      </w:r>
      <w:r>
        <w:rPr>
          <w:bCs/>
          <w:b/>
        </w:rPr>
        <w:t xml:space="preserve">en ninguna variante sale Comprar</w:t>
      </w:r>
      <w:r>
        <w:t xml:space="preserve">, porque la puntuación (57) no llega al mínimo de 60. Acción robusta: no comprar.</w:t>
      </w:r>
    </w:p>
    <w:bookmarkStart w:id="20" w:name="la-tesis-en-cinco-líneas"/>
    <w:p>
      <w:pPr>
        <w:pStyle w:val="Heading2"/>
      </w:pPr>
      <w:r>
        <w:t xml:space="preserve">1. La tesis en cinco líneas</w:t>
      </w:r>
    </w:p>
    <w:p>
      <w:pPr>
        <w:numPr>
          <w:ilvl w:val="0"/>
          <w:numId w:val="1001"/>
        </w:numPr>
        <w:pStyle w:val="Compact"/>
      </w:pPr>
      <w:r>
        <w:t xml:space="preserve">Hensoldt es el especialista alemán en sensores de defensa: radares (TRML-4D, el que protege Kiev con los IRIS-T), el radar del Eurofighter, guerra electrónica y optrónica. Tiene una cartera récord de 10.356 M EUR, cuatro años de ventas, y en el 1S26 ha duplicado los pedidos [3].</w:t>
      </w:r>
    </w:p>
    <w:p>
      <w:pPr>
        <w:numPr>
          <w:ilvl w:val="0"/>
          <w:numId w:val="1001"/>
        </w:numPr>
        <w:pStyle w:val="Compact"/>
      </w:pPr>
      <w:r>
        <w:t xml:space="preserve">Pero</w:t>
      </w:r>
      <w:r>
        <w:t xml:space="preserve"> </w:t>
      </w:r>
      <w:r>
        <w:rPr>
          <w:bCs/>
          <w:b/>
        </w:rPr>
        <w:t xml:space="preserve">crece menos de lo que parece</w:t>
      </w:r>
      <w:r>
        <w:t xml:space="preserve">: un 14,7 % en 12 meses. La guía de 2026 (unos 2.750 M) implica solo un +4,8 % en el segundo semestre, porque se acaba un negocio de paso de poco margen. El objetivo a medio plazo (+15-20 % anual hasta 2030) está concentrado en los años finales [1][4][5].</w:t>
      </w:r>
    </w:p>
    <w:p>
      <w:pPr>
        <w:numPr>
          <w:ilvl w:val="0"/>
          <w:numId w:val="1001"/>
        </w:numPr>
        <w:pStyle w:val="Compact"/>
      </w:pPr>
      <w:r>
        <w:t xml:space="preserve">Y</w:t>
      </w:r>
      <w:r>
        <w:t xml:space="preserve"> </w:t>
      </w:r>
      <w:r>
        <w:rPr>
          <w:bCs/>
          <w:b/>
        </w:rPr>
        <w:t xml:space="preserve">no es barata</w:t>
      </w:r>
      <w:r>
        <w:t xml:space="preserve">: 18,5x EBITDA de los próximos 12 meses y 36x el beneficio de 2027, casi lo mismo que Saab, que crece casi el doble. Rheinmetall, que crece más del doble, cotiza a 10,8x [11].</w:t>
      </w:r>
    </w:p>
    <w:p>
      <w:pPr>
        <w:numPr>
          <w:ilvl w:val="0"/>
          <w:numId w:val="1001"/>
        </w:numPr>
        <w:pStyle w:val="Compact"/>
      </w:pPr>
      <w:r>
        <w:t xml:space="preserve">El método da</w:t>
      </w:r>
      <w:r>
        <w:t xml:space="preserve"> </w:t>
      </w:r>
      <w:r>
        <w:rPr>
          <w:bCs/>
          <w:b/>
        </w:rPr>
        <w:t xml:space="preserve">Vender / no comprar</w:t>
      </w:r>
      <w:r>
        <w:t xml:space="preserve">. La puntuación es 57, por debajo del mínimo de 60 para comprar, y con la guía del semestre la rentabilidad ponderada sale −13 %. Aunque se proyectara con el objetivo a medio plazo, la señal no pasaría de Mantener.</w:t>
      </w:r>
    </w:p>
    <w:p>
      <w:pPr>
        <w:numPr>
          <w:ilvl w:val="0"/>
          <w:numId w:val="1001"/>
        </w:numPr>
        <w:pStyle w:val="Compact"/>
      </w:pPr>
      <w:r>
        <w:t xml:space="preserve">Conclusión: buena empresa en el sector adecuado,</w:t>
      </w:r>
      <w:r>
        <w:t xml:space="preserve"> </w:t>
      </w:r>
      <w:r>
        <w:rPr>
          <w:bCs/>
          <w:b/>
        </w:rPr>
        <w:t xml:space="preserve">a un precio que ya descuenta el crecimiento de 2027-2030</w:t>
      </w:r>
      <w:r>
        <w:t xml:space="preserve">. No entra en la cartera ni en la lista de suplentes. Entre las tres de defensa analizadas hoy, Saab es la única con señal de compra.</w:t>
      </w:r>
    </w:p>
    <w:bookmarkEnd w:id="20"/>
    <w:bookmarkStart w:id="21" w:name="negocio-y-tecnología"/>
    <w:p>
      <w:pPr>
        <w:pStyle w:val="Heading2"/>
      </w:pPr>
      <w:r>
        <w:t xml:space="preserve">2. Negocio y tecnología</w:t>
      </w:r>
    </w:p>
    <w:p>
      <w:pPr>
        <w:pStyle w:val="FirstParagraph"/>
      </w:pPr>
      <w:r>
        <w:t xml:space="preserve">Hensoldt (Taufkirchen, Múnich) salió de Airbus en 2017 y cotiza desde 2020. Sus mayores accionistas son el Estado alemán (KfW, 25,1 %) y Leonardo (~22,8 %); los dos porcentajes son de memoria, sin comprobar. Tiene dos segmentos [3]:</w:t>
      </w:r>
      <w:r>
        <w:t xml:space="preserve"> </w:t>
      </w:r>
      <w:r>
        <w:t xml:space="preserve">-</w:t>
      </w:r>
      <w:r>
        <w:t xml:space="preserve"> </w:t>
      </w:r>
      <w:r>
        <w:rPr>
          <w:bCs/>
          <w:b/>
        </w:rPr>
        <w:t xml:space="preserve">Sensors</w:t>
      </w:r>
      <w:r>
        <w:t xml:space="preserve"> </w:t>
      </w:r>
      <w:r>
        <w:t xml:space="preserve">(82 % de las ventas del 1S26): radares terrestres de defensa aérea (TRML-4D, que acompaña a los IRIS-T de Diehl en Ucrania y Alemania), radar del Eurofighter (ECRS Mk1, con Indra), radares navales, guerra electrónica (PEGASUS, el avión de inteligencia de señales alemán), autoprotección de aviones y helicópteros, y espacio. Ventas 955 M (+17 %); el núcleo, sin negocio de paso, 844 M (+10 %).</w:t>
      </w:r>
      <w:r>
        <w:t xml:space="preserve"> </w:t>
      </w:r>
      <w:r>
        <w:t xml:space="preserve">-</w:t>
      </w:r>
      <w:r>
        <w:t xml:space="preserve"> </w:t>
      </w:r>
      <w:r>
        <w:rPr>
          <w:bCs/>
          <w:b/>
        </w:rPr>
        <w:t xml:space="preserve">Optronics</w:t>
      </w:r>
      <w:r>
        <w:t xml:space="preserve"> </w:t>
      </w:r>
      <w:r>
        <w:t xml:space="preserve">(18 %): visores y periscopios (Puma, Schakal, submarinos) y miras. Ventas 219 M (+63 %), con un margen que pasa del 1 % al 11 %. Compró la neerlandesa Nedinsco (87 M, cerrada el 29-may) [3].</w:t>
      </w:r>
    </w:p>
    <w:p>
      <w:pPr>
        <w:pStyle w:val="BodyText"/>
      </w:pPr>
      <w:r>
        <w:t xml:space="preserve">Qué tiene de nuevo: el TRML-4D, probado en combate en Ucrania; el radar pasivo; y</w:t>
      </w:r>
      <w:r>
        <w:t xml:space="preserve"> </w:t>
      </w:r>
      <w:r>
        <w:rPr>
          <w:bCs/>
          <w:b/>
        </w:rPr>
        <w:t xml:space="preserve">MDOcore</w:t>
      </w:r>
      <w:r>
        <w:t xml:space="preserve">, una capa de software que junta los datos de varios sensores. Se apoya en socios de IA: Helsing, IBM y Agile. Además tiene una participación en Quantum Systems (drones), con una revalorización de 53 M en el semestre [3][4].</w:t>
      </w:r>
      <w:r>
        <w:t xml:space="preserve"> </w:t>
      </w:r>
      <w:r>
        <w:rPr>
          <w:bCs/>
          <w:b/>
        </w:rPr>
        <w:t xml:space="preserve">Tecnología 4/5</w:t>
      </w:r>
      <w:r>
        <w:t xml:space="preserve">: radares y guerra electrónica difíciles de copiar en tres años, pero con rivales fuertes (Thales, Saab, Leonardo, IAI/Elta, Raytheon).</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Periodo</w:t>
            </w:r>
          </w:p>
        </w:tc>
        <w:tc>
          <w:tcPr/>
          <w:p>
            <w:pPr>
              <w:pStyle w:val="Compact"/>
              <w:jc w:val="left"/>
            </w:pPr>
            <w:r>
              <w:t xml:space="preserve">Ventas (M EUR)</w:t>
            </w:r>
          </w:p>
        </w:tc>
        <w:tc>
          <w:tcPr/>
          <w:p>
            <w:pPr>
              <w:pStyle w:val="Compact"/>
              <w:jc w:val="left"/>
            </w:pPr>
            <w:r>
              <w:t xml:space="preserve">Crec. interanual</w:t>
            </w:r>
          </w:p>
        </w:tc>
        <w:tc>
          <w:tcPr/>
          <w:p>
            <w:pPr>
              <w:pStyle w:val="Compact"/>
              <w:jc w:val="left"/>
            </w:pPr>
            <w:r>
              <w:t xml:space="preserve">Margen EBITDA ajustado</w:t>
            </w:r>
          </w:p>
        </w:tc>
        <w:tc>
          <w:tcPr/>
          <w:p>
            <w:pPr>
              <w:pStyle w:val="Compact"/>
              <w:jc w:val="left"/>
            </w:pPr>
            <w:r>
              <w:t xml:space="preserve">Fuente</w:t>
            </w:r>
          </w:p>
        </w:tc>
      </w:tr>
      <w:tr>
        <w:tc>
          <w:tcPr/>
          <w:p>
            <w:pPr>
              <w:pStyle w:val="Compact"/>
              <w:jc w:val="left"/>
            </w:pPr>
            <w:r>
              <w:t xml:space="preserve">2023</w:t>
            </w:r>
          </w:p>
        </w:tc>
        <w:tc>
          <w:tcPr/>
          <w:p>
            <w:pPr>
              <w:pStyle w:val="Compact"/>
              <w:jc w:val="left"/>
            </w:pPr>
            <w:r>
              <w:t xml:space="preserve">1.847</w:t>
            </w:r>
          </w:p>
        </w:tc>
        <w:tc>
          <w:tcPr/>
          <w:p>
            <w:pPr>
              <w:pStyle w:val="Compact"/>
              <w:jc w:val="left"/>
            </w:pPr>
            <w:r>
              <w:t xml:space="preserve">—</w:t>
            </w:r>
          </w:p>
        </w:tc>
        <w:tc>
          <w:tcPr/>
          <w:p>
            <w:pPr>
              <w:pStyle w:val="Compact"/>
              <w:jc w:val="left"/>
            </w:pPr>
            <w:r>
              <w:t xml:space="preserve">17,8 %</w:t>
            </w:r>
          </w:p>
        </w:tc>
        <w:tc>
          <w:tcPr/>
          <w:p>
            <w:pPr>
              <w:pStyle w:val="Compact"/>
              <w:jc w:val="left"/>
            </w:pPr>
            <w:r>
              <w:t xml:space="preserve">[11]</w:t>
            </w:r>
          </w:p>
        </w:tc>
      </w:tr>
      <w:tr>
        <w:tc>
          <w:tcPr/>
          <w:p>
            <w:pPr>
              <w:pStyle w:val="Compact"/>
              <w:jc w:val="left"/>
            </w:pPr>
            <w:r>
              <w:t xml:space="preserve">2024</w:t>
            </w:r>
          </w:p>
        </w:tc>
        <w:tc>
          <w:tcPr/>
          <w:p>
            <w:pPr>
              <w:pStyle w:val="Compact"/>
              <w:jc w:val="left"/>
            </w:pPr>
            <w:r>
              <w:t xml:space="preserve">2.240</w:t>
            </w:r>
          </w:p>
        </w:tc>
        <w:tc>
          <w:tcPr/>
          <w:p>
            <w:pPr>
              <w:pStyle w:val="Compact"/>
              <w:jc w:val="left"/>
            </w:pPr>
            <w:r>
              <w:t xml:space="preserve">+21,3 % (con la compra de ESG)</w:t>
            </w:r>
          </w:p>
        </w:tc>
        <w:tc>
          <w:tcPr/>
          <w:p>
            <w:pPr>
              <w:pStyle w:val="Compact"/>
              <w:jc w:val="left"/>
            </w:pPr>
            <w:r>
              <w:t xml:space="preserve">18,1 %</w:t>
            </w:r>
          </w:p>
        </w:tc>
        <w:tc>
          <w:tcPr/>
          <w:p>
            <w:pPr>
              <w:pStyle w:val="Compact"/>
              <w:jc w:val="left"/>
            </w:pPr>
            <w:r>
              <w:t xml:space="preserve">[1]</w:t>
            </w:r>
          </w:p>
        </w:tc>
      </w:tr>
      <w:tr>
        <w:tc>
          <w:tcPr/>
          <w:p>
            <w:pPr>
              <w:pStyle w:val="Compact"/>
              <w:jc w:val="left"/>
            </w:pPr>
            <w:r>
              <w:t xml:space="preserve">2025</w:t>
            </w:r>
          </w:p>
        </w:tc>
        <w:tc>
          <w:tcPr/>
          <w:p>
            <w:pPr>
              <w:pStyle w:val="Compact"/>
              <w:jc w:val="left"/>
            </w:pPr>
            <w:r>
              <w:t xml:space="preserve">2.455</w:t>
            </w:r>
          </w:p>
        </w:tc>
        <w:tc>
          <w:tcPr/>
          <w:p>
            <w:pPr>
              <w:pStyle w:val="Compact"/>
              <w:jc w:val="left"/>
            </w:pPr>
            <w:r>
              <w:t xml:space="preserve">+9,6 %</w:t>
            </w:r>
          </w:p>
        </w:tc>
        <w:tc>
          <w:tcPr/>
          <w:p>
            <w:pPr>
              <w:pStyle w:val="Compact"/>
              <w:jc w:val="left"/>
            </w:pPr>
            <w:r>
              <w:t xml:space="preserve">18,4 %</w:t>
            </w:r>
          </w:p>
        </w:tc>
        <w:tc>
          <w:tcPr/>
          <w:p>
            <w:pPr>
              <w:pStyle w:val="Compact"/>
              <w:jc w:val="left"/>
            </w:pPr>
            <w:r>
              <w:t xml:space="preserve">[1]</w:t>
            </w:r>
          </w:p>
        </w:tc>
      </w:tr>
      <w:tr>
        <w:tc>
          <w:tcPr/>
          <w:p>
            <w:pPr>
              <w:pStyle w:val="Compact"/>
              <w:jc w:val="left"/>
            </w:pPr>
            <w:r>
              <w:t xml:space="preserve">2T25</w:t>
            </w:r>
          </w:p>
        </w:tc>
        <w:tc>
          <w:tcPr/>
          <w:p>
            <w:pPr>
              <w:pStyle w:val="Compact"/>
              <w:jc w:val="left"/>
            </w:pPr>
            <w:r>
              <w:t xml:space="preserve">549</w:t>
            </w:r>
          </w:p>
        </w:tc>
        <w:tc>
          <w:tcPr/>
          <w:p>
            <w:pPr>
              <w:pStyle w:val="Compact"/>
              <w:jc w:val="left"/>
            </w:pPr>
            <w:r>
              <w:t xml:space="preserve">+5,6 %</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3T25</w:t>
            </w:r>
          </w:p>
        </w:tc>
        <w:tc>
          <w:tcPr/>
          <w:p>
            <w:pPr>
              <w:pStyle w:val="Compact"/>
              <w:jc w:val="left"/>
            </w:pPr>
            <w:r>
              <w:t xml:space="preserve">592</w:t>
            </w:r>
          </w:p>
        </w:tc>
        <w:tc>
          <w:tcPr/>
          <w:p>
            <w:pPr>
              <w:pStyle w:val="Compact"/>
              <w:jc w:val="left"/>
            </w:pPr>
            <w:r>
              <w:t xml:space="preserve">+12,1 %</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4T25</w:t>
            </w:r>
          </w:p>
        </w:tc>
        <w:tc>
          <w:tcPr/>
          <w:p>
            <w:pPr>
              <w:pStyle w:val="Compact"/>
              <w:jc w:val="left"/>
            </w:pPr>
            <w:r>
              <w:t xml:space="preserve">919</w:t>
            </w:r>
          </w:p>
        </w:tc>
        <w:tc>
          <w:tcPr/>
          <w:p>
            <w:pPr>
              <w:pStyle w:val="Compact"/>
              <w:jc w:val="left"/>
            </w:pPr>
            <w:r>
              <w:t xml:space="preserve">+6,5 %</w:t>
            </w:r>
          </w:p>
        </w:tc>
        <w:tc>
          <w:tcPr/>
          <w:p>
            <w:pPr>
              <w:pStyle w:val="Compact"/>
              <w:jc w:val="left"/>
            </w:pPr>
            <w:r>
              <w:t xml:space="preserve">—</w:t>
            </w:r>
          </w:p>
        </w:tc>
        <w:tc>
          <w:tcPr/>
          <w:p>
            <w:pPr>
              <w:pStyle w:val="Compact"/>
              <w:jc w:val="left"/>
            </w:pPr>
            <w:r>
              <w:t xml:space="preserve">[1][6]</w:t>
            </w:r>
          </w:p>
        </w:tc>
      </w:tr>
      <w:tr>
        <w:tc>
          <w:tcPr/>
          <w:p>
            <w:pPr>
              <w:pStyle w:val="Compact"/>
              <w:jc w:val="left"/>
            </w:pPr>
            <w:r>
              <w:t xml:space="preserve">1T26</w:t>
            </w:r>
          </w:p>
        </w:tc>
        <w:tc>
          <w:tcPr/>
          <w:p>
            <w:pPr>
              <w:pStyle w:val="Compact"/>
              <w:jc w:val="left"/>
            </w:pPr>
            <w:r>
              <w:t xml:space="preserve">496</w:t>
            </w:r>
          </w:p>
        </w:tc>
        <w:tc>
          <w:tcPr/>
          <w:p>
            <w:pPr>
              <w:pStyle w:val="Compact"/>
              <w:jc w:val="left"/>
            </w:pPr>
            <w:r>
              <w:t xml:space="preserve">+25,6 %</w:t>
            </w:r>
          </w:p>
        </w:tc>
        <w:tc>
          <w:tcPr/>
          <w:p>
            <w:pPr>
              <w:pStyle w:val="Compact"/>
              <w:jc w:val="left"/>
            </w:pPr>
            <w:r>
              <w:t xml:space="preserve">8,9 %</w:t>
            </w:r>
          </w:p>
        </w:tc>
        <w:tc>
          <w:tcPr/>
          <w:p>
            <w:pPr>
              <w:pStyle w:val="Compact"/>
              <w:jc w:val="left"/>
            </w:pPr>
            <w:r>
              <w:t xml:space="preserve">[2]</w:t>
            </w:r>
          </w:p>
        </w:tc>
      </w:tr>
      <w:tr>
        <w:tc>
          <w:tcPr/>
          <w:p>
            <w:pPr>
              <w:pStyle w:val="Compact"/>
              <w:jc w:val="left"/>
            </w:pPr>
            <w:r>
              <w:t xml:space="preserve">2T26</w:t>
            </w:r>
          </w:p>
        </w:tc>
        <w:tc>
          <w:tcPr/>
          <w:p>
            <w:pPr>
              <w:pStyle w:val="Compact"/>
              <w:jc w:val="left"/>
            </w:pPr>
            <w:r>
              <w:t xml:space="preserve">671</w:t>
            </w:r>
          </w:p>
        </w:tc>
        <w:tc>
          <w:tcPr/>
          <w:p>
            <w:pPr>
              <w:pStyle w:val="Compact"/>
              <w:jc w:val="left"/>
            </w:pPr>
            <w:r>
              <w:t xml:space="preserve">+22,2 %</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Últimos 12 meses (jul-25 a jun-26)</w:t>
            </w:r>
          </w:p>
        </w:tc>
        <w:tc>
          <w:tcPr/>
          <w:p>
            <w:pPr>
              <w:pStyle w:val="Compact"/>
              <w:jc w:val="left"/>
            </w:pPr>
            <w:r>
              <w:t xml:space="preserve">2.678</w:t>
            </w:r>
          </w:p>
        </w:tc>
        <w:tc>
          <w:tcPr/>
          <w:p>
            <w:pPr>
              <w:pStyle w:val="Compact"/>
              <w:jc w:val="left"/>
            </w:pPr>
            <w:r>
              <w:t xml:space="preserve">+14,7 %</w:t>
            </w:r>
          </w:p>
        </w:tc>
        <w:tc>
          <w:tcPr/>
          <w:p>
            <w:pPr>
              <w:pStyle w:val="Compact"/>
              <w:jc w:val="left"/>
            </w:pPr>
            <w:r>
              <w:t xml:space="preserve">18,0 %</w:t>
            </w:r>
          </w:p>
        </w:tc>
        <w:tc>
          <w:tcPr/>
          <w:p>
            <w:pPr>
              <w:pStyle w:val="Compact"/>
              <w:jc w:val="left"/>
            </w:pPr>
            <w:r>
              <w:t xml:space="preserve">cálculo [1][3][6]</w:t>
            </w:r>
          </w:p>
        </w:tc>
      </w:tr>
      <w:tr>
        <w:tc>
          <w:tcPr/>
          <w:p>
            <w:pPr>
              <w:pStyle w:val="Compact"/>
              <w:jc w:val="left"/>
            </w:pPr>
            <w:r>
              <w:t xml:space="preserve">2026 guía</w:t>
            </w:r>
          </w:p>
        </w:tc>
        <w:tc>
          <w:tcPr/>
          <w:p>
            <w:pPr>
              <w:pStyle w:val="Compact"/>
              <w:jc w:val="left"/>
            </w:pPr>
            <w:r>
              <w:t xml:space="preserve">~2.750</w:t>
            </w:r>
          </w:p>
        </w:tc>
        <w:tc>
          <w:tcPr/>
          <w:p>
            <w:pPr>
              <w:pStyle w:val="Compact"/>
              <w:jc w:val="left"/>
            </w:pPr>
            <w:r>
              <w:t xml:space="preserve">+12,0 %</w:t>
            </w:r>
          </w:p>
        </w:tc>
        <w:tc>
          <w:tcPr/>
          <w:p>
            <w:pPr>
              <w:pStyle w:val="Compact"/>
              <w:jc w:val="left"/>
            </w:pPr>
            <w:r>
              <w:t xml:space="preserve">18,5-19,0 %</w:t>
            </w:r>
          </w:p>
        </w:tc>
        <w:tc>
          <w:tcPr/>
          <w:p>
            <w:pPr>
              <w:pStyle w:val="Compact"/>
              <w:jc w:val="left"/>
            </w:pPr>
            <w:r>
              <w:t xml:space="preserve">[1]</w:t>
            </w:r>
          </w:p>
        </w:tc>
      </w:tr>
      <w:tr>
        <w:tc>
          <w:tcPr/>
          <w:p>
            <w:pPr>
              <w:pStyle w:val="Compact"/>
              <w:jc w:val="left"/>
            </w:pPr>
            <w:r>
              <w:t xml:space="preserve">2026 consenso</w:t>
            </w:r>
          </w:p>
        </w:tc>
        <w:tc>
          <w:tcPr/>
          <w:p>
            <w:pPr>
              <w:pStyle w:val="Compact"/>
              <w:jc w:val="left"/>
            </w:pPr>
            <w:r>
              <w:t xml:space="preserve">2.816</w:t>
            </w:r>
          </w:p>
        </w:tc>
        <w:tc>
          <w:tcPr/>
          <w:p>
            <w:pPr>
              <w:pStyle w:val="Compact"/>
              <w:jc w:val="left"/>
            </w:pPr>
            <w:r>
              <w:t xml:space="preserve">+14,7 %</w:t>
            </w:r>
          </w:p>
        </w:tc>
        <w:tc>
          <w:tcPr/>
          <w:p>
            <w:pPr>
              <w:pStyle w:val="Compact"/>
              <w:jc w:val="left"/>
            </w:pPr>
            <w:r>
              <w:t xml:space="preserve">18,6 %</w:t>
            </w:r>
          </w:p>
        </w:tc>
        <w:tc>
          <w:tcPr/>
          <w:p>
            <w:pPr>
              <w:pStyle w:val="Compact"/>
              <w:jc w:val="left"/>
            </w:pPr>
            <w:r>
              <w:t xml:space="preserve">[11]</w:t>
            </w:r>
          </w:p>
        </w:tc>
      </w:tr>
      <w:tr>
        <w:tc>
          <w:tcPr/>
          <w:p>
            <w:pPr>
              <w:pStyle w:val="Compact"/>
              <w:jc w:val="left"/>
            </w:pPr>
            <w:r>
              <w:t xml:space="preserve">2027 consenso</w:t>
            </w:r>
          </w:p>
        </w:tc>
        <w:tc>
          <w:tcPr/>
          <w:p>
            <w:pPr>
              <w:pStyle w:val="Compact"/>
              <w:jc w:val="left"/>
            </w:pPr>
            <w:r>
              <w:t xml:space="preserve">3.292</w:t>
            </w:r>
          </w:p>
        </w:tc>
        <w:tc>
          <w:tcPr/>
          <w:p>
            <w:pPr>
              <w:pStyle w:val="Compact"/>
              <w:jc w:val="left"/>
            </w:pPr>
            <w:r>
              <w:t xml:space="preserve">+16,9 %</w:t>
            </w:r>
          </w:p>
        </w:tc>
        <w:tc>
          <w:tcPr/>
          <w:p>
            <w:pPr>
              <w:pStyle w:val="Compact"/>
              <w:jc w:val="left"/>
            </w:pPr>
            <w:r>
              <w:t xml:space="preserve">19,4 %</w:t>
            </w:r>
          </w:p>
        </w:tc>
        <w:tc>
          <w:tcPr/>
          <w:p>
            <w:pPr>
              <w:pStyle w:val="Compact"/>
              <w:jc w:val="left"/>
            </w:pPr>
            <w:r>
              <w:t xml:space="preserve">[11]</w:t>
            </w:r>
          </w:p>
        </w:tc>
      </w:tr>
      <w:tr>
        <w:tc>
          <w:tcPr/>
          <w:p>
            <w:pPr>
              <w:pStyle w:val="Compact"/>
              <w:jc w:val="left"/>
            </w:pPr>
            <w:r>
              <w:t xml:space="preserve">2028 consenso</w:t>
            </w:r>
          </w:p>
        </w:tc>
        <w:tc>
          <w:tcPr/>
          <w:p>
            <w:pPr>
              <w:pStyle w:val="Compact"/>
              <w:jc w:val="left"/>
            </w:pPr>
            <w:r>
              <w:t xml:space="preserve">3.895</w:t>
            </w:r>
          </w:p>
        </w:tc>
        <w:tc>
          <w:tcPr/>
          <w:p>
            <w:pPr>
              <w:pStyle w:val="Compact"/>
              <w:jc w:val="left"/>
            </w:pPr>
            <w:r>
              <w:t xml:space="preserve">+18,3 %</w:t>
            </w:r>
          </w:p>
        </w:tc>
        <w:tc>
          <w:tcPr/>
          <w:p>
            <w:pPr>
              <w:pStyle w:val="Compact"/>
              <w:jc w:val="left"/>
            </w:pPr>
            <w:r>
              <w:t xml:space="preserve">20,0 %</w:t>
            </w:r>
          </w:p>
        </w:tc>
        <w:tc>
          <w:tcPr/>
          <w:p>
            <w:pPr>
              <w:pStyle w:val="Compact"/>
              <w:jc w:val="left"/>
            </w:pPr>
            <w:r>
              <w:t xml:space="preserve">[11]</w:t>
            </w:r>
          </w:p>
        </w:tc>
      </w:tr>
    </w:tbl>
    <w:p>
      <w:pPr>
        <w:pStyle w:val="BodyText"/>
      </w:pPr>
      <w:r>
        <w:t xml:space="preserve">Los trimestres de 2024 salen de restar cifras publicadas; el 1T24 (~329 M) se deduce del «+20 %» del 1T25 [6].</w:t>
      </w:r>
    </w:p>
    <w:p>
      <w:pPr>
        <w:numPr>
          <w:ilvl w:val="0"/>
          <w:numId w:val="1002"/>
        </w:numPr>
        <w:pStyle w:val="Compact"/>
      </w:pPr>
      <w:r>
        <w:rPr>
          <w:bCs/>
          <w:b/>
        </w:rPr>
        <w:t xml:space="preserve">Aceleración +9,7 pp</w:t>
      </w:r>
      <w:r>
        <w:t xml:space="preserve">: el 2T26 crece un 22,2 % frente a una media del 12,5 % en los cuatro trimestres anteriores. Pero hay dos efectos que no se repiten. El negocio de paso (radar del Eurofighter y PEGASUS, que Hensoldt compra y revende con poco margen) sube de 48 M a 112 M. Y entran 20-25 M de ventas que venían arrastradas de 2025.</w:t>
      </w:r>
      <w:r>
        <w:t xml:space="preserve"> </w:t>
      </w:r>
      <w:r>
        <w:rPr>
          <w:bCs/>
          <w:b/>
        </w:rPr>
        <w:t xml:space="preserve">Sin negocio de paso, el núcleo crece un 18 %</w:t>
      </w:r>
      <w:r>
        <w:t xml:space="preserve"> </w:t>
      </w:r>
      <w:r>
        <w:t xml:space="preserve">[3][4].</w:t>
      </w:r>
    </w:p>
    <w:p>
      <w:pPr>
        <w:numPr>
          <w:ilvl w:val="0"/>
          <w:numId w:val="1002"/>
        </w:numPr>
        <w:pStyle w:val="Compact"/>
      </w:pPr>
      <w:r>
        <w:rPr>
          <w:bCs/>
          <w:b/>
        </w:rPr>
        <w:t xml:space="preserve">CAGR propio a 2 años: 15,1 %</w:t>
      </w:r>
      <w:r>
        <w:t xml:space="preserve">, de 2.678 M a unos 3.547 M en los 12 meses a jun-2028. Es el consenso, repartido por semestres.</w:t>
      </w:r>
    </w:p>
    <w:p>
      <w:pPr>
        <w:numPr>
          <w:ilvl w:val="0"/>
          <w:numId w:val="1002"/>
        </w:numPr>
        <w:pStyle w:val="Compact"/>
      </w:pPr>
      <w:r>
        <w:rPr>
          <w:bCs/>
          <w:b/>
        </w:rPr>
        <w:t xml:space="preserve">Retención neta</w:t>
      </w:r>
      <w:r>
        <w:t xml:space="preserve">: no aplica. La medida equivalente es la</w:t>
      </w:r>
      <w:r>
        <w:t xml:space="preserve"> </w:t>
      </w:r>
      <w:r>
        <w:rPr>
          <w:bCs/>
          <w:b/>
        </w:rPr>
        <w:t xml:space="preserve">cartera de 10.356 M</w:t>
      </w:r>
      <w:r>
        <w:t xml:space="preserve"> </w:t>
      </w:r>
      <w:r>
        <w:t xml:space="preserve">(+46 % en un año), unos 3,9 años de ventas. El 1S26 tuvo 2.812 M de pedidos, un book-to-bill de 2,4 [3].</w:t>
      </w:r>
    </w:p>
    <w:p>
      <w:pPr>
        <w:numPr>
          <w:ilvl w:val="0"/>
          <w:numId w:val="1002"/>
        </w:numPr>
        <w:pStyle w:val="Compact"/>
      </w:pPr>
      <w:r>
        <w:rPr>
          <w:bCs/>
          <w:b/>
        </w:rPr>
        <w:t xml:space="preserve">Guía</w:t>
      </w:r>
      <w:r>
        <w:t xml:space="preserve">: unos 2.750 M en 2026, confirmada en mayo y julio. Con el 1S ya publicado,</w:t>
      </w:r>
      <w:r>
        <w:t xml:space="preserve"> </w:t>
      </w:r>
      <w:r>
        <w:rPr>
          <w:bCs/>
          <w:b/>
        </w:rPr>
        <w:t xml:space="preserve">el 2S26 implica +4,8 %</w:t>
      </w:r>
      <w:r>
        <w:t xml:space="preserve">: es la cifra que la plantilla manda usar como guía de 12 meses. La empresa lo explica porque se acaba el negocio de paso del Eurofighter. A medio plazo: +15-20 % anual de media hasta 2030, unos 6.000 M de ventas en 2030, con el crecimiento concentrado en los últimos años [4][5].</w:t>
      </w:r>
    </w:p>
    <w:p>
      <w:pPr>
        <w:numPr>
          <w:ilvl w:val="0"/>
          <w:numId w:val="1002"/>
        </w:numPr>
        <w:pStyle w:val="Compact"/>
      </w:pPr>
      <w:r>
        <w:rPr>
          <w:bCs/>
          <w:b/>
        </w:rPr>
        <w:t xml:space="preserve">Exceso sobre la guía: −4,2 pp</w:t>
      </w:r>
      <w:r>
        <w:t xml:space="preserve">. En 2025 guió 2.500-2.600 M, rebajó a «unos 2.500» en noviembre y facturó 2.455 M. En 2024 quedó en la parte baja (2.240 M sobre 2.200-2.400).</w:t>
      </w:r>
      <w:r>
        <w:t xml:space="preserve"> </w:t>
      </w:r>
      <w:r>
        <w:rPr>
          <w:bCs/>
          <w:b/>
        </w:rPr>
        <w:t xml:space="preserve">Hensoldt no suele batir su guía de ventas</w:t>
      </w:r>
      <w:r>
        <w:t xml:space="preserve">: la cumple en margen y la falla un poco en ventas [1][6].</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 2028: ~30.000 M EUR</w:t>
      </w:r>
      <w:r>
        <w:t xml:space="preserve"> </w:t>
      </w:r>
      <w:r>
        <w:t xml:space="preserve">(estimación propia). Es la parte de sensores, radares, guerra electrónica y optrónica (~20 %) de la compra de equipo europea, que será de ~150.000 M EUR en 2028 (misma base que los informes de Rheinmetall y Saab), más ~5.000 M de exportación [17].</w:t>
      </w:r>
      <w:r>
        <w:t xml:space="preserve"> </w:t>
      </w:r>
      <w:r>
        <w:rPr>
          <w:bCs/>
          <w:b/>
        </w:rPr>
        <w:t xml:space="preserve">Penetración 8,9 %.</w:t>
      </w:r>
    </w:p>
    <w:p>
      <w:pPr>
        <w:numPr>
          <w:ilvl w:val="0"/>
          <w:numId w:val="1003"/>
        </w:numPr>
        <w:pStyle w:val="Compact"/>
      </w:pPr>
      <w:r>
        <w:rPr>
          <w:bCs/>
          <w:b/>
        </w:rPr>
        <w:t xml:space="preserve">Posición 4/5</w:t>
      </w:r>
      <w:r>
        <w:t xml:space="preserve">: es el campeón nacional alemán en sensores, con el Estado como accionista. Es el proveedor por defecto de la Bundeswehr en radar terrestre y guerra electrónica, y el TRML-4D tiene demanda de exportación (Ucrania, países de la iniciativa European Sky Shield).</w:t>
      </w:r>
    </w:p>
    <w:p>
      <w:pPr>
        <w:numPr>
          <w:ilvl w:val="0"/>
          <w:numId w:val="1003"/>
        </w:numPr>
        <w:pStyle w:val="Compact"/>
      </w:pPr>
      <w:r>
        <w:rPr>
          <w:bCs/>
          <w:b/>
        </w:rPr>
        <w:t xml:space="preserve">Rivales</w:t>
      </w:r>
      <w:r>
        <w:t xml:space="preserve">: Thales (radares Ground Master, mucho mayor), Saab (Giraffe, el rival directo en radar naval, como en el concurso MEKO A-200), Leonardo, IAI/Elta, Raytheon y Lockheed en los radares grandes, e Indra en el Eurofighter.</w:t>
      </w:r>
    </w:p>
    <w:p>
      <w:pPr>
        <w:numPr>
          <w:ilvl w:val="0"/>
          <w:numId w:val="1003"/>
        </w:numPr>
        <w:pStyle w:val="Compact"/>
      </w:pPr>
      <w:r>
        <w:rPr>
          <w:bCs/>
          <w:b/>
        </w:rPr>
        <w:t xml:space="preserve">Por qué gana</w:t>
      </w:r>
      <w:r>
        <w:t xml:space="preserve">: preferencia alemana y europea por proveedores propios, radares probados en Ucrania y su papel en los grandes programas alemanes (Eurofighter, PEGASUS, Puma, F127). La cancelación de la fragata F126 le quitó unos 130 M de cartera; la empresa lo considera inmaterial [4].</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Mixtas. Suben BofA (94 EUR, 1-oct) y Jefferies (Comprar, 98 EUR, 5-oct). Bajan o son prudentes ODDO (de 85 a 83,50, 8-oct), Goldman (Neutral, 85) y mwb (Vender, 62). Son cambios de precio objetivo, no de estimaciones</w:t>
            </w:r>
          </w:p>
        </w:tc>
        <w:tc>
          <w:tcPr/>
          <w:p>
            <w:pPr>
              <w:pStyle w:val="Compact"/>
              <w:jc w:val="left"/>
            </w:pPr>
            <w:r>
              <w:t xml:space="preserve">[7][8][9]</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 (por poco)</w:t>
            </w:r>
          </w:p>
        </w:tc>
        <w:tc>
          <w:tcPr/>
          <w:p>
            <w:pPr>
              <w:pStyle w:val="Compact"/>
              <w:jc w:val="left"/>
            </w:pPr>
            <w:r>
              <w:t xml:space="preserve">79,18 EUR al cierre del 13-oct frente a una media de 80,06 EUR, que sube (79,38 hace un mes). El 14-oct, a 80,78, la cruza</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+0,5 % frente al +6,4 % del DAX. A 3 meses sí bate al índice: +7,7 % frente a +0,6 %</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Mejora del múltiplo ≥ 20 %</w:t>
            </w:r>
          </w:p>
        </w:tc>
        <w:tc>
          <w:tcPr/>
          <w:p>
            <w:pPr>
              <w:pStyle w:val="Compact"/>
              <w:jc w:val="left"/>
            </w:pPr>
            <w:r>
              <w:t xml:space="preserve">No</w:t>
            </w:r>
          </w:p>
        </w:tc>
        <w:tc>
          <w:tcPr/>
          <w:p>
            <w:pPr>
              <w:pStyle w:val="Compact"/>
              <w:jc w:val="left"/>
            </w:pPr>
            <w:r>
              <w:t xml:space="preserve">EV/EBITDA de 12 meses ~16,1x frente a un mínimo de 14,0x el 25-jun, con el mismo cálculo a los dos lados: +15 %</w:t>
            </w:r>
          </w:p>
        </w:tc>
        <w:tc>
          <w:tcPr/>
          <w:p>
            <w:pPr>
              <w:pStyle w:val="Compact"/>
              <w:jc w:val="left"/>
            </w:pPr>
            <w:r>
              <w:t xml:space="preserve">[10][11]</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Margen EBITDA +0,5 pp en el semestre (11,8 %) y +1,3 pp en el 1T. Mejora continua, lejos de +5 pp</w:t>
            </w:r>
          </w:p>
        </w:tc>
        <w:tc>
          <w:tcPr/>
          <w:p>
            <w:pPr>
              <w:pStyle w:val="Compact"/>
              <w:jc w:val="left"/>
            </w:pPr>
            <w:r>
              <w:t xml:space="preserve">[1][3]</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Dividido: consenso de ~90,7 EUR, pero la prensa alemana insiste en el precio (PER ~40-50x 2026) y en el 2S flojo</w:t>
            </w:r>
          </w:p>
        </w:tc>
        <w:tc>
          <w:tcPr/>
          <w:p>
            <w:pPr>
              <w:pStyle w:val="Compact"/>
              <w:jc w:val="left"/>
            </w:pPr>
            <w:r>
              <w:t xml:space="preserve">[7][12][13]</w:t>
            </w:r>
          </w:p>
        </w:tc>
      </w:tr>
      <w:tr>
        <w:tc>
          <w:tcPr/>
          <w:p>
            <w:pPr>
              <w:pStyle w:val="Compact"/>
              <w:jc w:val="left"/>
            </w:pPr>
            <w:r>
              <w:t xml:space="preserve">7</w:t>
            </w:r>
          </w:p>
        </w:tc>
        <w:tc>
          <w:tcPr/>
          <w:p>
            <w:pPr>
              <w:pStyle w:val="Compact"/>
              <w:jc w:val="left"/>
            </w:pPr>
            <w:r>
              <w:t xml:space="preserve">Compras de directivos o de inversores de referencia</w:t>
            </w:r>
          </w:p>
        </w:tc>
        <w:tc>
          <w:tcPr/>
          <w:p>
            <w:pPr>
              <w:pStyle w:val="Compact"/>
              <w:jc w:val="left"/>
            </w:pPr>
            <w:r>
              <w:rPr>
                <w:bCs/>
                <w:b/>
              </w:rPr>
              <w:t xml:space="preserve">Sí</w:t>
            </w:r>
          </w:p>
        </w:tc>
        <w:tc>
          <w:tcPr/>
          <w:p>
            <w:pPr>
              <w:pStyle w:val="Compact"/>
              <w:jc w:val="left"/>
            </w:pPr>
            <w:r>
              <w:t xml:space="preserve">El consejero delegado compra con su dinero de forma repetida: ago-2025, nov-2025, feb-2026 y 22-jun-2026 (~172.000 EUR a ~68-69,5 EUR)</w:t>
            </w:r>
          </w:p>
        </w:tc>
        <w:tc>
          <w:tcPr/>
          <w:p>
            <w:pPr>
              <w:pStyle w:val="Compact"/>
              <w:jc w:val="left"/>
            </w:pPr>
            <w:r>
              <w:t xml:space="preserve">[14][15]</w:t>
            </w:r>
          </w:p>
        </w:tc>
      </w:tr>
      <w:tr>
        <w:tc>
          <w:tcPr/>
          <w:p>
            <w:pPr>
              <w:pStyle w:val="Compact"/>
              <w:jc w:val="left"/>
            </w:pPr>
            <w:r>
              <w:t xml:space="preserve">8</w:t>
            </w:r>
          </w:p>
        </w:tc>
        <w:tc>
          <w:tcPr/>
          <w:p>
            <w:pPr>
              <w:pStyle w:val="Compact"/>
              <w:jc w:val="left"/>
            </w:pPr>
            <w:r>
              <w:t xml:space="preserve">Catalizador nuevo (6 meses)</w:t>
            </w:r>
          </w:p>
        </w:tc>
        <w:tc>
          <w:tcPr/>
          <w:p>
            <w:pPr>
              <w:pStyle w:val="Compact"/>
              <w:jc w:val="left"/>
            </w:pPr>
            <w:r>
              <w:rPr>
                <w:bCs/>
                <w:b/>
              </w:rPr>
              <w:t xml:space="preserve">Sí</w:t>
            </w:r>
          </w:p>
        </w:tc>
        <w:tc>
          <w:tcPr/>
          <w:p>
            <w:pPr>
              <w:pStyle w:val="Compact"/>
              <w:jc w:val="left"/>
            </w:pPr>
            <w:r>
              <w:t xml:space="preserve">Resultados de 9 meses el 5-nov; segundo lote de PEGASUS (~900 M, decisión prevista en diciembre); Eurofighter (200-300 M); radares para Ucrania (carta de intenciones de octubre); fábrica de radares a principios de 2027</w:t>
            </w:r>
          </w:p>
        </w:tc>
        <w:tc>
          <w:tcPr/>
          <w:p>
            <w:pPr>
              <w:pStyle w:val="Compact"/>
              <w:jc w:val="left"/>
            </w:pPr>
            <w:r>
              <w:t xml:space="preserve">[4][8]</w:t>
            </w:r>
          </w:p>
        </w:tc>
      </w:tr>
    </w:tbl>
    <w:p>
      <w:pPr>
        <w:pStyle w:val="BodyText"/>
      </w:pPr>
      <w:r>
        <w:rPr>
          <w:bCs/>
          <w:b/>
        </w:rPr>
        <w:t xml:space="preserve">Euforia: no.</w:t>
      </w:r>
      <w:r>
        <w:t xml:space="preserve"> </w:t>
      </w:r>
      <w:r>
        <w:t xml:space="preserve">Cae un 25,1 % en 12 meses y está un 22 % bajo el máximo de cierre de oct-2025 (102,20 EUR). Bloque C: 5/20.</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 ~21 %</w:t>
      </w:r>
      <w:r>
        <w:t xml:space="preserve"> </w:t>
      </w:r>
      <w:r>
        <w:t xml:space="preserve">en 12 meses: 16,2 % en el 1S26, que siempre es el semestre flojo, y 21,5 % en 2025 [3][18]. Es un margen de industria: puntúa 1/5. Por eso el método valora por EBITDA.</w:t>
      </w:r>
    </w:p>
    <w:p>
      <w:pPr>
        <w:numPr>
          <w:ilvl w:val="0"/>
          <w:numId w:val="1004"/>
        </w:numPr>
        <w:pStyle w:val="Compact"/>
      </w:pPr>
      <w:r>
        <w:rPr>
          <w:bCs/>
          <w:b/>
        </w:rPr>
        <w:t xml:space="preserve">Margen EBITDA ajustado 18,0 %</w:t>
      </w:r>
      <w:r>
        <w:t xml:space="preserve"> </w:t>
      </w:r>
      <w:r>
        <w:t xml:space="preserve">en 12 meses. La guía de 2026 es 18,5-19,0 % y el objetivo de 2030 es de al menos un 20 %, subiendo unos 0,5 puntos al año [1][5].</w:t>
      </w:r>
    </w:p>
    <w:p>
      <w:pPr>
        <w:numPr>
          <w:ilvl w:val="0"/>
          <w:numId w:val="1004"/>
        </w:numPr>
        <w:pStyle w:val="Compact"/>
      </w:pPr>
      <w:r>
        <w:rPr>
          <w:bCs/>
          <w:b/>
        </w:rPr>
        <w:t xml:space="preserve">FCF</w:t>
      </w:r>
      <w:r>
        <w:t xml:space="preserve">: el FCF ajustado de 2025 fue de 347 M (249 M en 2024). En 12 meses, el FCF publicado sin la compra de Nedinsco es de unos 328 M:</w:t>
      </w:r>
      <w:r>
        <w:t xml:space="preserve"> </w:t>
      </w:r>
      <w:r>
        <w:rPr>
          <w:bCs/>
          <w:b/>
        </w:rPr>
        <w:t xml:space="preserve">margen del 12,2 %</w:t>
      </w:r>
      <w:r>
        <w:t xml:space="preserve">, una estimación con el FCF de 2025 de MarketScreener. La guía de caja de 2026 subió en junio del 40 % al 50 % del EBITDA, gracias a los anticipos de los clientes [16]. Lo considero</w:t>
      </w:r>
      <w:r>
        <w:t xml:space="preserve"> </w:t>
      </w:r>
      <w:r>
        <w:rPr>
          <w:bCs/>
          <w:b/>
        </w:rPr>
        <w:t xml:space="preserve">FCF creciente</w:t>
      </w:r>
      <w:r>
        <w:t xml:space="preserve"> </w:t>
      </w:r>
      <w:r>
        <w:t xml:space="preserve">(5/5).</w:t>
      </w:r>
    </w:p>
    <w:p>
      <w:pPr>
        <w:numPr>
          <w:ilvl w:val="0"/>
          <w:numId w:val="1004"/>
        </w:numPr>
        <w:pStyle w:val="Compact"/>
      </w:pPr>
      <w:r>
        <w:rPr>
          <w:bCs/>
          <w:b/>
        </w:rPr>
        <w:t xml:space="preserve">Regla del 40: 27</w:t>
      </w:r>
      <w:r>
        <w:t xml:space="preserve"> </w:t>
      </w:r>
      <w:r>
        <w:t xml:space="preserve">(14,7 % de crecimiento + 12,2 % de margen FCF): puntúa 2/5.</w:t>
      </w:r>
    </w:p>
    <w:p>
      <w:pPr>
        <w:numPr>
          <w:ilvl w:val="0"/>
          <w:numId w:val="1004"/>
        </w:numPr>
        <w:pStyle w:val="Compact"/>
      </w:pPr>
      <w:r>
        <w:rPr>
          <w:bCs/>
          <w:b/>
        </w:rPr>
        <w:t xml:space="preserve">Apalancamiento operativo</w:t>
      </w:r>
      <w:r>
        <w:t xml:space="preserve">: el EBITDA crece algo más que las ventas (+29 % frente a +24 % en el semestre). La contratación y la nueva capacidad (placas electrónicas de 600 a 1.500 por semana, una fábrica de radares) frenan por ahora el margen de Sensors (11,9 % frente a 12,9 %) [4].</w:t>
      </w:r>
    </w:p>
    <w:p>
      <w:pPr>
        <w:numPr>
          <w:ilvl w:val="0"/>
          <w:numId w:val="1004"/>
        </w:numPr>
        <w:pStyle w:val="Compact"/>
      </w:pPr>
      <w:r>
        <w:t xml:space="preserve">Bloque D: 7/15.</w:t>
      </w:r>
    </w:p>
    <w:bookmarkEnd w:id="25"/>
    <w:bookmarkStart w:id="26" w:name="caja-deuda-y-dilución"/>
    <w:p>
      <w:pPr>
        <w:pStyle w:val="Heading2"/>
      </w:pPr>
      <w:r>
        <w:t xml:space="preserve">7. Caja, deuda y dilución</w:t>
      </w:r>
    </w:p>
    <w:p>
      <w:pPr>
        <w:numPr>
          <w:ilvl w:val="0"/>
          <w:numId w:val="1005"/>
        </w:numPr>
        <w:pStyle w:val="Compact"/>
      </w:pPr>
      <w:r>
        <w:rPr>
          <w:bCs/>
          <w:b/>
        </w:rPr>
        <w:t xml:space="preserve">Deuda neta de 1.101 M EUR a 30-jun-2026</w:t>
      </w:r>
      <w:r>
        <w:t xml:space="preserve">: 1.189 M de deuda financiera más 501 M de arrendamientos, menos 589 M de caja. Es la definición de la empresa, que en diciembre de 2025 daba 701 M [3][11]. La cifra de junio es el punto alto del año, porque el 1S consume caja (−255 M con Nedinsco, más 64 M de dividendo). Usarla es prudente: por el lado de la deuda, el objetivo sale ~3,5 EUR por acción más bajo que con la deuda de diciembre. Las pensiones no se suman (están en provisiones). Tampoco se suma la participación en Quantum Systems.</w:t>
      </w:r>
    </w:p>
    <w:p>
      <w:pPr>
        <w:numPr>
          <w:ilvl w:val="0"/>
          <w:numId w:val="1005"/>
        </w:numPr>
        <w:pStyle w:val="Compact"/>
      </w:pPr>
      <w:r>
        <w:t xml:space="preserve">Apalancamiento de 1,6x en dic-2025, con un objetivo de ~1,5x a fin de 2026 [1][16].</w:t>
      </w:r>
    </w:p>
    <w:p>
      <w:pPr>
        <w:numPr>
          <w:ilvl w:val="0"/>
          <w:numId w:val="1005"/>
        </w:numPr>
        <w:pStyle w:val="Compact"/>
      </w:pPr>
      <w:r>
        <w:rPr>
          <w:bCs/>
          <w:b/>
        </w:rPr>
        <w:t xml:space="preserve">Pista: FCF positivo.</w:t>
      </w:r>
      <w:r>
        <w:t xml:space="preserve"> </w:t>
      </w:r>
      <w:r>
        <w:rPr>
          <w:bCs/>
          <w:b/>
        </w:rPr>
        <w:t xml:space="preserve">Dilución 0 %</w:t>
      </w:r>
      <w:r>
        <w:t xml:space="preserve">: 115,5 M de acciones desde la ampliación de 2024 que pagó ESG. Pagos en acciones muy pequeños (~0,3 % de las ventas, estimación). Bloque E: 10/10.</w:t>
      </w:r>
    </w:p>
    <w:p>
      <w:pPr>
        <w:numPr>
          <w:ilvl w:val="0"/>
          <w:numId w:val="1005"/>
        </w:numPr>
        <w:pStyle w:val="Compact"/>
      </w:pPr>
      <w:r>
        <w:t xml:space="preserve">Dividendo de 0,55 EUR (0,7 %); la política es repartir el 30-40 % del beneficio ajustado.</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Oliver Dörre</w:t>
      </w:r>
      <w:r>
        <w:t xml:space="preserve">, consejero delegado desde 2024 (fecha de memoria, sin comprobar), compra acciones con su dinero de forma repetida: cuatro veces en 12 meses, la última a ~68-69,5 EUR. Asignación de capital sensata: compras pequeñas, deuda a la baja y dividendo moderado. Accionistas estables (Estado alemán y Leonardo).</w:t>
      </w:r>
      <w:r>
        <w:t xml:space="preserve"> </w:t>
      </w:r>
      <w:r>
        <w:rPr>
          <w:bCs/>
          <w:b/>
        </w:rPr>
        <w:t xml:space="preserve">Dirección 4/5.</w:t>
      </w:r>
    </w:p>
    <w:p>
      <w:pPr>
        <w:numPr>
          <w:ilvl w:val="0"/>
          <w:numId w:val="1006"/>
        </w:numPr>
        <w:pStyle w:val="Compact"/>
      </w:pPr>
      <w:r>
        <w:rPr>
          <w:bCs/>
          <w:b/>
        </w:rPr>
        <w:t xml:space="preserve">Historial 3/5</w:t>
      </w:r>
      <w:r>
        <w:t xml:space="preserve">: cumple o bate la guía de margen y de pedidos (book-to-bill de 1,9x en 2025, con una guía inicial de 1,2x). Falla un poco en ventas: 2025 quedó bajo la guía inicial y bajo la rebajada, y 2024 en la parte baja del rango. El Capital Markets Day de nov-2025 decepcionó: la acción cayó más de un 9 % en la sesión, con un EBITDA 2026/27 ~7 % bajo el consenso según JPMorgan [5][6].</w:t>
      </w:r>
    </w:p>
    <w:bookmarkEnd w:id="27"/>
    <w:bookmarkStart w:id="28" w:name="valoración"/>
    <w:p>
      <w:pPr>
        <w:pStyle w:val="Heading2"/>
      </w:pPr>
      <w:r>
        <w:t xml:space="preserve">9. Valoración</w:t>
      </w:r>
    </w:p>
    <w:p>
      <w:pPr>
        <w:pStyle w:val="FirstParagraph"/>
      </w:pPr>
      <w:r>
        <w:rPr>
          <w:bCs/>
          <w:b/>
        </w:rPr>
        <w:t xml:space="preserve">Métrica: EV/EBITDA de los 12 meses siguientes.</w:t>
      </w:r>
      <w:r>
        <w:t xml:space="preserve"> </w:t>
      </w:r>
      <w:r>
        <w:t xml:space="preserve">Hensoldt gana dinero de forma estable (margen EBITDA del 18 % desde que cotiza) y tiene un margen bruto de industria (21 %). EV/ventas la compararía mal con el software. Además, el mercado la valora así, y así se valoraron Saab y Rheinmetall.</w:t>
      </w:r>
    </w:p>
    <w:p>
      <w:pPr>
        <w:numPr>
          <w:ilvl w:val="0"/>
          <w:numId w:val="1007"/>
        </w:numPr>
        <w:pStyle w:val="Compact"/>
      </w:pPr>
      <w:r>
        <w:rPr>
          <w:bCs/>
          <w:b/>
        </w:rPr>
        <w:t xml:space="preserve">Hoy</w:t>
      </w:r>
      <w:r>
        <w:t xml:space="preserve">: EV ≈ 10.246 M EUR (79,18 × 115,5 M acciones + 1.101 M de deuda neta). EBITDA de los 12 meses siguientes ≈ 554 M (consenso: 388 M del 2S26 + 166 M del 1S27) →</w:t>
      </w:r>
      <w:r>
        <w:t xml:space="preserve"> </w:t>
      </w:r>
      <w:r>
        <w:rPr>
          <w:bCs/>
          <w:b/>
        </w:rPr>
        <w:t xml:space="preserve">18,5x</w:t>
      </w:r>
      <w:r>
        <w:t xml:space="preserve"> </w:t>
      </w:r>
      <w:r>
        <w:t xml:space="preserve">(16,1x con la deuda de diciembre). Mediana de 3 años</w:t>
      </w:r>
      <w:r>
        <w:t xml:space="preserve"> </w:t>
      </w:r>
      <w:r>
        <w:rPr>
          <w:bCs/>
          <w:b/>
        </w:rPr>
        <w:t xml:space="preserve">~15,8x</w:t>
      </w:r>
      <w:r>
        <w:t xml:space="preserve"> </w:t>
      </w:r>
      <w:r>
        <w:t xml:space="preserve">y mínimo</w:t>
      </w:r>
      <w:r>
        <w:t xml:space="preserve"> </w:t>
      </w:r>
      <w:r>
        <w:rPr>
          <w:bCs/>
          <w:b/>
        </w:rPr>
        <w:t xml:space="preserve">~6,4x</w:t>
      </w:r>
      <w:r>
        <w:t xml:space="preserve"> </w:t>
      </w:r>
      <w:r>
        <w:t xml:space="preserve">(dic-2023), estimación propia [10][11]. Comparables: Rheinmetall 10,8x, Saab 20,3x, Thales 11,3x, BAE 11,4x, Leonardo 8,7x y Kongsberg ~21x →</w:t>
      </w:r>
      <w:r>
        <w:t xml:space="preserve"> </w:t>
      </w:r>
      <w:r>
        <w:rPr>
          <w:bCs/>
          <w:b/>
        </w:rPr>
        <w:t xml:space="preserve">mediana 11,3x</w:t>
      </w:r>
      <w:r>
        <w:t xml:space="preserve">.</w:t>
      </w:r>
    </w:p>
    <w:p>
      <w:pPr>
        <w:numPr>
          <w:ilvl w:val="0"/>
          <w:numId w:val="1007"/>
        </w:numPr>
        <w:pStyle w:val="Compact"/>
      </w:pPr>
      <w:r>
        <w:rPr>
          <w:bCs/>
          <w:b/>
        </w:rPr>
        <w:t xml:space="preserve">Ventas del ejercicio objetivo</w:t>
      </w:r>
      <w:r>
        <w:t xml:space="preserve"> </w:t>
      </w:r>
      <w:r>
        <w:t xml:space="preserve">(12 meses a jun-2028): las del informe son bajista 3.150 M,</w:t>
      </w:r>
      <w:r>
        <w:t xml:space="preserve"> </w:t>
      </w:r>
      <w:r>
        <w:rPr>
          <w:bCs/>
          <w:b/>
        </w:rPr>
        <w:t xml:space="preserve">base 3.550 M (como el consenso, 3.547 M)</w:t>
      </w:r>
      <w:r>
        <w:t xml:space="preserve"> </w:t>
      </w:r>
      <w:r>
        <w:t xml:space="preserve">y alcista 3.750 M.</w:t>
      </w:r>
      <w:r>
        <w:t xml:space="preserve"> </w:t>
      </w:r>
      <w:r>
        <w:rPr>
          <w:bCs/>
          <w:b/>
        </w:rPr>
        <w:t xml:space="preserve">La regla mecánica da 2.708 M</w:t>
      </w:r>
      <w:r>
        <w:t xml:space="preserve"> </w:t>
      </w:r>
      <w:r>
        <w:t xml:space="preserve">en el base: parte de la guía del 2S26 (+4,8 %) menos lo que Hensoldt suele quedarse corta (−4,2 pp), es decir, un +0,6 %. v11 toma la menor de las dos.</w:t>
      </w:r>
    </w:p>
    <w:p>
      <w:pPr>
        <w:numPr>
          <w:ilvl w:val="0"/>
          <w:numId w:val="1007"/>
        </w:numPr>
        <w:pStyle w:val="Compact"/>
      </w:pPr>
      <w:r>
        <w:rPr>
          <w:bCs/>
          <w:b/>
        </w:rPr>
        <w:t xml:space="preserve">Crecimiento</w:t>
      </w:r>
      <w:r>
        <w:t xml:space="preserve"> </w:t>
      </w:r>
      <w:r>
        <w:t xml:space="preserve">de los 12 meses siguientes: 12,7 % (consenso). Del año objetivo: 17,5 %. El factor de desaceleración es 1, porque el consenso acelera.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EUR)</w:t>
            </w:r>
          </w:p>
        </w:tc>
        <w:tc>
          <w:tcPr/>
          <w:p>
            <w:pPr>
              <w:pStyle w:val="Compact"/>
              <w:jc w:val="left"/>
            </w:pPr>
            <w:r>
              <w:t xml:space="preserve">Múltiplo EV/EBITDA</w:t>
            </w:r>
          </w:p>
        </w:tc>
        <w:tc>
          <w:tcPr/>
          <w:p>
            <w:pPr>
              <w:pStyle w:val="Compact"/>
              <w:jc w:val="left"/>
            </w:pPr>
            <w:r>
              <w:t xml:space="preserve">Precio</w:t>
            </w:r>
          </w:p>
        </w:tc>
        <w:tc>
          <w:tcPr/>
          <w:p>
            <w:pPr>
              <w:pStyle w:val="Compact"/>
              <w:jc w:val="left"/>
            </w:pPr>
            <w:r>
              <w:t xml:space="preserve">Rentabilidad (con dividendo)</w:t>
            </w:r>
          </w:p>
        </w:tc>
        <w:tc>
          <w:tcPr/>
          <w:p>
            <w:pPr>
              <w:pStyle w:val="Compact"/>
              <w:jc w:val="left"/>
            </w:pPr>
            <w:r>
              <w:t xml:space="preserve">Prob.</w:t>
            </w:r>
          </w:p>
        </w:tc>
      </w:tr>
      <w:tr>
        <w:tc>
          <w:tcPr/>
          <w:p>
            <w:pPr>
              <w:pStyle w:val="Compact"/>
              <w:jc w:val="left"/>
            </w:pPr>
            <w:r>
              <w:t xml:space="preserve">Bajista</w:t>
            </w:r>
          </w:p>
        </w:tc>
        <w:tc>
          <w:tcPr/>
          <w:p>
            <w:pPr>
              <w:pStyle w:val="Compact"/>
              <w:jc w:val="left"/>
            </w:pPr>
            <w:r>
              <w:t xml:space="preserve">2.693 (mecánica)</w:t>
            </w:r>
          </w:p>
        </w:tc>
        <w:tc>
          <w:tcPr/>
          <w:p>
            <w:pPr>
              <w:pStyle w:val="Compact"/>
              <w:jc w:val="left"/>
            </w:pPr>
            <w:r>
              <w:t xml:space="preserve">11,1x</w:t>
            </w:r>
          </w:p>
        </w:tc>
        <w:tc>
          <w:tcPr/>
          <w:p>
            <w:pPr>
              <w:pStyle w:val="Compact"/>
              <w:jc w:val="left"/>
            </w:pPr>
            <w:r>
              <w:t xml:space="preserve">38,0 EUR</w:t>
            </w:r>
          </w:p>
        </w:tc>
        <w:tc>
          <w:tcPr/>
          <w:p>
            <w:pPr>
              <w:pStyle w:val="Compact"/>
              <w:jc w:val="left"/>
            </w:pPr>
            <w:r>
              <w:t xml:space="preserve">−51,4 %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2.708 (mecánica)</w:t>
            </w:r>
          </w:p>
        </w:tc>
        <w:tc>
          <w:tcPr/>
          <w:p>
            <w:pPr>
              <w:pStyle w:val="Compact"/>
              <w:jc w:val="left"/>
            </w:pPr>
            <w:r>
              <w:t xml:space="preserve">18,5x</w:t>
            </w:r>
          </w:p>
        </w:tc>
        <w:tc>
          <w:tcPr/>
          <w:p>
            <w:pPr>
              <w:pStyle w:val="Compact"/>
              <w:jc w:val="left"/>
            </w:pPr>
            <w:r>
              <w:t xml:space="preserve">70,1 EUR</w:t>
            </w:r>
          </w:p>
        </w:tc>
        <w:tc>
          <w:tcPr/>
          <w:p>
            <w:pPr>
              <w:pStyle w:val="Compact"/>
              <w:jc w:val="left"/>
            </w:pPr>
            <w:r>
              <w:t xml:space="preserve">−10,8 %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2.714 (mecánica)</w:t>
            </w:r>
          </w:p>
        </w:tc>
        <w:tc>
          <w:tcPr/>
          <w:p>
            <w:pPr>
              <w:pStyle w:val="Compact"/>
              <w:jc w:val="left"/>
            </w:pPr>
            <w:r>
              <w:t xml:space="preserve">24,1x</w:t>
            </w:r>
          </w:p>
        </w:tc>
        <w:tc>
          <w:tcPr/>
          <w:p>
            <w:pPr>
              <w:pStyle w:val="Compact"/>
              <w:jc w:val="left"/>
            </w:pPr>
            <w:r>
              <w:t xml:space="preserve">94,2 EUR</w:t>
            </w:r>
          </w:p>
        </w:tc>
        <w:tc>
          <w:tcPr/>
          <w:p>
            <w:pPr>
              <w:pStyle w:val="Compact"/>
              <w:jc w:val="left"/>
            </w:pPr>
            <w:r>
              <w:t xml:space="preserve">+19,6 %</w:t>
            </w:r>
          </w:p>
        </w:tc>
        <w:tc>
          <w:tcPr/>
          <w:p>
            <w:pPr>
              <w:pStyle w:val="Compact"/>
              <w:jc w:val="left"/>
            </w:pPr>
            <w:r>
              <w:t xml:space="preserve">25 %</w:t>
            </w:r>
          </w:p>
        </w:tc>
      </w:tr>
      <w:tr>
        <w:tc>
          <w:tcPr/>
          <w:p>
            <w:pPr>
              <w:pStyle w:val="Compact"/>
              <w:jc w:val="left"/>
            </w:pPr>
            <w:r>
              <w:rPr>
                <w:bCs/>
                <w:b/>
              </w:rPr>
              <w:t xml:space="preserve">Ponderado (v11 = v9)</w:t>
            </w:r>
          </w:p>
        </w:tc>
        <w:tc>
          <w:tcPr/>
          <w:p>
            <w:pPr>
              <w:pStyle w:val="Compact"/>
            </w:pPr>
          </w:p>
        </w:tc>
        <w:tc>
          <w:tcPr/>
          <w:p>
            <w:pPr>
              <w:pStyle w:val="Compact"/>
            </w:pPr>
          </w:p>
        </w:tc>
        <w:tc>
          <w:tcPr/>
          <w:p>
            <w:pPr>
              <w:pStyle w:val="Compact"/>
              <w:jc w:val="left"/>
            </w:pPr>
            <w:r>
              <w:rPr>
                <w:bCs/>
                <w:b/>
              </w:rPr>
              <w:t xml:space="preserve">68,1 EUR</w:t>
            </w:r>
          </w:p>
        </w:tc>
        <w:tc>
          <w:tcPr/>
          <w:p>
            <w:pPr>
              <w:pStyle w:val="Compact"/>
              <w:jc w:val="left"/>
            </w:pPr>
            <w:r>
              <w:rPr>
                <w:bCs/>
                <w:b/>
              </w:rPr>
              <w:t xml:space="preserve">−13,3 %</w:t>
            </w:r>
          </w:p>
        </w:tc>
        <w:tc>
          <w:tcPr/>
          <w:p>
            <w:pPr>
              <w:pStyle w:val="Compact"/>
            </w:pPr>
          </w:p>
        </w:tc>
      </w:tr>
    </w:tbl>
    <w:p>
      <w:pPr>
        <w:numPr>
          <w:ilvl w:val="0"/>
          <w:numId w:val="1008"/>
        </w:numPr>
        <w:pStyle w:val="Compact"/>
      </w:pPr>
      <w:r>
        <w:rPr>
          <w:bCs/>
          <w:b/>
        </w:rPr>
        <w:t xml:space="preserve">Asimetría 0,4.</w:t>
      </w:r>
      <w:r>
        <w:t xml:space="preserve"> </w:t>
      </w:r>
      <w:r>
        <w:rPr>
          <w:bCs/>
          <w:b/>
        </w:rPr>
        <w:t xml:space="preserve">Compra hasta 65,3 EUR.</w:t>
      </w:r>
    </w:p>
    <w:p>
      <w:pPr>
        <w:numPr>
          <w:ilvl w:val="0"/>
          <w:numId w:val="1008"/>
        </w:numPr>
        <w:pStyle w:val="Compact"/>
      </w:pPr>
      <w:r>
        <w:rPr>
          <w:bCs/>
          <w:b/>
        </w:rPr>
        <w:t xml:space="preserve">Contraste con el consenso</w:t>
      </w:r>
      <w:r>
        <w:t xml:space="preserve">: el objetivo medio es de ~90,7 EUR (15 analistas, rango 62-105); Morningstar da 110 EUR. Los analistas proyectan las ventas de 2027-2028 con el objetivo a medio plazo; el método, con la guía del semestre [9][12].</w:t>
      </w:r>
    </w:p>
    <w:p>
      <w:pPr>
        <w:numPr>
          <w:ilvl w:val="0"/>
          <w:numId w:val="1008"/>
        </w:numPr>
        <w:pStyle w:val="Compact"/>
      </w:pPr>
      <w:r>
        <w:rPr>
          <w:bCs/>
          <w:b/>
        </w:rPr>
        <w:t xml:space="preserve">Si se proyectara con el consenso de ventas</w:t>
      </w:r>
      <w:r>
        <w:t xml:space="preserve"> </w:t>
      </w:r>
      <w:r>
        <w:t xml:space="preserve">(prueba de robustez «ventas del analista»): ponderada +13,9 % y base +16,8 %. Aun así,</w:t>
      </w:r>
      <w:r>
        <w:t xml:space="preserve"> </w:t>
      </w:r>
      <w:r>
        <w:rPr>
          <w:bCs/>
          <w:b/>
        </w:rPr>
        <w:t xml:space="preserve">Mantener</w:t>
      </w:r>
      <w:r>
        <w:t xml:space="preserve">, porque la puntuación es 57.</w:t>
      </w:r>
    </w:p>
    <w:p>
      <w:pPr>
        <w:numPr>
          <w:ilvl w:val="0"/>
          <w:numId w:val="1008"/>
        </w:numPr>
        <w:pStyle w:val="Compact"/>
      </w:pPr>
      <w:r>
        <w:rPr>
          <w:bCs/>
          <w:b/>
        </w:rPr>
        <w:t xml:space="preserve">DCF inverso</w:t>
      </w:r>
      <w:r>
        <w:t xml:space="preserve">: el precio descuenta</w:t>
      </w:r>
      <w:r>
        <w:t xml:space="preserve"> </w:t>
      </w:r>
      <w:r>
        <w:rPr>
          <w:bCs/>
          <w:b/>
        </w:rPr>
        <w:t xml:space="preserve">~11,8 % anual de crecimiento de ventas a 10 años</w:t>
      </w:r>
      <w:r>
        <w:t xml:space="preserve">, con un coste de capital del 8,5 %, un margen FCF a largo plazo del 11 % (la mitad de un EBITDA del 22 %) y un crecimiento final del 2,5 %. Es menos que su objetivo (15-20 % hasta 2030), pero exige que lo cumpla durante diez años.</w:t>
      </w:r>
    </w:p>
    <w:p>
      <w:pPr>
        <w:pStyle w:val="FirstParagraph"/>
      </w:pPr>
      <w:r>
        <w:rPr>
          <w:bCs/>
          <w:b/>
        </w:rPr>
        <w:t xml:space="preserve">Frente a Saab y Rheinmetall (informes growth de hoy):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Hensoldt</w:t>
            </w:r>
          </w:p>
        </w:tc>
        <w:tc>
          <w:tcPr/>
          <w:p>
            <w:pPr>
              <w:pStyle w:val="Compact"/>
              <w:jc w:val="left"/>
            </w:pPr>
            <w:r>
              <w:t xml:space="preserve">Saab</w:t>
            </w:r>
          </w:p>
        </w:tc>
        <w:tc>
          <w:tcPr/>
          <w:p>
            <w:pPr>
              <w:pStyle w:val="Compact"/>
              <w:jc w:val="left"/>
            </w:pPr>
            <w:r>
              <w:t xml:space="preserve">Rheinmetall</w:t>
            </w:r>
          </w:p>
        </w:tc>
      </w:tr>
      <w:tr>
        <w:tc>
          <w:tcPr/>
          <w:p>
            <w:pPr>
              <w:pStyle w:val="Compact"/>
              <w:jc w:val="left"/>
            </w:pPr>
            <w:r>
              <w:t xml:space="preserve">Señal v11</w:t>
            </w:r>
          </w:p>
        </w:tc>
        <w:tc>
          <w:tcPr/>
          <w:p>
            <w:pPr>
              <w:pStyle w:val="Compact"/>
              <w:jc w:val="left"/>
            </w:pPr>
            <w:r>
              <w:t xml:space="preserve">Vender / no comprar</w:t>
            </w:r>
          </w:p>
        </w:tc>
        <w:tc>
          <w:tcPr/>
          <w:p>
            <w:pPr>
              <w:pStyle w:val="Compact"/>
              <w:jc w:val="left"/>
            </w:pPr>
            <w:r>
              <w:t xml:space="preserve">Comprar (baja)</w:t>
            </w:r>
          </w:p>
        </w:tc>
        <w:tc>
          <w:tcPr/>
          <w:p>
            <w:pPr>
              <w:pStyle w:val="Compact"/>
              <w:jc w:val="left"/>
            </w:pPr>
            <w:r>
              <w:t xml:space="preserve">Mantener</w:t>
            </w:r>
          </w:p>
        </w:tc>
      </w:tr>
      <w:tr>
        <w:tc>
          <w:tcPr/>
          <w:p>
            <w:pPr>
              <w:pStyle w:val="Compact"/>
              <w:jc w:val="left"/>
            </w:pPr>
            <w:r>
              <w:t xml:space="preserve">Puntuación</w:t>
            </w:r>
          </w:p>
        </w:tc>
        <w:tc>
          <w:tcPr/>
          <w:p>
            <w:pPr>
              <w:pStyle w:val="Compact"/>
              <w:jc w:val="left"/>
            </w:pPr>
            <w:r>
              <w:t xml:space="preserve">57</w:t>
            </w:r>
          </w:p>
        </w:tc>
        <w:tc>
          <w:tcPr/>
          <w:p>
            <w:pPr>
              <w:pStyle w:val="Compact"/>
              <w:jc w:val="left"/>
            </w:pPr>
            <w:r>
              <w:t xml:space="preserve">63,3</w:t>
            </w:r>
          </w:p>
        </w:tc>
        <w:tc>
          <w:tcPr/>
          <w:p>
            <w:pPr>
              <w:pStyle w:val="Compact"/>
              <w:jc w:val="left"/>
            </w:pPr>
            <w:r>
              <w:t xml:space="preserve">64,3</w:t>
            </w:r>
          </w:p>
        </w:tc>
      </w:tr>
      <w:tr>
        <w:tc>
          <w:tcPr/>
          <w:p>
            <w:pPr>
              <w:pStyle w:val="Compact"/>
              <w:jc w:val="left"/>
            </w:pPr>
            <w:r>
              <w:t xml:space="preserve">Ponderada</w:t>
            </w:r>
          </w:p>
        </w:tc>
        <w:tc>
          <w:tcPr/>
          <w:p>
            <w:pPr>
              <w:pStyle w:val="Compact"/>
              <w:jc w:val="left"/>
            </w:pPr>
            <w:r>
              <w:t xml:space="preserve">−13,3 %</w:t>
            </w:r>
          </w:p>
        </w:tc>
        <w:tc>
          <w:tcPr/>
          <w:p>
            <w:pPr>
              <w:pStyle w:val="Compact"/>
              <w:jc w:val="left"/>
            </w:pPr>
            <w:r>
              <w:t xml:space="preserve">+8,2 %</w:t>
            </w:r>
          </w:p>
        </w:tc>
        <w:tc>
          <w:tcPr/>
          <w:p>
            <w:pPr>
              <w:pStyle w:val="Compact"/>
              <w:jc w:val="left"/>
            </w:pPr>
            <w:r>
              <w:t xml:space="preserve">+3,5 %</w:t>
            </w:r>
          </w:p>
        </w:tc>
      </w:tr>
      <w:tr>
        <w:tc>
          <w:tcPr/>
          <w:p>
            <w:pPr>
              <w:pStyle w:val="Compact"/>
              <w:jc w:val="left"/>
            </w:pPr>
            <w:r>
              <w:t xml:space="preserve">Crecimiento de ventas 12 m</w:t>
            </w:r>
          </w:p>
        </w:tc>
        <w:tc>
          <w:tcPr/>
          <w:p>
            <w:pPr>
              <w:pStyle w:val="Compact"/>
              <w:jc w:val="left"/>
            </w:pPr>
            <w:r>
              <w:t xml:space="preserve">14,7 %</w:t>
            </w:r>
          </w:p>
        </w:tc>
        <w:tc>
          <w:tcPr/>
          <w:p>
            <w:pPr>
              <w:pStyle w:val="Compact"/>
              <w:jc w:val="left"/>
            </w:pPr>
            <w:r>
              <w:t xml:space="preserve">26 %</w:t>
            </w:r>
          </w:p>
        </w:tc>
        <w:tc>
          <w:tcPr/>
          <w:p>
            <w:pPr>
              <w:pStyle w:val="Compact"/>
              <w:jc w:val="left"/>
            </w:pPr>
            <w:r>
              <w:t xml:space="preserve">33 %</w:t>
            </w:r>
          </w:p>
        </w:tc>
      </w:tr>
      <w:tr>
        <w:tc>
          <w:tcPr/>
          <w:p>
            <w:pPr>
              <w:pStyle w:val="Compact"/>
              <w:jc w:val="left"/>
            </w:pPr>
            <w:r>
              <w:t xml:space="preserve">EV/EBITDA de 12 meses</w:t>
            </w:r>
          </w:p>
        </w:tc>
        <w:tc>
          <w:tcPr/>
          <w:p>
            <w:pPr>
              <w:pStyle w:val="Compact"/>
              <w:jc w:val="left"/>
            </w:pPr>
            <w:r>
              <w:t xml:space="preserve">18,5x</w:t>
            </w:r>
          </w:p>
        </w:tc>
        <w:tc>
          <w:tcPr/>
          <w:p>
            <w:pPr>
              <w:pStyle w:val="Compact"/>
              <w:jc w:val="left"/>
            </w:pPr>
            <w:r>
              <w:t xml:space="preserve">20,3x</w:t>
            </w:r>
          </w:p>
        </w:tc>
        <w:tc>
          <w:tcPr/>
          <w:p>
            <w:pPr>
              <w:pStyle w:val="Compact"/>
              <w:jc w:val="left"/>
            </w:pPr>
            <w:r>
              <w:t xml:space="preserve">10,8x</w:t>
            </w:r>
          </w:p>
        </w:tc>
      </w:tr>
      <w:tr>
        <w:tc>
          <w:tcPr/>
          <w:p>
            <w:pPr>
              <w:pStyle w:val="Compact"/>
              <w:jc w:val="left"/>
            </w:pPr>
            <w:r>
              <w:t xml:space="preserve">Múltiplo por punto de crecimiento</w:t>
            </w:r>
          </w:p>
        </w:tc>
        <w:tc>
          <w:tcPr/>
          <w:p>
            <w:pPr>
              <w:pStyle w:val="Compact"/>
              <w:jc w:val="left"/>
            </w:pPr>
            <w:r>
              <w:t xml:space="preserve">1,3x</w:t>
            </w:r>
          </w:p>
        </w:tc>
        <w:tc>
          <w:tcPr/>
          <w:p>
            <w:pPr>
              <w:pStyle w:val="Compact"/>
              <w:jc w:val="left"/>
            </w:pPr>
            <w:r>
              <w:t xml:space="preserve">0,8x</w:t>
            </w:r>
          </w:p>
        </w:tc>
        <w:tc>
          <w:tcPr/>
          <w:p>
            <w:pPr>
              <w:pStyle w:val="Compact"/>
              <w:jc w:val="left"/>
            </w:pPr>
            <w:r>
              <w:t xml:space="preserve">0,3x</w:t>
            </w:r>
          </w:p>
        </w:tc>
      </w:tr>
      <w:tr>
        <w:tc>
          <w:tcPr/>
          <w:p>
            <w:pPr>
              <w:pStyle w:val="Compact"/>
              <w:jc w:val="left"/>
            </w:pPr>
            <w:r>
              <w:t xml:space="preserve">PER 2027 (consenso)</w:t>
            </w:r>
          </w:p>
        </w:tc>
        <w:tc>
          <w:tcPr/>
          <w:p>
            <w:pPr>
              <w:pStyle w:val="Compact"/>
              <w:jc w:val="left"/>
            </w:pPr>
            <w:r>
              <w:t xml:space="preserve">36x</w:t>
            </w:r>
          </w:p>
        </w:tc>
        <w:tc>
          <w:tcPr/>
          <w:p>
            <w:pPr>
              <w:pStyle w:val="Compact"/>
              <w:jc w:val="left"/>
            </w:pPr>
            <w:r>
              <w:t xml:space="preserve">34x</w:t>
            </w:r>
          </w:p>
        </w:tc>
        <w:tc>
          <w:tcPr/>
          <w:p>
            <w:pPr>
              <w:pStyle w:val="Compact"/>
              <w:jc w:val="left"/>
            </w:pPr>
            <w:r>
              <w:t xml:space="preserve">19x</w:t>
            </w:r>
          </w:p>
        </w:tc>
      </w:tr>
      <w:tr>
        <w:tc>
          <w:tcPr/>
          <w:p>
            <w:pPr>
              <w:pStyle w:val="Compact"/>
              <w:jc w:val="left"/>
            </w:pPr>
            <w:r>
              <w:t xml:space="preserve">Cartera / ventas de 12 m</w:t>
            </w:r>
          </w:p>
        </w:tc>
        <w:tc>
          <w:tcPr/>
          <w:p>
            <w:pPr>
              <w:pStyle w:val="Compact"/>
              <w:jc w:val="left"/>
            </w:pPr>
            <w:r>
              <w:t xml:space="preserve">3,9 años</w:t>
            </w:r>
          </w:p>
        </w:tc>
        <w:tc>
          <w:tcPr/>
          <w:p>
            <w:pPr>
              <w:pStyle w:val="Compact"/>
              <w:jc w:val="left"/>
            </w:pPr>
            <w:r>
              <w:t xml:space="preserve">3,6 años</w:t>
            </w:r>
          </w:p>
        </w:tc>
        <w:tc>
          <w:tcPr/>
          <w:p>
            <w:pPr>
              <w:pStyle w:val="Compact"/>
              <w:jc w:val="left"/>
            </w:pPr>
            <w:r>
              <w:t xml:space="preserve">7,1 años</w:t>
            </w:r>
          </w:p>
        </w:tc>
      </w:tr>
      <w:tr>
        <w:tc>
          <w:tcPr/>
          <w:p>
            <w:pPr>
              <w:pStyle w:val="Compact"/>
              <w:jc w:val="left"/>
            </w:pPr>
            <w:r>
              <w:t xml:space="preserve">Caja</w:t>
            </w:r>
          </w:p>
        </w:tc>
        <w:tc>
          <w:tcPr/>
          <w:p>
            <w:pPr>
              <w:pStyle w:val="Compact"/>
              <w:jc w:val="left"/>
            </w:pPr>
            <w:r>
              <w:t xml:space="preserve">Deuda neta 1.101 M (~2,3x el EBITDA en junio)</w:t>
            </w:r>
          </w:p>
        </w:tc>
        <w:tc>
          <w:tcPr/>
          <w:p>
            <w:pPr>
              <w:pStyle w:val="Compact"/>
              <w:jc w:val="left"/>
            </w:pPr>
            <w:r>
              <w:t xml:space="preserve">Liquidez neta</w:t>
            </w:r>
          </w:p>
        </w:tc>
        <w:tc>
          <w:tcPr/>
          <w:p>
            <w:pPr>
              <w:pStyle w:val="Compact"/>
              <w:jc w:val="left"/>
            </w:pPr>
            <w:r>
              <w:t xml:space="preserve">Deuda neta</w:t>
            </w:r>
          </w:p>
        </w:tc>
      </w:tr>
      <w:tr>
        <w:tc>
          <w:tcPr/>
          <w:p>
            <w:pPr>
              <w:pStyle w:val="Compact"/>
              <w:jc w:val="left"/>
            </w:pPr>
            <w:r>
              <w:t xml:space="preserve">Subida 12 m</w:t>
            </w:r>
          </w:p>
        </w:tc>
        <w:tc>
          <w:tcPr/>
          <w:p>
            <w:pPr>
              <w:pStyle w:val="Compact"/>
              <w:jc w:val="left"/>
            </w:pPr>
            <w:r>
              <w:t xml:space="preserve">−25 %</w:t>
            </w:r>
          </w:p>
        </w:tc>
        <w:tc>
          <w:tcPr/>
          <w:p>
            <w:pPr>
              <w:pStyle w:val="Compact"/>
              <w:jc w:val="left"/>
            </w:pPr>
            <w:r>
              <w:t xml:space="preserve">+16 %</w:t>
            </w:r>
          </w:p>
        </w:tc>
        <w:tc>
          <w:tcPr/>
          <w:p>
            <w:pPr>
              <w:pStyle w:val="Compact"/>
              <w:jc w:val="left"/>
            </w:pPr>
            <w:r>
              <w:t xml:space="preserve">−49 %</w:t>
            </w:r>
          </w:p>
        </w:tc>
      </w:tr>
    </w:tbl>
    <w:p>
      <w:pPr>
        <w:pStyle w:val="BodyText"/>
      </w:pPr>
      <w:r>
        <w:t xml:space="preserve">Lectura:</w:t>
      </w:r>
      <w:r>
        <w:t xml:space="preserve"> </w:t>
      </w:r>
      <w:r>
        <w:rPr>
          <w:bCs/>
          <w:b/>
        </w:rPr>
        <w:t xml:space="preserve">Hensoldt paga casi el múltiplo de Saab con la mitad de su crecimiento.</w:t>
      </w:r>
      <w:r>
        <w:t xml:space="preserve"> </w:t>
      </w:r>
      <w:r>
        <w:t xml:space="preserve">Además tiene deuda y suele quedarse un poco corta en ventas. Tiene más cartera relativa que Saab, y su objetivo a 2030 (6.000 M, ×2,4) es ambicioso. Pero ese crecimiento llega al final del periodo, y el precio ya lo descuenta. Rheinmetall es la barata con la percepción rota; Saab, la de calidad a precio justo; Hensoldt,</w:t>
      </w:r>
      <w:r>
        <w:t xml:space="preserve"> </w:t>
      </w:r>
      <w:r>
        <w:rPr>
          <w:bCs/>
          <w:b/>
        </w:rPr>
        <w:t xml:space="preserve">la cara sin el crecimiento que lo justifique hoy</w:t>
      </w:r>
      <w:r>
        <w:t xml:space="preserve">.</w:t>
      </w:r>
    </w:p>
    <w:bookmarkEnd w:id="28"/>
    <w:bookmarkStart w:id="29" w:name="foros-y-sentimiento"/>
    <w:p>
      <w:pPr>
        <w:pStyle w:val="Heading2"/>
      </w:pPr>
      <w:r>
        <w:t xml:space="preserve">10. Foros y sentimiento</w:t>
      </w:r>
    </w:p>
    <w:p>
      <w:pPr>
        <w:numPr>
          <w:ilvl w:val="0"/>
          <w:numId w:val="1009"/>
        </w:numPr>
        <w:pStyle w:val="Compact"/>
      </w:pPr>
      <w:r>
        <w:rPr>
          <w:bCs/>
          <w:b/>
        </w:rPr>
        <w:t xml:space="preserve">Prensa y foros alemanes</w:t>
      </w:r>
      <w:r>
        <w:t xml:space="preserve"> </w:t>
      </w:r>
      <w:r>
        <w:t xml:space="preserve">(Börse Express, Finanztrends, getquin, wallstreet-online): el tono es dividido. Los pedidos récord no mueven la acción: cayó con el récord del 1T y con el semestre, porque el mercado mira el 2S flojo y la valoración («una de las más caras de la defensa europea», PER ~40-50x 2026). Getquin menciona en septiembre la venta de un iniciado, sin detalle comprobable [13]. No he encontrado hilos de octubre en wallstreet-online.</w:t>
      </w:r>
    </w:p>
    <w:p>
      <w:pPr>
        <w:numPr>
          <w:ilvl w:val="0"/>
          <w:numId w:val="1009"/>
        </w:numPr>
        <w:pStyle w:val="Compact"/>
      </w:pPr>
      <w:r>
        <w:rPr>
          <w:bCs/>
          <w:b/>
        </w:rPr>
        <w:t xml:space="preserve">Analistas</w:t>
      </w:r>
      <w:r>
        <w:t xml:space="preserve">: sobre todo positivos, con un consenso de ~90,7 EUR (+15 %). Pero en octubre van en las dos direcciones: Jefferies y BofA suben; ODDO, Goldman y mwb son prudentes [7][8][9].</w:t>
      </w:r>
    </w:p>
    <w:p>
      <w:pPr>
        <w:numPr>
          <w:ilvl w:val="0"/>
          <w:numId w:val="1009"/>
        </w:numPr>
        <w:pStyle w:val="Compact"/>
      </w:pPr>
      <w:r>
        <w:rPr>
          <w:bCs/>
          <w:b/>
        </w:rPr>
        <w:t xml:space="preserve">Anglosajones</w:t>
      </w:r>
      <w:r>
        <w:t xml:space="preserve">: en Seeking Alpha, «el mercado mira 2026 y no 2030» (Comprar, ene-2026); Morningstar ve un valor razonable de 110 EUR [12]. En Reddit no he encontrado hilos recientes, y en Rankia o Investing.com ES tampoco.</w:t>
      </w:r>
    </w:p>
    <w:p>
      <w:pPr>
        <w:numPr>
          <w:ilvl w:val="0"/>
          <w:numId w:val="1009"/>
        </w:numPr>
        <w:pStyle w:val="Compact"/>
      </w:pPr>
      <w:r>
        <w:rPr>
          <w:bCs/>
          <w:b/>
        </w:rPr>
        <w:t xml:space="preserve">Patrón del sector</w:t>
      </w:r>
      <w:r>
        <w:t xml:space="preserve">: cada noticia de paz en Ucrania o de negociaciones con Irán hunde a la defensa alemana varios días [12].</w:t>
      </w:r>
    </w:p>
    <w:p>
      <w:pPr>
        <w:numPr>
          <w:ilvl w:val="0"/>
          <w:numId w:val="1009"/>
        </w:numPr>
        <w:pStyle w:val="Compact"/>
      </w:pPr>
      <w:r>
        <w:rPr>
          <w:bCs/>
          <w:b/>
        </w:rPr>
        <w:t xml:space="preserve">Contraste con los datos</w:t>
      </w:r>
      <w:r>
        <w:t xml:space="preserve">: los pedidos van mucho mejor que las ventas y que la acción. No hay euforia (−25 % en 12 meses) ni capitulación. Es neutral: la señal 6 no se marca.</w:t>
      </w:r>
    </w:p>
    <w:bookmarkEnd w:id="29"/>
    <w:bookmarkStart w:id="30" w:name="riesgos-robustez-y-qué-rompería-la-tesis"/>
    <w:p>
      <w:pPr>
        <w:pStyle w:val="Heading2"/>
      </w:pPr>
      <w:r>
        <w:t xml:space="preserve">11. Riesgos, robustez y qué rompería la tesis</w:t>
      </w:r>
    </w:p>
    <w:p>
      <w:pPr>
        <w:pStyle w:val="FirstParagraph"/>
      </w:pPr>
      <w:r>
        <w:rPr>
          <w:bCs/>
          <w:b/>
        </w:rPr>
        <w:t xml:space="preserve">Alertas del motor (</w:t>
      </w:r>
      <w:r>
        <w:rPr>
          <w:rStyle w:val="VerbatimChar"/>
          <w:bCs/>
          <w:b/>
        </w:rPr>
        <w:t xml:space="preserve">calc.alertas</w:t>
      </w:r>
      <w:r>
        <w:rPr>
          <w:bCs/>
          <w:b/>
        </w:rPr>
        <w:t xml:space="preserve">)</w:t>
      </w:r>
      <w:r>
        <w:t xml:space="preserve">: ninguna con v11. La candidata v12 añade dos, que se explican aquí: «proyección mecánica &lt; 0,85 × la del analista» y «&lt; 0,85 × el consenso» (2.708 M frente a 3.550 M y 3.547 M).</w:t>
      </w:r>
    </w:p>
    <w:p>
      <w:pPr>
        <w:pStyle w:val="BodyText"/>
      </w:pPr>
      <w:r>
        <w:rPr>
          <w:bCs/>
          <w:b/>
        </w:rPr>
        <w:t xml:space="preserve">Por qué la regla proyecta tan poco, y si eso debilita la señal:</w:t>
      </w:r>
      <w:r>
        <w:t xml:space="preserve"> </w:t>
      </w:r>
      <w:r>
        <w:t xml:space="preserve">- La regla parte del</w:t>
      </w:r>
      <w:r>
        <w:t xml:space="preserve"> </w:t>
      </w:r>
      <w:r>
        <w:rPr>
          <w:bCs/>
          <w:b/>
        </w:rPr>
        <w:t xml:space="preserve">+0,6 %</w:t>
      </w:r>
      <w:r>
        <w:t xml:space="preserve">: la guía del 2S26 (+4,8 %) menos lo que Hensoldt suele quedarse por debajo de su guía (−4,2 pp).</w:t>
      </w:r>
      <w:r>
        <w:t xml:space="preserve"> </w:t>
      </w:r>
      <w:r>
        <w:rPr>
          <w:bCs/>
          <w:b/>
        </w:rPr>
        <w:t xml:space="preserve">Es un recorte excesivo para 24 meses.</w:t>
      </w:r>
      <w:r>
        <w:t xml:space="preserve"> </w:t>
      </w:r>
      <w:r>
        <w:t xml:space="preserve">El 2S26 es flojo por razones que no se repiten: se acaba el negocio de paso del Eurofighter y no hay ventas arrastradas. Además, el −4,2 pp de 2025 vino en parte del mismo negocio de paso. Contarlo dos veces castiga dos veces. Con 10.356 M de cartera, crecer un 0,6 % sería casi imposible.</w:t>
      </w:r>
      <w:r>
        <w:t xml:space="preserve"> </w:t>
      </w:r>
      <w:r>
        <w:t xml:space="preserve">-</w:t>
      </w:r>
      <w:r>
        <w:t xml:space="preserve"> </w:t>
      </w:r>
      <w:r>
        <w:rPr>
          <w:bCs/>
          <w:b/>
        </w:rPr>
        <w:t xml:space="preserve">Pero ninguna lectura razonable da Comprar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Variante (motor v11, un cambio cada vez)</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Señal</w:t>
            </w:r>
          </w:p>
        </w:tc>
      </w:tr>
      <w:tr>
        <w:tc>
          <w:tcPr/>
          <w:p>
            <w:pPr>
              <w:pStyle w:val="Compact"/>
              <w:jc w:val="left"/>
            </w:pPr>
            <w:r>
              <w:t xml:space="preserve">Vigente (guía del 2S26 + exceso −4,2)</w:t>
            </w:r>
          </w:p>
        </w:tc>
        <w:tc>
          <w:tcPr/>
          <w:p>
            <w:pPr>
              <w:pStyle w:val="Compact"/>
              <w:jc w:val="left"/>
            </w:pPr>
            <w:r>
              <w:t xml:space="preserve">−13,3 %</w:t>
            </w:r>
          </w:p>
        </w:tc>
        <w:tc>
          <w:tcPr/>
          <w:p>
            <w:pPr>
              <w:pStyle w:val="Compact"/>
              <w:jc w:val="left"/>
            </w:pPr>
            <w:r>
              <w:t xml:space="preserve">−10,8 %</w:t>
            </w:r>
          </w:p>
        </w:tc>
        <w:tc>
          <w:tcPr/>
          <w:p>
            <w:pPr>
              <w:pStyle w:val="Compact"/>
              <w:jc w:val="left"/>
            </w:pPr>
            <w:r>
              <w:t xml:space="preserve">Vender</w:t>
            </w:r>
          </w:p>
        </w:tc>
      </w:tr>
      <w:tr>
        <w:tc>
          <w:tcPr/>
          <w:p>
            <w:pPr>
              <w:pStyle w:val="Compact"/>
              <w:jc w:val="left"/>
            </w:pPr>
            <w:r>
              <w:t xml:space="preserve">Guía del 2S26 sin exceso (+4,8 %)</w:t>
            </w:r>
          </w:p>
        </w:tc>
        <w:tc>
          <w:tcPr/>
          <w:p>
            <w:pPr>
              <w:pStyle w:val="Compact"/>
              <w:jc w:val="left"/>
            </w:pPr>
            <w:r>
              <w:t xml:space="preserve">−5,7 %</w:t>
            </w:r>
          </w:p>
        </w:tc>
        <w:tc>
          <w:tcPr/>
          <w:p>
            <w:pPr>
              <w:pStyle w:val="Compact"/>
              <w:jc w:val="left"/>
            </w:pPr>
            <w:r>
              <w:t xml:space="preserve">−2,9 %</w:t>
            </w:r>
          </w:p>
        </w:tc>
        <w:tc>
          <w:tcPr/>
          <w:p>
            <w:pPr>
              <w:pStyle w:val="Compact"/>
              <w:jc w:val="left"/>
            </w:pPr>
            <w:r>
              <w:t xml:space="preserve">Mantener</w:t>
            </w:r>
          </w:p>
        </w:tc>
      </w:tr>
      <w:tr>
        <w:tc>
          <w:tcPr/>
          <w:p>
            <w:pPr>
              <w:pStyle w:val="Compact"/>
              <w:jc w:val="left"/>
            </w:pPr>
            <w:r>
              <w:t xml:space="preserve">Guía de 12 meses completa (2S26 guiado + 1S27 al 17,5 % = +10,3 %), con exceso</w:t>
            </w:r>
          </w:p>
        </w:tc>
        <w:tc>
          <w:tcPr/>
          <w:p>
            <w:pPr>
              <w:pStyle w:val="Compact"/>
              <w:jc w:val="left"/>
            </w:pPr>
            <w:r>
              <w:t xml:space="preserve">−3,3 %</w:t>
            </w:r>
          </w:p>
        </w:tc>
        <w:tc>
          <w:tcPr/>
          <w:p>
            <w:pPr>
              <w:pStyle w:val="Compact"/>
              <w:jc w:val="left"/>
            </w:pPr>
            <w:r>
              <w:t xml:space="preserve">−0,4 %</w:t>
            </w:r>
          </w:p>
        </w:tc>
        <w:tc>
          <w:tcPr/>
          <w:p>
            <w:pPr>
              <w:pStyle w:val="Compact"/>
              <w:jc w:val="left"/>
            </w:pPr>
            <w:r>
              <w:t xml:space="preserve">Mantener</w:t>
            </w:r>
          </w:p>
        </w:tc>
      </w:tr>
      <w:tr>
        <w:tc>
          <w:tcPr/>
          <w:p>
            <w:pPr>
              <w:pStyle w:val="Compact"/>
              <w:jc w:val="left"/>
            </w:pPr>
            <w:r>
              <w:t xml:space="preserve">Guía de 12 meses completa, sin exceso</w:t>
            </w:r>
          </w:p>
        </w:tc>
        <w:tc>
          <w:tcPr/>
          <w:p>
            <w:pPr>
              <w:pStyle w:val="Compact"/>
              <w:jc w:val="left"/>
            </w:pPr>
            <w:r>
              <w:t xml:space="preserve">+4,8 %</w:t>
            </w:r>
          </w:p>
        </w:tc>
        <w:tc>
          <w:tcPr/>
          <w:p>
            <w:pPr>
              <w:pStyle w:val="Compact"/>
              <w:jc w:val="left"/>
            </w:pPr>
            <w:r>
              <w:t xml:space="preserve">+7,9 %</w:t>
            </w:r>
          </w:p>
        </w:tc>
        <w:tc>
          <w:tcPr/>
          <w:p>
            <w:pPr>
              <w:pStyle w:val="Compact"/>
              <w:jc w:val="left"/>
            </w:pPr>
            <w:r>
              <w:t xml:space="preserve">Mantener</w:t>
            </w:r>
          </w:p>
        </w:tc>
      </w:tr>
      <w:tr>
        <w:tc>
          <w:tcPr/>
          <w:p>
            <w:pPr>
              <w:pStyle w:val="Compact"/>
              <w:jc w:val="left"/>
            </w:pPr>
            <w:r>
              <w:t xml:space="preserve">Objetivo a medio plazo como guía (17,5 %), con exceso</w:t>
            </w:r>
          </w:p>
        </w:tc>
        <w:tc>
          <w:tcPr/>
          <w:p>
            <w:pPr>
              <w:pStyle w:val="Compact"/>
              <w:jc w:val="left"/>
            </w:pPr>
            <w:r>
              <w:t xml:space="preserve">+10,7 %</w:t>
            </w:r>
          </w:p>
        </w:tc>
        <w:tc>
          <w:tcPr/>
          <w:p>
            <w:pPr>
              <w:pStyle w:val="Compact"/>
              <w:jc w:val="left"/>
            </w:pPr>
            <w:r>
              <w:t xml:space="preserve">+14,0 %</w:t>
            </w:r>
          </w:p>
        </w:tc>
        <w:tc>
          <w:tcPr/>
          <w:p>
            <w:pPr>
              <w:pStyle w:val="Compact"/>
              <w:jc w:val="left"/>
            </w:pPr>
            <w:r>
              <w:t xml:space="preserve">Mantener (puntuación 57)</w:t>
            </w:r>
          </w:p>
        </w:tc>
      </w:tr>
      <w:tr>
        <w:tc>
          <w:tcPr/>
          <w:p>
            <w:pPr>
              <w:pStyle w:val="Compact"/>
              <w:jc w:val="left"/>
            </w:pPr>
            <w:r>
              <w:t xml:space="preserve">Sin guía (como v7)</w:t>
            </w:r>
          </w:p>
        </w:tc>
        <w:tc>
          <w:tcPr/>
          <w:p>
            <w:pPr>
              <w:pStyle w:val="Compact"/>
              <w:jc w:val="left"/>
            </w:pPr>
            <w:r>
              <w:t xml:space="preserve">+17,1 %</w:t>
            </w:r>
          </w:p>
        </w:tc>
        <w:tc>
          <w:tcPr/>
          <w:p>
            <w:pPr>
              <w:pStyle w:val="Compact"/>
              <w:jc w:val="left"/>
            </w:pPr>
            <w:r>
              <w:t xml:space="preserve">+20,4 %</w:t>
            </w:r>
          </w:p>
        </w:tc>
        <w:tc>
          <w:tcPr/>
          <w:p>
            <w:pPr>
              <w:pStyle w:val="Compact"/>
              <w:jc w:val="left"/>
            </w:pPr>
            <w:r>
              <w:t xml:space="preserve">Mantener (puntuación 57)</w:t>
            </w:r>
          </w:p>
        </w:tc>
      </w:tr>
      <w:tr>
        <w:tc>
          <w:tcPr/>
          <w:p>
            <w:pPr>
              <w:pStyle w:val="Compact"/>
              <w:jc w:val="left"/>
            </w:pPr>
            <w:r>
              <w:t xml:space="preserve">Ventas del analista (= consenso)</w:t>
            </w:r>
          </w:p>
        </w:tc>
        <w:tc>
          <w:tcPr/>
          <w:p>
            <w:pPr>
              <w:pStyle w:val="Compact"/>
              <w:jc w:val="left"/>
            </w:pPr>
            <w:r>
              <w:t xml:space="preserve">+13,9 %</w:t>
            </w:r>
          </w:p>
        </w:tc>
        <w:tc>
          <w:tcPr/>
          <w:p>
            <w:pPr>
              <w:pStyle w:val="Compact"/>
              <w:jc w:val="left"/>
            </w:pPr>
            <w:r>
              <w:t xml:space="preserve">+16,8 %</w:t>
            </w:r>
          </w:p>
        </w:tc>
        <w:tc>
          <w:tcPr/>
          <w:p>
            <w:pPr>
              <w:pStyle w:val="Compact"/>
              <w:jc w:val="left"/>
            </w:pPr>
            <w:r>
              <w:t xml:space="preserve">Mantener (puntuación 57)</w:t>
            </w:r>
          </w:p>
        </w:tc>
      </w:tr>
      <w:tr>
        <w:tc>
          <w:tcPr/>
          <w:p>
            <w:pPr>
              <w:pStyle w:val="Compact"/>
              <w:jc w:val="left"/>
            </w:pPr>
            <w:r>
              <w:t xml:space="preserve">Probabilidades 35/50/15</w:t>
            </w:r>
          </w:p>
        </w:tc>
        <w:tc>
          <w:tcPr/>
          <w:p>
            <w:pPr>
              <w:pStyle w:val="Compact"/>
              <w:jc w:val="left"/>
            </w:pPr>
            <w:r>
              <w:t xml:space="preserve">−20,4 %</w:t>
            </w:r>
          </w:p>
        </w:tc>
        <w:tc>
          <w:tcPr/>
          <w:p>
            <w:pPr>
              <w:pStyle w:val="Compact"/>
              <w:jc w:val="left"/>
            </w:pPr>
            <w:r>
              <w:t xml:space="preserve">−10,8 %</w:t>
            </w:r>
          </w:p>
        </w:tc>
        <w:tc>
          <w:tcPr/>
          <w:p>
            <w:pPr>
              <w:pStyle w:val="Compact"/>
              <w:jc w:val="left"/>
            </w:pPr>
            <w:r>
              <w:t xml:space="preserve">Vender</w:t>
            </w:r>
          </w:p>
        </w:tc>
      </w:tr>
    </w:tbl>
    <w:p>
      <w:pPr>
        <w:numPr>
          <w:ilvl w:val="0"/>
          <w:numId w:val="1010"/>
        </w:numPr>
        <w:pStyle w:val="Compact"/>
      </w:pPr>
      <w:r>
        <w:rPr>
          <w:bCs/>
          <w:b/>
        </w:rPr>
        <w:t xml:space="preserve">Prueba</w:t>
      </w:r>
      <w:r>
        <w:rPr>
          <w:bCs/>
          <w:b/>
        </w:rPr>
        <w:t xml:space="preserve"> </w:t>
      </w:r>
      <w:r>
        <w:rPr>
          <w:rStyle w:val="VerbatimChar"/>
          <w:bCs/>
          <w:b/>
        </w:rPr>
        <w:t xml:space="preserve">robustez-growth</w:t>
      </w:r>
      <w:r>
        <w:rPr>
          <w:bCs/>
          <w:b/>
        </w:rPr>
        <w:t xml:space="preserve"> </w:t>
      </w:r>
      <w:r>
        <w:rPr>
          <w:bCs/>
          <w:b/>
        </w:rPr>
        <w:t xml:space="preserve">(con el precio de hoy)</w:t>
      </w:r>
      <w:r>
        <w:t xml:space="preserve">:</w:t>
      </w:r>
      <w:r>
        <w:t xml:space="preserve"> </w:t>
      </w:r>
      <w:r>
        <w:rPr>
          <w:bCs/>
          <w:b/>
        </w:rPr>
        <w:t xml:space="preserve">FRÁGIL</w:t>
      </w:r>
      <w:r>
        <w:t xml:space="preserve">. La señal robusta es Vender; cambia a Mantener con v7 o con las ventas del analista. Avisos del programa:</w:t>
      </w:r>
    </w:p>
    <w:p>
      <w:pPr>
        <w:numPr>
          <w:ilvl w:val="1"/>
          <w:numId w:val="1011"/>
        </w:numPr>
        <w:pStyle w:val="Compact"/>
      </w:pPr>
      <w:r>
        <w:t xml:space="preserve">G2: el objetivo se mueve con el precio. Al revisar el precio se deja fijo el objetivo de 68,1 EUR, y el límite es el «compra hasta» de 65,3 EUR.</w:t>
      </w:r>
    </w:p>
    <w:p>
      <w:pPr>
        <w:numPr>
          <w:ilvl w:val="1"/>
          <w:numId w:val="1011"/>
        </w:numPr>
        <w:pStyle w:val="Compact"/>
      </w:pPr>
      <w:r>
        <w:t xml:space="preserve">G3: la proyección mecánica queda un 24 % bajo la del informe, así que la señal es prudente.</w:t>
      </w:r>
    </w:p>
    <w:p>
      <w:pPr>
        <w:numPr>
          <w:ilvl w:val="1"/>
          <w:numId w:val="1011"/>
        </w:numPr>
        <w:pStyle w:val="Compact"/>
      </w:pPr>
      <w:r>
        <w:t xml:space="preserve">G6: bajista del −51 %.</w:t>
      </w:r>
    </w:p>
    <w:p>
      <w:pPr>
        <w:numPr>
          <w:ilvl w:val="0"/>
          <w:numId w:val="1010"/>
        </w:numPr>
        <w:pStyle w:val="Compact"/>
      </w:pPr>
      <w:r>
        <w:rPr>
          <w:bCs/>
          <w:b/>
        </w:rPr>
        <w:t xml:space="preserve">Qué se comunica</w:t>
      </w:r>
      <w:r>
        <w:t xml:space="preserve">:</w:t>
      </w:r>
      <w:r>
        <w:t xml:space="preserve"> </w:t>
      </w:r>
      <w:r>
        <w:rPr>
          <w:bCs/>
          <w:b/>
        </w:rPr>
        <w:t xml:space="preserve">no comprar.</w:t>
      </w:r>
      <w:r>
        <w:t xml:space="preserve"> </w:t>
      </w:r>
      <w:r>
        <w:t xml:space="preserve">Vender o Mantener depende de cómo se lea la guía, y lo honesto es decir «Mantener como mucho». La puntuación (57) impide comprar en todas las variantes, y las objeciones más fuertes no cambian eso:</w:t>
      </w:r>
    </w:p>
    <w:p>
      <w:pPr>
        <w:numPr>
          <w:ilvl w:val="1"/>
          <w:numId w:val="1012"/>
        </w:numPr>
        <w:pStyle w:val="Compact"/>
      </w:pPr>
      <w:r>
        <w:t xml:space="preserve">«Los analistas esperan +17 % en 2027»: aun con sus ventas, sale Mantener.</w:t>
      </w:r>
    </w:p>
    <w:p>
      <w:pPr>
        <w:numPr>
          <w:ilvl w:val="1"/>
          <w:numId w:val="1012"/>
        </w:numPr>
        <w:pStyle w:val="Compact"/>
      </w:pPr>
      <w:r>
        <w:t xml:space="preserve">«El múltiplo está en su media»: 18,5x frente a una mediana de ~15,8x, así que está por encima.</w:t>
      </w:r>
    </w:p>
    <w:p>
      <w:pPr>
        <w:numPr>
          <w:ilvl w:val="1"/>
          <w:numId w:val="1012"/>
        </w:numPr>
        <w:pStyle w:val="Compact"/>
      </w:pPr>
      <w:r>
        <w:t xml:space="preserve">«El consejero delegado compra»: cuenta ya como señal 7.</w:t>
      </w:r>
    </w:p>
    <w:p>
      <w:pPr>
        <w:numPr>
          <w:ilvl w:val="0"/>
          <w:numId w:val="1010"/>
        </w:numPr>
        <w:pStyle w:val="Compact"/>
      </w:pPr>
      <w:r>
        <w:t xml:space="preserve">Para pasar a Comprar harían falta dos cosas a la vez: (a) una puntuación ≥ 60, por ejemplo con dos señales más (precio sobre la media de 200 sesiones y fuerza relativa, o revisiones al alza tras el 5-nov); y (b) una guía de 2027 que confirme ≥ 15 %, para que la proyección deje de partir del 2S26.</w:t>
      </w:r>
    </w:p>
    <w:p>
      <w:pPr>
        <w:pStyle w:val="FirstParagraph"/>
      </w:pPr>
      <w:r>
        <w:rPr>
          <w:bCs/>
          <w:b/>
        </w:rPr>
        <w:t xml:space="preserve">Riesgos del negocio:</w:t>
      </w:r>
      <w:r>
        <w:t xml:space="preserve"> </w:t>
      </w:r>
      <w:r>
        <w:t xml:space="preserve">-</w:t>
      </w:r>
      <w:r>
        <w:t xml:space="preserve"> </w:t>
      </w:r>
      <w:r>
        <w:rPr>
          <w:bCs/>
          <w:b/>
        </w:rPr>
        <w:t xml:space="preserve">Paz en Ucrania o relajación del gasto</w:t>
      </w:r>
      <w:r>
        <w:t xml:space="preserve">: el sector cae con cada titular. Para Hensoldt el efecto es directo, porque los radares para Ucrania forman parte del crecimiento.</w:t>
      </w:r>
      <w:r>
        <w:t xml:space="preserve"> </w:t>
      </w:r>
      <w:r>
        <w:t xml:space="preserve">-</w:t>
      </w:r>
      <w:r>
        <w:t xml:space="preserve"> </w:t>
      </w:r>
      <w:r>
        <w:rPr>
          <w:bCs/>
          <w:b/>
        </w:rPr>
        <w:t xml:space="preserve">Ejecución y capacidad</w:t>
      </w:r>
      <w:r>
        <w:t xml:space="preserve">: rampa de contratación, nueva fábrica en 2027 y cadena de suministro electrónica. Mientras tanto, el margen de Sensors baja.</w:t>
      </w:r>
      <w:r>
        <w:t xml:space="preserve"> </w:t>
      </w:r>
      <w:r>
        <w:t xml:space="preserve">-</w:t>
      </w:r>
      <w:r>
        <w:t xml:space="preserve"> </w:t>
      </w:r>
      <w:r>
        <w:rPr>
          <w:bCs/>
          <w:b/>
        </w:rPr>
        <w:t xml:space="preserve">Dependencia de Alemania</w:t>
      </w:r>
      <w:r>
        <w:t xml:space="preserve">: el cliente final dominante es la Bundeswehr. Los presupuestos, los concursos y su calendario (el «sprint de diciembre» de PEGASUS) marcan el año. La cancelación de la F126 muestra que un programa puede caer.</w:t>
      </w:r>
      <w:r>
        <w:t xml:space="preserve"> </w:t>
      </w:r>
      <w:r>
        <w:t xml:space="preserve">-</w:t>
      </w:r>
      <w:r>
        <w:t xml:space="preserve"> </w:t>
      </w:r>
      <w:r>
        <w:rPr>
          <w:bCs/>
          <w:b/>
        </w:rPr>
        <w:t xml:space="preserve">Valoración</w:t>
      </w:r>
      <w:r>
        <w:t xml:space="preserve">: 36x el beneficio de 2027. Si el 3T o el próximo Capital Markets Day vuelven a decepcionar, el múltiplo puede ir hacia el de Rheinmetall o Thales (~11x). El bajista usa 11,1x.</w:t>
      </w:r>
      <w:r>
        <w:t xml:space="preserve"> </w:t>
      </w:r>
      <w:r>
        <w:t xml:space="preserve">-</w:t>
      </w:r>
      <w:r>
        <w:t xml:space="preserve"> </w:t>
      </w:r>
      <w:r>
        <w:rPr>
          <w:bCs/>
          <w:b/>
        </w:rPr>
        <w:t xml:space="preserve">Deuda</w:t>
      </w:r>
      <w:r>
        <w:t xml:space="preserve">: 1.101 M en junio (~2,3x el EBITDA de 12 meses, por la estacionalidad). No es un problema de solvencia, pero resta margen frente a Saab.</w:t>
      </w:r>
      <w:r>
        <w:t xml:space="preserve"> </w:t>
      </w:r>
      <w:r>
        <w:t xml:space="preserve">-</w:t>
      </w:r>
      <w:r>
        <w:t xml:space="preserve"> </w:t>
      </w:r>
      <w:r>
        <w:rPr>
          <w:bCs/>
          <w:b/>
        </w:rPr>
        <w:t xml:space="preserve">Riesgo de IA: bajo-medio.</w:t>
      </w:r>
      <w:r>
        <w:t xml:space="preserve"> </w:t>
      </w:r>
      <w:r>
        <w:t xml:space="preserve">Los sensores son la entrada de cualquier sistema de defensa con IA: un algoritmo no sustituye a un radar, y la IA y los drones aumentan la demanda de radares, guerra electrónica y antidrones. El riesgo está en la capa de software. Si el valor se desplaza hacia la fusión de datos y el mando y control, se lo pueden llevar empresas que nacieron con el software (Helsing, Anduril, Palantir), y Hensoldt quedaría como proveedor de hardware con menos margen. Hensoldt se cubre con MDOcore, el concurso alemán de software, y sus socios Helsing, IBM y Quantum Systems. Pero todavía no ha demostrado ventas relevantes de software [4].</w:t>
      </w:r>
    </w:p>
    <w:p>
      <w:pPr>
        <w:pStyle w:val="BodyText"/>
      </w:pPr>
      <w:r>
        <w:rPr>
          <w:bCs/>
          <w:b/>
        </w:rPr>
        <w:t xml:space="preserve">Señales de venta concretas</w:t>
      </w:r>
      <w:r>
        <w:t xml:space="preserve"> </w:t>
      </w:r>
      <w:r>
        <w:t xml:space="preserve">(si se tuviera):</w:t>
      </w:r>
      <w:r>
        <w:t xml:space="preserve"> </w:t>
      </w:r>
      <w:r>
        <w:t xml:space="preserve">- Un book-to-bill anual inferior a 1.</w:t>
      </w:r>
      <w:r>
        <w:t xml:space="preserve"> </w:t>
      </w:r>
      <w:r>
        <w:t xml:space="preserve">- Una guía de 2027 inferior al 10 %.</w:t>
      </w:r>
      <w:r>
        <w:t xml:space="preserve"> </w:t>
      </w:r>
      <w:r>
        <w:t xml:space="preserve">- Pérdida del segundo lote de PEGASUS o de los grandes pedidos de radares.</w:t>
      </w:r>
      <w:r>
        <w:t xml:space="preserve"> </w:t>
      </w:r>
      <w:r>
        <w:t xml:space="preserve">- Margen EBITDA de 2026 por debajo del 18 %.</w:t>
      </w:r>
      <w:r>
        <w:t xml:space="preserve"> </w:t>
      </w:r>
      <w:r>
        <w:t xml:space="preserve">- Dos trimestres seguidos con el núcleo creciendo menos del 10 %.</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Fecha</w:t>
            </w:r>
          </w:p>
        </w:tc>
        <w:tc>
          <w:tcPr/>
          <w:p>
            <w:pPr>
              <w:pStyle w:val="Compact"/>
              <w:jc w:val="left"/>
            </w:pPr>
            <w:r>
              <w:t xml:space="preserve">Evento</w:t>
            </w:r>
          </w:p>
        </w:tc>
      </w:tr>
      <w:tr>
        <w:tc>
          <w:tcPr/>
          <w:p>
            <w:pPr>
              <w:pStyle w:val="Compact"/>
              <w:jc w:val="left"/>
            </w:pPr>
            <w:r>
              <w:t xml:space="preserve">5-nov-2026</w:t>
            </w:r>
          </w:p>
        </w:tc>
        <w:tc>
          <w:tcPr/>
          <w:p>
            <w:pPr>
              <w:pStyle w:val="Compact"/>
              <w:jc w:val="left"/>
            </w:pPr>
            <w:r>
              <w:t xml:space="preserve">Resultados de 9 meses: ventas del 3T, pedidos y confirmación de la guía [8]</w:t>
            </w:r>
          </w:p>
        </w:tc>
      </w:tr>
      <w:tr>
        <w:tc>
          <w:tcPr/>
          <w:p>
            <w:pPr>
              <w:pStyle w:val="Compact"/>
              <w:jc w:val="left"/>
            </w:pPr>
            <w:r>
              <w:t xml:space="preserve">Nov-2026</w:t>
            </w:r>
          </w:p>
        </w:tc>
        <w:tc>
          <w:tcPr/>
          <w:p>
            <w:pPr>
              <w:pStyle w:val="Compact"/>
              <w:jc w:val="left"/>
            </w:pPr>
            <w:r>
              <w:t xml:space="preserve">Posible Capital Markets Day o actualización de objetivos; Jefferies espera grandes pedidos antes [8]</w:t>
            </w:r>
          </w:p>
        </w:tc>
      </w:tr>
      <w:tr>
        <w:tc>
          <w:tcPr/>
          <w:p>
            <w:pPr>
              <w:pStyle w:val="Compact"/>
              <w:jc w:val="left"/>
            </w:pPr>
            <w:r>
              <w:t xml:space="preserve">Dic-2026</w:t>
            </w:r>
          </w:p>
        </w:tc>
        <w:tc>
          <w:tcPr/>
          <w:p>
            <w:pPr>
              <w:pStyle w:val="Compact"/>
              <w:jc w:val="left"/>
            </w:pPr>
            <w:r>
              <w:t xml:space="preserve">Segundo lote alemán de PEGASUS (~900 M) y otros pedidos del presupuesto alemán; nuevo lote de radares para Ucrania [4]</w:t>
            </w:r>
          </w:p>
        </w:tc>
      </w:tr>
      <w:tr>
        <w:tc>
          <w:tcPr/>
          <w:p>
            <w:pPr>
              <w:pStyle w:val="Compact"/>
              <w:jc w:val="left"/>
            </w:pPr>
            <w:r>
              <w:t xml:space="preserve">Feb/mar-2027</w:t>
            </w:r>
          </w:p>
        </w:tc>
        <w:tc>
          <w:tcPr/>
          <w:p>
            <w:pPr>
              <w:pStyle w:val="Compact"/>
              <w:jc w:val="left"/>
            </w:pPr>
            <w:r>
              <w:t xml:space="preserve">Resultados de 2026 y</w:t>
            </w:r>
            <w:r>
              <w:t xml:space="preserve"> </w:t>
            </w:r>
            <w:r>
              <w:rPr>
                <w:bCs/>
                <w:b/>
              </w:rPr>
              <w:t xml:space="preserve">primera guía de 2027</w:t>
            </w:r>
            <w:r>
              <w:t xml:space="preserve">: la cifra que más mueve este análisis</w:t>
            </w:r>
          </w:p>
        </w:tc>
      </w:tr>
      <w:tr>
        <w:tc>
          <w:tcPr/>
          <w:p>
            <w:pPr>
              <w:pStyle w:val="Compact"/>
              <w:jc w:val="left"/>
            </w:pPr>
            <w:r>
              <w:t xml:space="preserve">Principios de 2027</w:t>
            </w:r>
          </w:p>
        </w:tc>
        <w:tc>
          <w:tcPr/>
          <w:p>
            <w:pPr>
              <w:pStyle w:val="Compact"/>
              <w:jc w:val="left"/>
            </w:pPr>
            <w:r>
              <w:t xml:space="preserve">Arranque de la nueva fábrica de radares [4]</w:t>
            </w:r>
          </w:p>
        </w:tc>
      </w:tr>
    </w:tbl>
    <w:bookmarkEnd w:id="31"/>
    <w:bookmarkStart w:id="32" w:name="encaje-en-cartera"/>
    <w:p>
      <w:pPr>
        <w:pStyle w:val="Heading2"/>
      </w:pPr>
      <w:r>
        <w:t xml:space="preserve">13. Encaje en cartera</w:t>
      </w:r>
    </w:p>
    <w:p>
      <w:pPr>
        <w:numPr>
          <w:ilvl w:val="0"/>
          <w:numId w:val="1013"/>
        </w:numPr>
        <w:pStyle w:val="Compact"/>
      </w:pPr>
      <w:r>
        <w:rPr>
          <w:bCs/>
          <w:b/>
        </w:rPr>
        <w:t xml:space="preserve">Bolsillo growth lleno (~20 %)</w:t>
      </w:r>
      <w:r>
        <w:t xml:space="preserve">: Nu (+19 %), Axon (+36 %), Shopify (+18 %), Snowflake (+13 %) y Samsara (+15 %), a precio actual con v11. La liquidez es de ≈27 EUR, así que solo cabe sustituir. Alphabet se vende mañana y no cuenta como exposición a IA de la cartera.</w:t>
      </w:r>
    </w:p>
    <w:p>
      <w:pPr>
        <w:numPr>
          <w:ilvl w:val="0"/>
          <w:numId w:val="1013"/>
        </w:numPr>
        <w:pStyle w:val="Compact"/>
      </w:pPr>
      <w:r>
        <w:rPr>
          <w:bCs/>
          <w:b/>
        </w:rPr>
        <w:t xml:space="preserve">Hensoldt al precio actual: −15,0 % de ponderada</w:t>
      </w:r>
      <w:r>
        <w:t xml:space="preserve"> </w:t>
      </w:r>
      <w:r>
        <w:t xml:space="preserve">(objetivo fijo de 68,1 EUR frente a 80,78 EUR).</w:t>
      </w:r>
      <w:r>
        <w:t xml:space="preserve"> </w:t>
      </w:r>
      <w:r>
        <w:rPr>
          <w:bCs/>
          <w:b/>
        </w:rPr>
        <w:t xml:space="preserve">No sustituye a ninguna</w:t>
      </w:r>
      <w:r>
        <w:t xml:space="preserve"> </w:t>
      </w:r>
      <w:r>
        <w:t xml:space="preserve">y</w:t>
      </w:r>
      <w:r>
        <w:t xml:space="preserve"> </w:t>
      </w:r>
      <w:r>
        <w:rPr>
          <w:bCs/>
          <w:b/>
        </w:rPr>
        <w:t xml:space="preserve">no entra en la lista de suplentes</w:t>
      </w:r>
      <w:r>
        <w:t xml:space="preserve">: solo entran las que dan Comprar, y la lista sigue MongoDB, Toast, Zscaler, dLocal, Dexcom, argenx, Datadog, Saab, Natera e Ypsomed. Pasa a la lista de no comprar.</w:t>
      </w:r>
    </w:p>
    <w:p>
      <w:pPr>
        <w:numPr>
          <w:ilvl w:val="0"/>
          <w:numId w:val="1013"/>
        </w:numPr>
        <w:pStyle w:val="Compact"/>
      </w:pPr>
      <w:r>
        <w:rPr>
          <w:bCs/>
          <w:b/>
        </w:rPr>
        <w:t xml:space="preserve">Si se quiere una empresa de defensa en el bolsillo</w:t>
      </w:r>
      <w:r>
        <w:t xml:space="preserve">, la candidata es</w:t>
      </w:r>
      <w:r>
        <w:t xml:space="preserve"> </w:t>
      </w:r>
      <w:r>
        <w:rPr>
          <w:bCs/>
          <w:b/>
        </w:rPr>
        <w:t xml:space="preserve">Saab</w:t>
      </w:r>
      <w:r>
        <w:t xml:space="preserve"> </w:t>
      </w:r>
      <w:r>
        <w:t xml:space="preserve">(8.ª suplente, Comprar baja): crece casi el doble, cotiza a un múltiplo parecido y tiene liquidez neta. Hensoldt no es mejor alternativa.</w:t>
      </w:r>
    </w:p>
    <w:p>
      <w:pPr>
        <w:numPr>
          <w:ilvl w:val="0"/>
          <w:numId w:val="1013"/>
        </w:numPr>
        <w:pStyle w:val="Compact"/>
      </w:pPr>
      <w:r>
        <w:rPr>
          <w:bCs/>
          <w:b/>
        </w:rPr>
        <w:t xml:space="preserve">Cuándo se revisaría</w:t>
      </w:r>
      <w:r>
        <w:t xml:space="preserve">:</w:t>
      </w:r>
    </w:p>
    <w:p>
      <w:pPr>
        <w:numPr>
          <w:ilvl w:val="1"/>
          <w:numId w:val="1014"/>
        </w:numPr>
        <w:pStyle w:val="Compact"/>
      </w:pPr>
      <w:r>
        <w:t xml:space="preserve">Con la guía de 2027 (feb/mar-2027), si confirma ≥ 15 % y el precio supera la media de 200 sesiones con fuerza relativa. Con dos señales más, la puntuación iría a ~62.</w:t>
      </w:r>
    </w:p>
    <w:p>
      <w:pPr>
        <w:numPr>
          <w:ilvl w:val="1"/>
          <w:numId w:val="1014"/>
        </w:numPr>
        <w:pStyle w:val="Compact"/>
      </w:pPr>
      <w:r>
        <w:t xml:space="preserve">O por precio, por debajo de ~65 EUR, que es el «compra hasta» de la regla actual.</w:t>
      </w:r>
    </w:p>
    <w:p>
      <w:pPr>
        <w:numPr>
          <w:ilvl w:val="0"/>
          <w:numId w:val="1013"/>
        </w:numPr>
        <w:pStyle w:val="Compact"/>
      </w:pPr>
      <w:r>
        <w:t xml:space="preserve">No hay ninguna empresa de defensa en la cartera value. Los informes value de Kongsberg e Indra usan a Hensoldt como comparable.</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13,3</w:t>
            </w:r>
          </w:p>
        </w:tc>
        <w:tc>
          <w:tcPr/>
          <w:p>
            <w:pPr>
              <w:pStyle w:val="Compact"/>
              <w:jc w:val="left"/>
            </w:pPr>
            <w:r>
              <w:t xml:space="preserve">25</w:t>
            </w:r>
          </w:p>
        </w:tc>
        <w:tc>
          <w:tcPr/>
          <w:p>
            <w:pPr>
              <w:pStyle w:val="Compact"/>
              <w:jc w:val="left"/>
            </w:pPr>
            <w:r>
              <w:t xml:space="preserve">Ventas 12 m +14,7 % (1), CAGR propio a 2 años 15,1 % (2), aceleración +9,7 pp (5)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8,9 % (3), tecnología 4, posición 4</w:t>
            </w:r>
          </w:p>
        </w:tc>
      </w:tr>
      <w:tr>
        <w:tc>
          <w:tcPr/>
          <w:p>
            <w:pPr>
              <w:pStyle w:val="Compact"/>
              <w:jc w:val="left"/>
            </w:pPr>
            <w:r>
              <w:t xml:space="preserve">C. Cambio de tendencia</w:t>
            </w:r>
          </w:p>
        </w:tc>
        <w:tc>
          <w:tcPr/>
          <w:p>
            <w:pPr>
              <w:pStyle w:val="Compact"/>
              <w:jc w:val="left"/>
            </w:pPr>
            <w:r>
              <w:t xml:space="preserve">5</w:t>
            </w:r>
          </w:p>
        </w:tc>
        <w:tc>
          <w:tcPr/>
          <w:p>
            <w:pPr>
              <w:pStyle w:val="Compact"/>
              <w:jc w:val="left"/>
            </w:pPr>
            <w:r>
              <w:t xml:space="preserve">20</w:t>
            </w:r>
          </w:p>
        </w:tc>
        <w:tc>
          <w:tcPr/>
          <w:p>
            <w:pPr>
              <w:pStyle w:val="Compact"/>
              <w:jc w:val="left"/>
            </w:pPr>
            <w:r>
              <w:t xml:space="preserve">2 señales (compras del consejero delegado, catalizador); sin euforia</w:t>
            </w:r>
          </w:p>
        </w:tc>
      </w:tr>
      <w:tr>
        <w:tc>
          <w:tcPr/>
          <w:p>
            <w:pPr>
              <w:pStyle w:val="Compact"/>
              <w:jc w:val="left"/>
            </w:pPr>
            <w:r>
              <w:t xml:space="preserve">D. Economía unitaria</w:t>
            </w:r>
          </w:p>
        </w:tc>
        <w:tc>
          <w:tcPr/>
          <w:p>
            <w:pPr>
              <w:pStyle w:val="Compact"/>
              <w:jc w:val="left"/>
            </w:pPr>
            <w:r>
              <w:t xml:space="preserve">7</w:t>
            </w:r>
          </w:p>
        </w:tc>
        <w:tc>
          <w:tcPr/>
          <w:p>
            <w:pPr>
              <w:pStyle w:val="Compact"/>
              <w:jc w:val="left"/>
            </w:pPr>
            <w:r>
              <w:t xml:space="preserve">15</w:t>
            </w:r>
          </w:p>
        </w:tc>
        <w:tc>
          <w:tcPr/>
          <w:p>
            <w:pPr>
              <w:pStyle w:val="Compact"/>
              <w:jc w:val="left"/>
            </w:pPr>
            <w:r>
              <w:t xml:space="preserve">Margen bruto 21 % (1), regla del 40 = 27 (1), FCF creciente (5)</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c>
          <w:tcPr/>
          <w:p>
            <w:pPr>
              <w:pStyle w:val="Compact"/>
              <w:jc w:val="left"/>
            </w:pPr>
            <w:r>
              <w:t xml:space="preserve">FCF positivo, dilución 0 %</w:t>
            </w:r>
          </w:p>
        </w:tc>
      </w:tr>
      <w:tr>
        <w:tc>
          <w:tcPr/>
          <w:p>
            <w:pPr>
              <w:pStyle w:val="Compact"/>
              <w:jc w:val="left"/>
            </w:pPr>
            <w:r>
              <w:t xml:space="preserve">F. Ejecución y dirección</w:t>
            </w:r>
          </w:p>
        </w:tc>
        <w:tc>
          <w:tcPr/>
          <w:p>
            <w:pPr>
              <w:pStyle w:val="Compact"/>
              <w:jc w:val="left"/>
            </w:pPr>
            <w:r>
              <w:t xml:space="preserve">7</w:t>
            </w:r>
          </w:p>
        </w:tc>
        <w:tc>
          <w:tcPr/>
          <w:p>
            <w:pPr>
              <w:pStyle w:val="Compact"/>
              <w:jc w:val="left"/>
            </w:pPr>
            <w:r>
              <w:t xml:space="preserve">10</w:t>
            </w:r>
          </w:p>
        </w:tc>
        <w:tc>
          <w:tcPr/>
          <w:p>
            <w:pPr>
              <w:pStyle w:val="Compact"/>
              <w:jc w:val="left"/>
            </w:pPr>
            <w:r>
              <w:t xml:space="preserve">Historial 3, dirección 4</w:t>
            </w:r>
          </w:p>
        </w:tc>
      </w:tr>
      <w:tr>
        <w:tc>
          <w:tcPr/>
          <w:p>
            <w:pPr>
              <w:pStyle w:val="Compact"/>
              <w:jc w:val="left"/>
            </w:pPr>
            <w:r>
              <w:rPr>
                <w:bCs/>
                <w:b/>
              </w:rPr>
              <w:t xml:space="preserve">Total</w:t>
            </w:r>
          </w:p>
        </w:tc>
        <w:tc>
          <w:tcPr/>
          <w:p>
            <w:pPr>
              <w:pStyle w:val="Compact"/>
              <w:jc w:val="left"/>
            </w:pPr>
            <w:r>
              <w:rPr>
                <w:bCs/>
                <w:b/>
              </w:rPr>
              <w:t xml:space="preserve">57</w:t>
            </w:r>
          </w:p>
        </w:tc>
        <w:tc>
          <w:tcPr/>
          <w:p>
            <w:pPr>
              <w:pStyle w:val="Compact"/>
              <w:jc w:val="left"/>
            </w:pPr>
            <w:r>
              <w:rPr>
                <w:bCs/>
                <w:b/>
              </w:rPr>
              <w:t xml:space="preserve">100</w:t>
            </w:r>
          </w:p>
        </w:tc>
        <w:tc>
          <w:tcPr/>
          <w:p>
            <w:pPr>
              <w:pStyle w:val="Compact"/>
            </w:pPr>
          </w:p>
        </w:tc>
      </w:tr>
    </w:tbl>
    <w:bookmarkEnd w:id="33"/>
    <w:bookmarkStart w:id="34" w:name="mejora-de-método-propuesta"/>
    <w:p>
      <w:pPr>
        <w:pStyle w:val="Heading2"/>
      </w:pPr>
      <w:r>
        <w:t xml:space="preserve">Mejora de método propuesta</w:t>
      </w:r>
    </w:p>
    <w:p>
      <w:pPr>
        <w:pStyle w:val="FirstParagraph"/>
      </w:pPr>
      <w:r>
        <w:t xml:space="preserve">La regla de la plantilla («pasada la mitad del año, la guía de 12 meses es el crecimiento implícito en lo que queda del año») falla cuando el segundo semestre es flojo por un efecto que se acaba, como aquí el negocio de paso. Además, restar el exceso negativo del año anterior castiga dos veces la misma causa.</w:t>
      </w:r>
      <w:r>
        <w:t xml:space="preserve"> </w:t>
      </w:r>
      <w:r>
        <w:rPr>
          <w:bCs/>
          <w:b/>
        </w:rPr>
        <w:t xml:space="preserve">Propuesta para probar en el backtest</w:t>
      </w:r>
      <w:r>
        <w:t xml:space="preserve">: la guía de 12 meses sería la media, ponderada por meses, del resto del año guiado y del objetivo a medio plazo de la empresa para los meses del año siguiente. Aquí daría +10,3 %. Y un exceso negativo solo se aplicaría si no se explica por una partida que la empresa ya ha separado (negocio de paso, compras). En Hensoldt cambiaría Vender por Mantener, sin llegar a Comprar.</w:t>
      </w:r>
    </w:p>
    <w:bookmarkEnd w:id="34"/>
    <w:bookmarkStart w:id="35" w:name="fuentes"/>
    <w:p>
      <w:pPr>
        <w:pStyle w:val="Heading2"/>
      </w:pPr>
      <w:r>
        <w:t xml:space="preserve">Fuentes</w:t>
      </w:r>
    </w:p>
    <w:p>
      <w:pPr>
        <w:pStyle w:val="FirstParagraph"/>
      </w:pPr>
      <w:r>
        <w:t xml:space="preserve">[1] Hensoldt, «Financial year 2025: HENSOLDT achieves record order intake and confirms structural growth path» (26-feb-2026, hensoldt.net): cifras de 2025 y 2024, guía 2026</w:t>
      </w:r>
      <w:r>
        <w:t xml:space="preserve"> </w:t>
      </w:r>
      <w:r>
        <w:t xml:space="preserve">[2] Hensoldt, nota del 1T26 (6-may-2026): ventas, EBITDA, pedidos y cartera</w:t>
      </w:r>
      <w:r>
        <w:t xml:space="preserve"> </w:t>
      </w:r>
      <w:r>
        <w:t xml:space="preserve">[3] Hensoldt, Semi-annual financial report 2026 (30/31-jul-2026, investors.hensoldt.net) y nota de prensa: cuenta de resultados, núcleo y negocio de paso, balance (caja, deuda, arrendamientos), flujo de caja, Nedinsco, Quantum Systems</w:t>
      </w:r>
      <w:r>
        <w:t xml:space="preserve"> </w:t>
      </w:r>
      <w:r>
        <w:t xml:space="preserve">[4] Investing.com, transcripción de la conferencia del 2T26 (31-jul-2026): negocio de paso, 2S, F126, pedidos esperados, capacidad, MDOcore y socios de IA, objetivos a medio plazo</w:t>
      </w:r>
      <w:r>
        <w:t xml:space="preserve"> </w:t>
      </w:r>
      <w:r>
        <w:t xml:space="preserve">[5] Börse Express (22-nov-2025) y Baird Maritime / Reuters (7-may-2025): objetivo de 6.000 M en 2030, margen ≥ 20 %, +15-20 % anual; reacción al Capital Markets Day</w:t>
      </w:r>
      <w:r>
        <w:t xml:space="preserve"> </w:t>
      </w:r>
      <w:r>
        <w:t xml:space="preserve">[6] Hensoldt, notas del 1T25, 1S25 y 9M25 (guía 2025 y su rebaja; trimestres de 2024 y 2025)</w:t>
      </w:r>
      <w:r>
        <w:t xml:space="preserve"> </w:t>
      </w:r>
      <w:r>
        <w:t xml:space="preserve">[7] Börse Express (14-oct-2026): cierre de Xetra de 79,18 EUR el 13-oct, Jefferies, ODDO BHF</w:t>
      </w:r>
      <w:r>
        <w:t xml:space="preserve"> </w:t>
      </w:r>
      <w:r>
        <w:t xml:space="preserve">[8] Finanztrends (8-oct-2026): BofA, Goldman, Ucrania, resultados del 5-nov</w:t>
      </w:r>
      <w:r>
        <w:t xml:space="preserve"> </w:t>
      </w:r>
      <w:r>
        <w:t xml:space="preserve">[9] Agregadores de consenso (oct-2026): ~90,67 EUR, 15 analistas; mwb research Vender 62 EUR</w:t>
      </w:r>
      <w:r>
        <w:t xml:space="preserve"> </w:t>
      </w:r>
      <w:r>
        <w:t xml:space="preserve">[10] Yahoo Finance chart API: HAG.DE, ^GDAXI, RHM.DE (cierre de 79,18 EUR el 13-oct; 80,78 EUR el 14-oct a las 15:35 UTC); medias, subidas y EV/EBITDA histórico, cálculo propio</w:t>
      </w:r>
      <w:r>
        <w:t xml:space="preserve"> </w:t>
      </w:r>
      <w:r>
        <w:t xml:space="preserve">[11] MarketScreener, Hensoldt AG: estimaciones 2026-2028 de ventas, EBITDA, BPA, dividendo, deuda neta y acciones (14-oct-2026)</w:t>
      </w:r>
      <w:r>
        <w:t xml:space="preserve"> </w:t>
      </w:r>
      <w:r>
        <w:t xml:space="preserve">[12] Morningstar (2026), Seeking Alpha (ene-2026), MarketScreener / Reuters (sector)</w:t>
      </w:r>
      <w:r>
        <w:t xml:space="preserve"> </w:t>
      </w:r>
      <w:r>
        <w:t xml:space="preserve">[13] getquin (sep-2026) y Börse Express (2026): tono de foros y prensa; DZ Bank</w:t>
      </w:r>
      <w:r>
        <w:t xml:space="preserve"> </w:t>
      </w:r>
      <w:r>
        <w:t xml:space="preserve">[14] Kapitalmarktexperten (29-jul-2026): compra del consejero delegado del 22-jun-2026</w:t>
      </w:r>
      <w:r>
        <w:t xml:space="preserve"> </w:t>
      </w:r>
      <w:r>
        <w:t xml:space="preserve">[15] Hargreaves Lansdown, operaciones de directivos de Hensoldt (12 meses)</w:t>
      </w:r>
      <w:r>
        <w:t xml:space="preserve"> </w:t>
      </w:r>
      <w:r>
        <w:t xml:space="preserve">[16] Hensoldt, «HENSOLDT raises adjusted free cash flow guidance for 2026 and confirms net leverage target» (1-jun-2026)</w:t>
      </w:r>
      <w:r>
        <w:t xml:space="preserve"> </w:t>
      </w:r>
      <w:r>
        <w:t xml:space="preserve">[17] Mercado alcanzable: estimación propia (base: informe growth de Rheinmetall de este repositorio, fuente [20])</w:t>
      </w:r>
      <w:r>
        <w:t xml:space="preserve"> </w:t>
      </w:r>
      <w:r>
        <w:t xml:space="preserve">[18] Fintel: beneficio bruto de 2025 (agregador)</w:t>
      </w:r>
    </w:p>
    <w:p>
      <w:pPr>
        <w:pStyle w:val="BodyText"/>
      </w:pPr>
      <w:r>
        <w:rPr>
          <w:iCs/>
          <w:i/>
        </w:rPr>
        <w:t xml:space="preserve">Limitaciones: Hensoldt no está en la SEC; las cifras salen de sus notas y de su informe semestral (fuente primaria), del consenso de MarketScreener y de la prensa. Son estimaciones propias, y así se dice en cada caso: la mediana y el mínimo del múltiplo a 3 años, el mercado alcanzable, el reparto del consenso por semestres, el margen FCF de 12 meses y el 1T24. Son de memoria, sin comprobar, los porcentajes de KfW y Leonardo. No he encontrado hilos de octubre en Reddit, Rankia ni wallstreet-online.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2026-10-14T21:04:18Z</dcterms:created>
  <dcterms:modified xsi:type="dcterms:W3CDTF">2026-10-14T21:04:18Z</dcterms:modified>
</cp:coreProperties>
</file>

<file path=docProps/custom.xml><?xml version="1.0" encoding="utf-8"?>
<Properties xmlns="http://schemas.openxmlformats.org/officeDocument/2006/custom-properties" xmlns:vt="http://schemas.openxmlformats.org/officeDocument/2006/docPropsVTypes"/>
</file>