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Parkin Company P.J.S.C.</w:t>
      </w:r>
    </w:p>
    <w:p>
      <w:pPr>
        <w:spacing w:after="60"/>
        <w:rPr>
          <w:color w:val="52514E"/>
          <w:sz w:val="22"/>
          <w:szCs w:val="22"/>
        </w:rPr>
      </w:pPr>
      <w:r>
        <w:rPr>
          <w:color w:val="52514E"/>
          <w:sz w:val="22"/>
          <w:szCs w:val="22"/>
        </w:rPr>
        <w:t xml:space="preserve">PARKIN · Dubai Financial Market (DFM) · ISIN AEE01370P249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AED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5,77 AED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5,90 AED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+6,3 % (base +12,3 %)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3,68 AED · mercado 4,09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17.304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19,9x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Parkin Company P.J.S.C.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PARKIN / AEE01370P249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Dubai Financial Market (DFM)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DFM General Index (ETF iShares MSCI UAE como aproximación)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Infraestructura de transporte (concesiones)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Dubái · 2023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https://www.parkin.ae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4,38 – 6,50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17.304 M AED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18.393 M AED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7,5 M AED/día (3 meses, ≈ 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5,90 AED</w:t>
      </w:r>
      <w:r>
        <w:t xml:space="preserve"> frente a 5,77 · Rentabilidad a 12 meses </w:t>
      </w:r>
      <w:r>
        <w:rPr>
          <w:b/>
          <w:bCs/>
        </w:rPr>
        <w:t xml:space="preserve">+6,3 % (base +12,3 %)</w:t>
      </w:r>
      <w:r>
        <w:t xml:space="preserve"> · Valor intrínseco 3,68 AED · con la prima implícita del mercado: 4,09 (-29,1 %) · Alcista / bajista -30,2 % / -53,7 %</w:t>
      </w:r>
    </w:p>
    <w:p>
      <w:pPr>
        <w:spacing w:after="100"/>
      </w:pPr>
      <w:r>
        <w:rPr>
          <w:b/>
        </w:rPr>
        <w:t xml:space="preserve">La recomendación y por qué.</w:t>
      </w:r>
      <w:r>
        <w:t xml:space="preserve"> Mantener, con convicción media. Con la regla común, la rentabilidad a 12 meses es del +6,3 % ponderada y del +12,3 % en el base (objetivo de 5,90 AED frente a 5,77): el base pasa el 12 % por poco, pero la ponderada no llega al 15 % porque el bajista pierde un 19 %. Y el valor intrínseco es de 3,68 AED (-36,2 %): el precio paga una concesión de crecimiento al tipo de un bono, y no hay valor real por encima del precio. Compraríamos por debajo de 3,68 AED; venderíamos por encima de 6,82 AED. La convicción subiría con la revisión de abonos y tarifas aprobada; bajaría con otro trimestre de transacciones públicas a la baja.</w:t>
      </w:r>
    </w:p>
    <w:p>
      <w:pPr>
        <w:spacing w:after="100"/>
      </w:pPr>
      <w:r>
        <w:rPr>
          <w:b/>
        </w:rPr>
        <w:t xml:space="preserve">El negocio.</w:t>
      </w:r>
      <w:r>
        <w:t xml:space="preserve"> Parkin cobra el aparcamiento público de Dubái en exclusiva hasta 2072: tarifas (40 % de los ingresos de 2025), multas (31 %), abonos (17 %), aparcamientos de promotores privados (7 %) y edificios y otros (5 %) [1]. Paga a la RTA un canon de hasta el 27,5 % de los ingresos de aparcamiento y comparte con ella las subidas de tarifa por encima de la inflación [1]. ROIC del 55,7 % frente a un WACC del 10,02 % (más de 40 puntos de diferencia): pasa el listón de calidad. Sostenibilidad del crecimiento: «Sí», porque el base (5,7 % anual) pide poco capital.</w:t>
      </w:r>
    </w:p>
    <w:p>
      <w:pPr>
        <w:spacing w:after="100"/>
      </w:pPr>
      <w:r>
        <w:rPr>
          <w:b/>
        </w:rPr>
        <w:t xml:space="preserve">Sector y ciclo.</w:t>
      </w:r>
      <w:r>
        <w:t xml:space="preserve"> Dubái crece en población (4,58 M de habitantes a fin de 2025, +7,5 %) y en coches, y queda mucho por cobrar: ≈ 392.000 plazas públicas sin cobrar según el folleto, frente a ≈ 203.000 de pago hoy [4, 10, 13]. Pero los saltos de 2025 fueron de precio, no de volumen: la tarifa variable de abril de 2025 subió la tarifa media de 2,0 a 3,0 AED, y repetirlo depende de una decisión del Gobierno [4, 19].</w:t>
      </w:r>
    </w:p>
    <w:p>
      <w:pPr>
        <w:spacing w:after="100"/>
      </w:pPr>
      <w:r>
        <w:rPr>
          <w:b/>
        </w:rPr>
        <w:t xml:space="preserve">Finanzas.</w:t>
      </w:r>
      <w:r>
        <w:t xml:space="preserve"> Ingresos de 915,8 M en 2024 y 1.308,3 M en 2025 (+43 %) y beneficio de 423,5 a 625,5 M; en el último año, 1.461,6 M de ingresos y 691,8 M de beneficio [1, 4]. Margen EBITDA del 60 %, poca inversión (capex del 3-6 % de las ventas) y todo el beneficio se reparte (dividendo de 0,2186 AED en 2025, rentabilidad del 4,0 %) [1]. Deuda neta de 710 M (0,8 veces el EBITDA) [4].</w:t>
      </w:r>
    </w:p>
    <w:p>
      <w:pPr>
        <w:spacing w:after="100"/>
      </w:pPr>
      <w:r>
        <w:rPr>
          <w:b/>
        </w:rPr>
        <w:t xml:space="preserve">Equipo y gobierno.</w:t>
      </w:r>
      <w:r>
        <w:t xml:space="preserve"> El Fondo de Inversión de Dubái tiene el 75,01 % y seis de los siete consejeros son dominicales; el regulador, la RTA, es a la vez concedente, socio en las subidas y quien decide tarifas y plazas [1]. Nota de gobierno baja (6 de 13).</w:t>
      </w:r>
    </w:p>
    <w:p>
      <w:pPr>
        <w:spacing w:after="100"/>
      </w:pPr>
      <w:r>
        <w:rPr>
          <w:b/>
        </w:rPr>
        <w:t xml:space="preserve">Valoración.</w:t>
      </w:r>
      <w:r>
        <w:t xml:space="preserve"> DCF de 3,57 AED; el precio descuenta un crecimiento del 15,5 % anual o un WACC de 7-8 %. Cotiza a 23,1 veces el beneficio de los próximos doce meses frente a una mediana de comparables de ≈ 17. Nuestro BPA de 2028e (0,2603) queda un 5 % bajo el consenso (0,2753) por margen; su objetivo medio (6,51 AED) está por encima de todo nuestro rango intrínseco (2,67-4,03 AED) y dentro del de 12 meses (4,43-6,68 AED) [22].</w:t>
      </w:r>
    </w:p>
    <w:p>
      <w:pPr>
        <w:spacing w:after="100"/>
      </w:pPr>
      <w:r>
        <w:rPr>
          <w:b/>
        </w:rPr>
        <w:t xml:space="preserve">Riesgos y catalizadores.</w:t>
      </w:r>
      <w:r>
        <w:t xml:space="preserve"> Dominantes: una sola concesión, un solo Gobierno y un solo emirato (guerra con Irán en marzo: −33 % en un mes) y la vuelta de las multas a lo normal. La IA es neutra a favorable: abarata la vigilancia y amplía el cobro a centros comerciales. Catalizadores: resultados del 3T26 (hacia el 6-nov) y la decisión del Consejo Ejecutivo sobre abonos y tarifas. Regla 13: el precio no se ha movido por noticias propias; no cambia.</w:t>
      </w:r>
    </w:p>
    <w:p>
      <w:pPr>
        <w:spacing w:after="100"/>
      </w:pPr>
      <w:r>
        <w:rPr>
          <w:b/>
        </w:rPr>
        <w:t xml:space="preserve">Qué cambiaría la decisión.</w:t>
      </w:r>
      <w:r>
        <w:t xml:space="preserve"> Por debajo de 3,68 AED pasaría a Comprar; por encima de 6,82 AED, a Vender. Subiríamos el base con la revisión de tarifas aprobada o la expansión fuera de Dubái con contratos firmados; lo bajaríamos con un canon por encima del 27,5 % o transacciones públicas a la baja otro trimestre.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5,90 AED</w:t>
      </w:r>
      <w:r>
        <w:t xml:space="preserve"> (rentabilidad +6,3 % (base +12,3 %)) · Valor intrínseco: 3,68 AED (-36,2 % sobre 5,77) · con la prima implícita del mercado: 4,09 (-29,1 %)</w:t>
      </w:r>
    </w:p>
    <w:p>
      <w:pPr>
        <w:spacing w:after="100"/>
      </w:pPr>
      <w:r>
        <w:t xml:space="preserve">Parkin tiene hasta 2072 la exclusiva del aparcamiento público de pago de Dubái: un negocio con un margen EBITDA del 60 %, poca inversión, deuda baja y que reparte todo lo que gana [1]. Creció un 43 % en 2025 por la tarifa variable, los abonos y los promotores [1].</w:t>
      </w:r>
    </w:p>
    <w:p>
      <w:pPr>
        <w:spacing w:after="100"/>
      </w:pPr>
      <w:r>
        <w:t xml:space="preserve">El precio (5,77 AED, 23,1 veces el beneficio de los próximos doce meses) ya paga ese crecimiento: el DCF (3,57 AED) y la regla común a 12 meses (+6,3 % ponderada) no dan para comprar. Los dos riesgos que el precio no recoge son que todo depende de un solo Gobierno, que decide tarifas, plazas y canon, y que el salto de 2025 fue de precio, no de volumen.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AED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 × 0,23 = 4,43 · 24,0x × 0,26 = 6,25 · 24,2x × 0,28 = 6,68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 12,3 %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historia adelantada de 2 años: decide la más baja de v3 y v2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 (nuestro base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AED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 / -53,7 %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 frente a 10,0 % y 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 AED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 frente a 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3,68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3,68 y 6,82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6,82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3,68 AED: pasaría a Comprar.</w:t>
      </w:r>
    </w:p>
    <w:p>
      <w:pPr>
        <w:pStyle w:val="ListParagraph"/>
        <w:numPr>
          <w:ilvl w:val="0"/>
          <w:numId w:val="2"/>
        </w:numPr>
        <w:spacing w:after="60"/>
      </w:pPr>
      <w:r>
        <w:t xml:space="preserve">Precio por encima de 6,82 AED: pasaría a Vender.</w:t>
      </w:r>
    </w:p>
    <w:p>
      <w:pPr>
        <w:pStyle w:val="ListParagraph"/>
        <w:numPr>
          <w:ilvl w:val="0"/>
          <w:numId w:val="2"/>
        </w:numPr>
        <w:spacing w:after="60"/>
      </w:pPr>
      <w:r>
        <w:t xml:space="preserve">Revisión de abonos y tarifas aprobada por el Consejo Ejecutivo: subiríamos el base hacia el alcista.</w:t>
      </w:r>
    </w:p>
    <w:p>
      <w:pPr>
        <w:pStyle w:val="ListParagraph"/>
        <w:numPr>
          <w:ilvl w:val="0"/>
          <w:numId w:val="2"/>
        </w:numPr>
        <w:spacing w:after="60"/>
      </w:pPr>
      <w:r>
        <w:t xml:space="preserve">Canon variable por encima del 27,5 % o nuevas obligaciones de la RTA: bajaríamos el margen.</w:t>
      </w:r>
    </w:p>
    <w:p>
      <w:pPr>
        <w:pStyle w:val="ListParagraph"/>
        <w:numPr>
          <w:ilvl w:val="0"/>
          <w:numId w:val="2"/>
        </w:numPr>
        <w:spacing w:after="60"/>
      </w:pPr>
      <w:r>
        <w:t xml:space="preserve">Contratos firmados fuera de Dubái (Abu Dabi, Bahréin, Egipto): subiríamos el crecimiento a largo plazo.</w:t>
      </w:r>
    </w:p>
    <w:p>
      <w:pPr>
        <w:pStyle w:val="Heading2"/>
      </w:pPr>
      <w:r>
        <w:t xml:space="preserve">Dónde discrepamos del mercado</w:t>
      </w:r>
    </w:p>
    <w:p>
      <w:pPr>
        <w:keepNext/>
        <w:spacing w:after="100"/>
      </w:pPr>
      <w:r>
        <w:rPr>
          <w:b/>
          <w:bCs/>
        </w:rPr>
        <w:t xml:space="preserve">Lo que descuenta el precio.</w:t>
      </w:r>
    </w:p>
    <w:p>
      <w:pPr>
        <w:spacing w:after="100"/>
      </w:pPr>
      <w:r>
        <w:t xml:space="preserve">Nueve analistas esperan un BPA de 0,2753 AED en 2028e (+10 % anual) y un objetivo medio de 6,51 AED; FAB, Comprar a 6,50 con un WACC del 8,5 % [12, 22]. El precio descuenta un crecimiento del 15,5 % anual con nuestro WACC.</w:t>
      </w:r>
    </w:p>
    <w:p>
      <w:pPr>
        <w:keepNext/>
        <w:spacing w:after="100"/>
      </w:pPr>
      <w:r>
        <w:rPr>
          <w:b/>
          <w:bCs/>
        </w:rPr>
        <w:t xml:space="preserve">Lo que creemos nosotros.</w:t>
      </w:r>
    </w:p>
    <w:p>
      <w:pPr>
        <w:spacing w:after="100"/>
      </w:pPr>
      <w:r>
        <w:t xml:space="preserve">Crecimiento del 6-7 % anual sin nuevas subidas de tarifa, margen estable y un descuento de empresa de un solo país y un solo concedente (WACC del 10 %), no el de un bono.</w:t>
      </w:r>
    </w:p>
    <w:p>
      <w:pPr>
        <w:keepNext/>
        <w:spacing w:after="100"/>
      </w:pPr>
      <w:r>
        <w:rPr>
          <w:b/>
          <w:bCs/>
        </w:rPr>
        <w:t xml:space="preserve">Por qué podemos tener razón.</w:t>
      </w:r>
    </w:p>
    <w:p>
      <w:pPr>
        <w:spacing w:after="100"/>
      </w:pPr>
      <w:r>
        <w:t xml:space="preserve">Las transacciones públicas cayeron un 7 % en el 2T26 y la guía de aparcamiento público se rebajó; la revisión de abonos y tarifas lleva ocho meses sin respuesta y la RTA se queda la mitad de lo que suba por encima de la inflación [1, 4, 19].</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AED) · precio actual 5,7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Monopolio legal hasta 2072</w:t>
      </w:r>
      <w:r>
        <w:t xml:space="preserve"> del aparcamiento público de Dubái, con compensación del 130 % si el Gobierno cancela plazas [1].</w:t>
      </w:r>
    </w:p>
    <w:p>
      <w:pPr>
        <w:pStyle w:val="ListParagraph"/>
        <w:numPr>
          <w:ilvl w:val="0"/>
          <w:numId w:val="2"/>
        </w:numPr>
        <w:spacing w:after="60"/>
      </w:pPr>
      <w:r>
        <w:rPr>
          <w:b/>
        </w:rPr>
        <w:t xml:space="preserve">Margen EBITDA del 60 %, ROIC por encima del 50 %</w:t>
      </w:r>
      <w:r>
        <w:t xml:space="preserve"> y capex del 3-6 % de las ventas [1].</w:t>
      </w:r>
    </w:p>
    <w:p>
      <w:pPr>
        <w:pStyle w:val="ListParagraph"/>
        <w:numPr>
          <w:ilvl w:val="0"/>
          <w:numId w:val="2"/>
        </w:numPr>
        <w:spacing w:after="60"/>
      </w:pPr>
      <w:r>
        <w:rPr>
          <w:b/>
        </w:rPr>
        <w:t xml:space="preserve">Dividendo del 100 % del beneficio</w:t>
      </w:r>
      <w:r>
        <w:t xml:space="preserve"> (≈ 4 % de rentabilidad) y deuda neta de 0,8 veces el EBITDA [1, 4].</w:t>
      </w:r>
    </w:p>
    <w:p>
      <w:pPr>
        <w:pStyle w:val="ListParagraph"/>
        <w:numPr>
          <w:ilvl w:val="0"/>
          <w:numId w:val="2"/>
        </w:numPr>
        <w:spacing w:after="60"/>
      </w:pPr>
      <w:r>
        <w:rPr>
          <w:b/>
        </w:rPr>
        <w:t xml:space="preserve">Mucho por cobrar</w:t>
      </w:r>
      <w:r>
        <w:t xml:space="preserve">: ≈ 392.000 plazas gratuitas, promotores (Dubai Holding, DAMAC, Emaar) y población +7,5 % en 2025 [10, 13, 14, 15].</w:t>
      </w:r>
    </w:p>
    <w:p>
      <w:pPr>
        <w:pStyle w:val="ListParagraph"/>
        <w:numPr>
          <w:ilvl w:val="0"/>
          <w:numId w:val="2"/>
        </w:numPr>
        <w:spacing w:after="60"/>
      </w:pPr>
      <w:r>
        <w:rPr>
          <w:b/>
        </w:rPr>
        <w:t xml:space="preserve">La IA ayuda</w:t>
      </w:r>
      <w:r>
        <w:t xml:space="preserve">: cámaras y vehículos de control abaratan la vigilancia y abren centros comerciales y promotores [15].</w:t>
      </w:r>
    </w:p>
    <w:p>
      <w:pPr>
        <w:pStyle w:val="Heading2"/>
      </w:pPr>
      <w:r>
        <w:t xml:space="preserve">En contra</w:t>
      </w:r>
    </w:p>
    <w:p>
      <w:pPr>
        <w:pStyle w:val="ListParagraph"/>
        <w:numPr>
          <w:ilvl w:val="0"/>
          <w:numId w:val="2"/>
        </w:numPr>
        <w:spacing w:after="60"/>
      </w:pPr>
      <w:r>
        <w:rPr>
          <w:b/>
        </w:rPr>
        <w:t xml:space="preserve">Un solo concedente y un solo Gobierno</w:t>
      </w:r>
      <w:r>
        <w:t xml:space="preserve">: la RTA decide tarifas, plazas y canon, y el Fondo de Inversión de Dubái controla el 75 % [1].</w:t>
      </w:r>
    </w:p>
    <w:p>
      <w:pPr>
        <w:pStyle w:val="ListParagraph"/>
        <w:numPr>
          <w:ilvl w:val="0"/>
          <w:numId w:val="2"/>
        </w:numPr>
        <w:spacing w:after="60"/>
      </w:pPr>
      <w:r>
        <w:rPr>
          <w:b/>
        </w:rPr>
        <w:t xml:space="preserve">Crecimiento de 2025 de precio</w:t>
      </w:r>
      <w:r>
        <w:t xml:space="preserve">: la tarifa variable de abril de 2025 no se repite sin otra decisión pública [4, 19].</w:t>
      </w:r>
    </w:p>
    <w:p>
      <w:pPr>
        <w:pStyle w:val="ListParagraph"/>
        <w:numPr>
          <w:ilvl w:val="0"/>
          <w:numId w:val="2"/>
        </w:numPr>
        <w:spacing w:after="60"/>
      </w:pPr>
      <w:r>
        <w:rPr>
          <w:b/>
        </w:rPr>
        <w:t xml:space="preserve">Canon al máximo (27,5 %)</w:t>
      </w:r>
      <w:r>
        <w:t xml:space="preserve"> provisionado desde el 1T26 y subidas por encima de la inflación repartidas a medias con la RTA [1, 5].</w:t>
      </w:r>
    </w:p>
    <w:p>
      <w:pPr>
        <w:pStyle w:val="ListParagraph"/>
        <w:numPr>
          <w:ilvl w:val="0"/>
          <w:numId w:val="2"/>
        </w:numPr>
        <w:spacing w:after="60"/>
      </w:pPr>
      <w:r>
        <w:rPr>
          <w:b/>
        </w:rPr>
        <w:t xml:space="preserve">Riesgo de país</w:t>
      </w:r>
      <w:r>
        <w:t xml:space="preserve">: la guerra con Irán tiró la acción un 33 % en un mes y las transacciones un 7 % en el 2T26 [4, 30].</w:t>
      </w:r>
    </w:p>
    <w:p>
      <w:pPr>
        <w:pStyle w:val="ListParagraph"/>
        <w:numPr>
          <w:ilvl w:val="0"/>
          <w:numId w:val="2"/>
        </w:numPr>
        <w:spacing w:after="60"/>
      </w:pPr>
      <w:r>
        <w:rPr>
          <w:b/>
        </w:rPr>
        <w:t xml:space="preserve">Precio exigente</w:t>
      </w:r>
      <w:r>
        <w:t xml:space="preserve">: 23,1 veces el beneficio, con el DCF en 3,57 AED [21].</w:t>
      </w:r>
    </w:p>
    <w:p>
      <w:pPr>
        <w:pStyle w:val="Heading2"/>
      </w:pPr>
      <w:r>
        <w:t xml:space="preserve">Qué tiene que pasar para que la tesis funcione</w:t>
      </w:r>
    </w:p>
    <w:p>
      <w:pPr>
        <w:spacing w:after="100"/>
      </w:pPr>
      <w:r>
        <w:t xml:space="preserve">La tesis depende de lo que decida el Gobierno de Dubái. La señal está en tres cifras de cada trimestre: transacciones de aparcamiento público (−7 % en el 2T26), plazas públicas nuevas (3,5-5k en el 2S26) y multas emitidas y cobradas (75 % de cobro en el 2T26), y en una noticia: la decisión del Consejo Ejecutivo sobre abonos y tarifas. Si las transacciones vuelven a crecer y llega una subida, el base se queda corto; si siguen cayendo sin subida, el bajista gana peso.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de aparcamiento público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dos trimestres más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sin ayuda 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Plazas de pago (públicas y de promotores)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203,2k públicas y 61,5k de promotores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3,5k públicas nuevas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Multas: emitidas y tasa de cobro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de cobro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tercio de los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Canon variable provisionado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 (máximo)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Obligación nueva de la RTA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Decisión sobre abonos y tarifas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Pendiente desde feb-26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Rechazo o sin decisión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Separa el base del alcista.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21,3x / 19,9x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25,0x / 23,1x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El aparcamiento de pago de Dubái nace en 1995 en el Ayuntamiento y pasa en 2005 a la Autoridad de Carreteras y Transporte (RTA) [4]. A finales de 2023 el Gobierno lo separa en una sociedad, Parkin (Ley 30/2023), y la RTA le concede durante 49 años, desde el 1-ene-2024, la explotación exclusiva de todo el aparcamiento público de pago a cambio de 1.100 M pagados al contado, 300 M diferidos que solo se pagan si Parkin quiebra y un canon trimestral del 20 % de los ingresos de aparcamiento [1, 10]. En marzo de 2024 el Fondo de Inversión de Dubái vendió en bolsa el 24,99 % a 2,10 AED (165 veces sobresuscrita) y conserva el 75,01 % [10]. En abril de 2025 llegó la tarifa variable (punta y premium) y en la segunda mitad de 2025 los grandes contratos con promotores (Dubai Holding, DAMAC)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el aparcamiento público de pago de Dubái dentro del Ayuntamiento (Dubai Municipality)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la nueva Autoridad de Carreteras y Transporte (RTA)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RTA es de las primeras del mundo en cobrar el aparcamiento por SMS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 30/2023 de Dubái: se crea Parkin Company P.J.S.C. (29-dic)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Concesión de 49 años desde el 1-ene (pago inicial de 1.100 M); salida a bolsa del 24,99 % a 2,10 AED el 21-mar; el Fondo de Inversión de Dubái conserva el 75,01 % [1,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 variable desde el 4-abr (punta 6 AED/hora en premium); acuerdo con Dubai Holding por ≈ 29,6k plazas (ago)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Petición a la RTA de revisar tarifas y abonos (feb); IVA del 5 % en todos los servicios desde el 1-jun; contratos con Emaar (mayo) y entrada en Abu Dabi y planes en Baréin y Egipto (ago) [15, 16, 18, 19].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Parkin cobra el aparcamiento público de Dubái: unas 203.000 plazas en la calle y en solares de las zonas A-D, más edificios de aparcamiento, con una concesión exclusiva hasta 2072 [1, 4]. Gana dinero de cinco formas: la tarifa por hora o por día (524,5 M en 2025, el 40 % de los ingresos), las multas a quien no paga o se pasa de tiempo (408,7 M, el 31 %), los abonos mensuales y anuales y los permisos de residentes (222,0 M, el 17 %), la gestión de aparcamientos privados de promotores (94,0 M, el 7 %) y reservas, edificios y otros (59,1 M) [1]. Cobra por la app, SMS, WhatsApp, parquímetros y la tarjeta del transporte público; vigila con 37 coches con cámaras de lectura de matrículas e inspectores a pie [4, 10]. Todo está en el emirato de Dubái; en 2026 ha empezado a gestionar torres de DAMAC en Abu Dabi y estudia Baréin y Egipto [16].</w:t>
      </w:r>
    </w:p>
    <w:p>
      <w:pPr>
        <w:pStyle w:val="Heading2"/>
      </w:pPr>
      <w:r>
        <w:t xml:space="preserve">Cómo gana dinero</w:t>
      </w:r>
    </w:p>
    <w:p>
      <w:pPr>
        <w:spacing w:after="100"/>
      </w:pPr>
      <w:r>
        <w:t xml:space="preserve">El activo es el derecho a cobrar en la vía pública, que no se paga como un alquiler: el coste es el canon variable a la RTA (20 % hasta marzo de 2025; la empresa provisiona el máximo, 27,5 %, desde la tarifa variable) sobre tarifas, abonos y edificios, mientras que las multas y los promotores no pagan canon [1, 5]. El resto de costes es casi fijo: 361 empleados (138 M al año), comisiones de los operadores de telefonía y mantenimiento [1, 4]. Por eso el margen EBITDA es del 60 % y casi todo el crecimiento de ingresos llega al beneficio. Los abonos se cobran por adelantado y el circulante es pequeño (10 % de las ventas). La estacionalidad es suave: el verano y el Ramadán bajan el uso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Aparcamiento público (calle y superficie)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Multas (enforcement)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Abonos y permisos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Aparcamientos de promotores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Edificios de aparcamiento (MSCP)</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Reservas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AE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Aparcamiento público (calle y superficie)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Multas (enforcement)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Abonos y permisos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Aparcamientos de promotores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Edificios de aparcamiento (MSCP)</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Reservas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Millones de conductores (141 M de transacciones en 2025) y ningún cliente relevante; el riesgo de concentración está en el otro lado: la RTA, que concede, fija las zonas y aprueba las tarifas, y el Gobierno de Dubái, que es dueño del 75 % [1, 4, 6]. Poder de precios demostrado, pero prestado: la tarifa media subió un 51 % (de 2,01 a 3,03 AED por hora) con la tarifa variable de abril de 2025 porque la aprobó el Gobierno; la demanda respondió desplazándose a los abonos, cuyo precio no subió (abonos +38 % en el 2T26 y ocupación del 21,8 % frente al 29,0 %) [5, 6]. Parkin pidió en febrero de 2026 revisar abonos y tarifas; la RTA lo estudia y decide el Consejo Ejecutivo [6, 19]. Los contratos con promotores son a varios años, algunos con renta mínima garantizada que reduce el margen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Plazas gestionadas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Públicas 203,2k, de promotores 61,5k y en edificios 3,7k a jun-26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 media ponderada por hora (AED)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 variable desde abril de 2025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Ocupación del aparcamiento público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porque los abonados no cuentan y por el paso a abonos baratos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Abonos vendidos en el trimestre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Arbitraje entre la tarifa diaria nueva y el precio del abono sin revisar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Multas emitidas en el trimestre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 coches con cámaras (25 un año antes); cobro del 75 % en el 2T26 (83 %)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 de aparcamiento público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Geopolítica (guerra con Irán), menos días de cobro y abonos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aparcamiento de pago del emirato de Dubái: el público en calle y solares (exclusivo de Parkin por ley y concesión) y el privado de promotores, centros comerciales y torres, donde compite con los propios dueños y con operadores privados [1, 10]. No hay estadística oficial de ingresos del sector: el informe mide el mercado por plazas, tarifa y población. Las referencias son las ≈ 392.000 plazas públicas sin cobrar en 2023, además de las ≈ 175.000 de pago, que la RTA puede ir convirtiendo, y un estudio del folleto que prevé que la demanda de aparcamiento público de pago crezca un 60 % hasta 2033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estadística oficial del mercado de aparcamiento de pago de Dubái. Referencias: ≈ 392.000 plazas públicas sin cobrar además de las ≈ 175.000 de pago en 2023, y una demanda de aparcamiento público de pago que crecería un 60 % hasta 2033 según el estudio del folleto [10]; población de 4,58 M a fin de 2025 (+7,5 %)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Población de Dubái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4,58 M a fin de 2025 (+7,5 % en el año) según la oficina de estadística de Dubái; objetivo oficial de 5,8 M en 2040 [10,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plazas gratuitas en zonas de pago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9,9k plazas públicas nuevas en el 1S26 y 3,5-5,0k más previstas en el 2S26; ≈ 392k sin cobrar en 2023 [4,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fijadas por el Gobierno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 variable de abril de 2025: tarifa media +51 %; la concesión prevé pedir cada dos años desde 2026 subir al menos con la inflación [5,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Aparcamiento privado de promotores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19,6k a 61,5k plazas en un año (Dubai Holding 29,6k por fases, DAMAC 3,6k, Spinneys, Emaar) [4, 14,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Turismo, petróleo y geopolítica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públicas −7 % en el 2T26 por la guerra con Irán y menos días de cobro [4,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Metro, tranvía y movilidad compartida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RTA amplía el transporte público (línea azul del metro); menos coches por residente a largo plazo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Exclusividad legal en el aparcamiento público hasta 2072; la RTA no puede dar a otro la explotación sin compensar a Parkin [1,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Conductores atomizados que no negocian; pero se mueven a los abonos cuando la tarifa sube y el abono no (ocupación de las zonas B y D del 61 % al 23 %)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del activo es la RTA: fija zonas, tarifas y el canon (20-27,5 %); el canon variable de 2025 aún no está cerrado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Nadie puede cobrar en la vía pública de Dubái sin la concesión; en aparcamiento privado sí entran operadores y los propios promotores [10,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Metro, taxi, plataformas de transporte y, a largo plazo, coches autónomos que no aparcan en el centro; hoy Dubái sigue creciendo en coches [10].</w:t>
            </w:r>
          </w:p>
        </w:tc>
      </w:tr>
    </w:tbl>
    <w:p>
      <w:pPr>
        <w:spacing w:after="160" w:before="0"/>
      </w:pPr>
    </w:p>
    <w:p>
      <w:pPr>
        <w:pStyle w:val="Heading2"/>
      </w:pPr>
      <w:r>
        <w:t xml:space="preserve">Ciclo</w:t>
      </w:r>
    </w:p>
    <w:p>
      <w:pPr>
        <w:spacing w:after="100"/>
      </w:pPr>
      <w:r>
        <w:t xml:space="preserve">Dubái sale de la guerra con Irán (marzo de 2026) con la población creciendo un 7,5 % y el empleo en máximos; Parkin siguió creciendo en ingresos (+14 % en el 2T26) aunque las transacciones públicas cayeron un 7 % [4, 13]. En 2020 el aparcamiento de la RTA cayó con los cierres (ingresos de 590,6 M en 2021, recuperados a 686,2 M en 2022) y en 2009 Dubái perdió población; un bache inmobiliario o del turismo baja transacciones y multas, no las tarifas [10].</w:t>
      </w:r>
    </w:p>
    <w:p>
      <w:pPr>
        <w:pStyle w:val="Heading2"/>
      </w:pPr>
      <w:r>
        <w:t xml:space="preserve">Regulación</w:t>
      </w:r>
    </w:p>
    <w:p>
      <w:pPr>
        <w:spacing w:after="100"/>
      </w:pPr>
      <w:r>
        <w:t xml:space="preserve">La Ley de aparcamiento de 2016 (Reglamento 5/2016) y la concesión de 2024 dan a la RTA la potestad de fijar zonas, tarifas y exenciones; Parkin solo propone [1]. Desde 2026 debe pedir cada dos años una subida al menos igual a la inflación: si no se aprueba, el canon baja (suelo del 12,5 %); si la subida supera la inflación, Parkin comparte el exceso con la RTA al 50 % (techo del 27,5 %) [10]. Las decisiones del Gobierno que dañen el modelo (cancelar zonas, cambiar exenciones, dar plazas a otro) dan derecho a compensación o a plazas alternativas [10]. Desde el 1-jun-2026 se cobra IVA del 5 % en todos los servicios [18]. Impuesto de sociedades del 9 % desde 2024 [1].</w:t>
      </w:r>
    </w:p>
    <w:p>
      <w:pPr>
        <w:pStyle w:val="Heading2"/>
      </w:pPr>
      <w:r>
        <w:t xml:space="preserve">Tendencias y disrupción</w:t>
      </w:r>
    </w:p>
    <w:p>
      <w:pPr>
        <w:spacing w:after="100"/>
      </w:pPr>
      <w:r>
        <w:t xml:space="preserve">Tres tendencias le favorecen: el cobro sin barreras con cámaras y matrículas (que abarata la vigilancia y amplía los contratos con promotores), la tarifa variable por zona y hora (que la RTA ya aprobó) y la expansión de la ciudad hacia zonas nuevas que se convertirán en zonas de pago [4, 14]. La que le perjudica es la movilidad sin coche: el metro y los robotaxis que Dubái quiere para 2030 pueden reducir el aparcamiento en el centro a largo plazo. La IA, en cambio, ayuda: la inspección con cámaras y el reconocimiento de matrículas ya han subido las multas emitidas un 59 % en el 4T25 [6].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 Dubái: operador exclusivo de todo el aparcamiento público de pago (≈ 203k plazas a jun-26) por concesión hasta 2072; en aparcamiento de promotores (61,5k plazas) compite con operadores privados y con los propios promotores [1,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Emiratos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SALIK.AE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Concesión de peajes de Dubái de la misma RTA (49 años); no compite en aparcamiento público, sí en servicios de movilidad y cobro (aparcamiento de centros comerciales con cobro automático); referencia de modelo y de múltiplo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4666.T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operador de aparcamiento de Japón (Times), con plazas propias y alquiladas; margen mucho menor porque paga el suelo, mientras Parkin usa la vía pública por un canon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Transurban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TCL.AX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Concesiones de autopistas urbanas; referencia de negocio de concesión con margen EBITDA del 60 %, pero con mucha más deuda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 Mobility (Abu Dabi)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Emiratos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Gestiona el aparcamiento público (Mawaqif) y los peajes de Abu Dabi; no cotiza y no publica cuentas. Es el competidor natural si Parkin entra en Abu Dabi (DAMAC en Al Reem)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Operadores privados y promotores (Emaar, Majid Al Futtaim, operadores internacionales)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Emiratos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grandes promotores gestionan o subcontratan sus aparcamientos; Parkin les ofrece cobro sin barreras y sanciones (Emaar, mayo de 2026; Majid Al Futtaim en dos centros) [4,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app y los abonos unifican el pago en toda la ciudad, pero el valor viene de la exclusividad, no de los usuarios [A5].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el conductor no hay alternativa en la vía pública; los promotores sí pueden cambiar de operador al vencer los contratos [A4].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Concesión exclusiva de 49 años (hasta 2072) con compensación por decisiones adversas del Gobierno; ROIC del 55,7 % en 2025 [B1, B10].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Usa el suelo público por un canon variable: margen EBITDA del 60 % frente al 19 % de Park24, que paga o alquila el suelo [A1, B7].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solo operador cubre 268k plazas con 361 empleados y 37 coches con cámaras; un segundo operador no tendría sentido económico [A4].</w:t>
            </w:r>
          </w:p>
        </w:tc>
      </w:tr>
    </w:tbl>
    <w:p>
      <w:pPr>
        <w:spacing w:after="160" w:before="0"/>
      </w:pPr>
    </w:p>
    <w:p>
      <w:pPr>
        <w:pStyle w:val="Heading2"/>
      </w:pPr>
      <w:r>
        <w:t xml:space="preserve">Amenazas</w:t>
      </w:r>
    </w:p>
    <w:p>
      <w:pPr>
        <w:spacing w:after="100"/>
      </w:pPr>
      <w:r>
        <w:t xml:space="preserve">La amenaza no es un competidor: es el propio concedente. La RTA puede no aprobar subidas, retrasar la conversión de plazas, cambiar exenciones o, en el límite, rescatar la concesión pagando su valor razonable [1, 10]. Con probabilidad media, la presión política por el precio del aparcamiento en una ciudad que encarece la vida limitará las subidas a la inflación. En aparcamiento privado compite con promotores que gestionan lo suyo; ahí el margen es bajo (rentas mínimas garantizadas) [4]. A largo plazo, el transporte público y el coche autónomo restan demanda.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spacing w:after="100"/>
      </w:pPr>
      <w:r>
        <w:t xml:space="preserve">Crecimiento anual compuesto 2021-2025: ingresos </w:t>
      </w:r>
      <w:r>
        <w:rPr>
          <w:b/>
          <w:bCs/>
        </w:rPr>
        <w:t xml:space="preserve">22,0 %</w:t>
      </w:r>
      <w:r>
        <w:t xml:space="preserve">, EBITDA </w:t>
      </w:r>
      <w:r>
        <w:rPr>
          <w:b/>
          <w:bCs/>
        </w:rPr>
        <w:t xml:space="preserve">34,3 %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AE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590,6 M en 2021 a 1.308,3 M en 2025: +16 % y +14 % en 2022-2023 dentro de la RTA, +17,5 % en 2024 y +42,9 % en 2025 [1, 10]. El salto de 2025 tiene tres causas: la tarifa variable desde abril (tarifa media de 2,01 a 3,03 AED por hora), las multas (+64 %, con coches con cámaras y más inspectores) y los abonos (+51 %) [1, 6]. El margen EBITDA bajó del 62,1 % al 59,8 % porque el canon subió del 13 % al 16 % de las ventas: la empresa provisionó 44,5 M para un canon de hasta el 27,5 % desde abril de 2025, y el alquiler variable de promotores pasó de 13,7 a 35,9 M [1]. En el 1S26 los ingresos NIIF suben un 26 % (≈ 739 M) y el beneficio un 23 % (351,3 M) [2, 4]. 2021-2023 no son comparables: no había canon (106 M pro forma en 2023), ni impuesto, ni intereses de la deuda de la concesión [9].</w:t>
      </w:r>
    </w:p>
    <w:p>
      <w:pPr>
        <w:pStyle w:val="Heading2"/>
      </w:pPr>
      <w:r>
        <w:t xml:space="preserve">Ajustes y partidas no recurrentes</w:t>
      </w:r>
    </w:p>
    <w:p>
      <w:pPr>
        <w:spacing w:after="100"/>
      </w:pPr>
      <w:r>
        <w:t xml:space="preserve">El informe usa las cifras publicadas. Sin no recurrentes relevantes en 2024-2025: la provisión de 44,5 M del canon de 2025 es un coste del periodo (el tipo provisionado se mantiene en 2026), y el alquiler variable de promotores crece con el negocio [1, 5]. La empresa llama «EBITDA» al resultado antes de intereses pagados, impuestos y amortizaciones, con los intereses cobrados dentro (798,2 M en 2025); aquí van fuera (782,6 M), y el consenso de MarketScreener usa la definición de la empresa (se descuenta un 1,2 % de las ventas en los múltiplos de los próximos 12 meses) [6, 22]. El beneficio pro forma de 2023, con la concesión, habría sido de 327,8 M (frente a 394,1 M sin ella) [9].</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(13-ago) la dirección rebajó la guía de aparcamiento público de 560-610 M a 510-550 M y subió la de abonos (280-300 M) y la de promotores (130-150 M): el total queda «sustancialmente sin cambios» [4]. Atribuyó las transacciones públicas más bajas (−7 %) a la guerra con Irán, a tres días de cobro menos y al paso a abonos, que siguen al precio antiguo; publicó por primera vez el detalle mes a mes para demostrar que junio volvía al nivel de abril [4]. En el 1T26 (6-may) había dejado la guía «en revisión» y explicó que provisiona el canon al 27,5 % mientras negocia con la RTA [5]. El mensaje que se repite desde febrero es la petición de revisar abonos y tarifas, pendiente del Consejo Ejecutivo; la dirección no da fecha ni magnitud, y el consejero delegado dijo que «no hay garantía» [6, 19]. Las multas cobradas bajaron al 75 % por emitir muchas en junio [4]. Sin transcripción pública de las conferencias.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(2024: Arranque de Parkin como sociedad el 1-ene-2024: entran la concesión (1.400 M de intangible), la deuda de 1.100 M, el canon variable del 20-27,5 %, el impuesto del 9 % y la plantilla propia; 2021-2023 son cifras del negocio dentro de la RTA y no son comparables [1, 9].).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neta pasó de 1.006 M en 2023 (pro forma) a 681 M en 2025 (0,9 veces el EBITDA) y a 710 M en junio de 2026, porque la empresa reparte todo lo que gana: 592,9 M de dividendos en 2025 y 343,7 M en abril de 2026 [1, 4]. El circulante es pequeño (10 % de las ventas en 2025) pero se mueve con los saldos de la RTA: las multas que cobra la policía y los cánones por pagar se compensan en parte; en el 1T26 las cuentas a cobrar subieron 131 M y se recuperaron en el 2T26 [2, 4]. El refinanciamiento de 2029 no preocupa con 0,9 veces de apalancamiento y un banco del propio Gobierno.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AE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2022-2025: FCF </w:t>
      </w:r>
      <w:r>
        <w:rPr>
          <w:b/>
          <w:bCs/>
        </w:rPr>
        <w:t xml:space="preserve">1.995</w:t>
      </w:r>
      <w:r>
        <w:t xml:space="preserve">, conversión </w:t>
      </w:r>
      <w:r>
        <w:rPr>
          <w:b/>
          <w:bCs/>
        </w:rPr>
        <w:t xml:space="preserve">113 %</w:t>
      </w:r>
      <w:r>
        <w:t xml:space="preserve"> del beneficio neto; adquisiciones 1.100, dividendos 792, recompras 12.</w:t>
      </w:r>
    </w:p>
    <w:p>
      <w:pPr>
        <w:spacing w:after="100"/>
      </w:pPr>
      <w:r>
        <w:t xml:space="preserve">La conversión de beneficio en caja es alta: flujo operativo de 733,6 M en 2025 (117 % del beneficio, porque los intereses pagados van en financiación) y capex de solo 13,9 M [1]. En 2024 el pago inicial de la concesión (1.100 M) va como adquisición, no como capex. El capex de mantenimiento es mínimo (parquímetros, cámaras, sistemas): ≈ 1 % de las ventas en 2024-2025; la guía de 2026 sube a 45-55 M por los contratos con promotores, las cámaras y 20 M de Sports City [4]. Además, los contratos con renta mínima se registran como derechos de uso (40 M de altas en 2025) y el DCF los suma al capex (5,8 % de las ventas en 2026e) [1]. El flujo libre para el accionista que publica la empresa fue de 503,9 M en el 1T26, inflado por el dividendo declarado y no pagado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Limited Partnership, Dubai Branch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sencillas: ingresos en el momento del cobro (tarifas, multas) o a lo largo del abono, sin capitalización de gastos, sin pagos en acciones y con la concesión amortizada en línea recta en 49 años [1]. Tres juicios importan: (1) la provisión del canon variable (44,5 M en 2025; 27,5 % provisionado desde el 1T26) mientras se negocia con la RTA; (2) el deterioro de las multas por cobrar (15,6 M en 2025; la tasa de cobro bajó al 75 % en el 2T26) y (3) los saldos cruzados con la RTA y la policía, que no se compensan [1, 4]. El Altman Z (7,57) y el Piotroski F (8) son buenos; el Beneish M (−2,43) no señala manipulación, aunque con dos años de historia propia y el salto de perímetro de 2024 los tres indicadores dicen poco. El auditor es PwC desde el primer ejercicio, sin salvedades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Canon variable pendiente de cerrar con la RTA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Provisionado al máximo (27,5 %) desde el 1T26; si se cierra más bajo, habría una reversión positiva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cobro de multas a la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75 % en el 2T26 frente al 83 % por el calendario; deterioro de 15,6 M en 2025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Cifras de 2021-2023 de un negocio dentro de la RTA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canon, impuesto ni deuda: la historia comparable empieza en 2024 [9].</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2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10,0 %.</w:t>
      </w:r>
    </w:p>
    <w:p>
      <w:pPr>
        <w:spacing w:after="100"/>
      </w:pPr>
      <w:r>
        <w:t xml:space="preserve">Crea mucho valor: ROIC del 55,7 % en 2025 (38,4 % en 2024) frente a un WACC del 10,02 %, sobre un capital invertido de ≈ 1.200 M que es casi todo el precio de la concesión (1.355 M de intangible neto) [1]. Lo mueve el margen (NOPAT del 51 % de las ventas), no la rotación: el capital no crece con las ventas porque las plazas nuevas que designe la RTA entran en la concesión sin pagar más [1]. El ROIC incremental de 2024-2025 es altísimo (más de 190 M de NOPAT adicional con un capital que bajó) y no se puede extrapolar: viene de la tarifa variable. El ROE (127 %) está inflado porque se reparte todo el beneficio y el patrimonio es de 503 M. Salik, la otra concesión de la RTA, tiene un margen EBITDA del 69 % [17].</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depósitos de 463,2 M y línea revolvente sin disponer de 100 M a 30-jun-2026: liquidez de 563,2 M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AE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Deuda: un préstamo murabaha de 1.100 M con Emirates NBD (EIBOR a 3 meses + 0,80 %), sin garantías y con vencimiento único en enero de 2029, y una línea revolvente de 100 M sin disponer [1]. Covenant de deuda neta/EBITDA ≤ 4,5x (0,8x hoy) y cláusula de cambio de control: si el Gobierno de Dubái baja del 50,1 %, el banco puede pedir la devolución [1, 10]. El canon diferido de 300 M figura entre los saldos con la RTA, pero solo se paga si Parkin entra en insolvencia: no es deuda [1]. El canon variable de abril de 2025 en adelante sigue en negociación; la empresa provisiona el máximo [5]. Indemnizaciones por cese de 26 M y arrendamientos de 75 M (aparcamientos de promotores con renta mínima) [2, 4]. Dividendo del 1S26 de 351 M (fecha ex 14-oct) pendiente de pago [28].</w:t>
      </w:r>
    </w:p>
    <w:p>
      <w:pPr>
        <w:pStyle w:val="Heading1"/>
      </w:pPr>
      <w:r>
        <w:t xml:space="preserve">12. Asignación de capital</w:t>
      </w:r>
    </w:p>
    <w:p>
      <w:pPr>
        <w:pStyle w:val="Confianza"/>
        <w:spacing w:after="100"/>
      </w:pPr>
      <w:r>
        <w:t xml:space="preserve">Confianza: Alta</w:t>
      </w:r>
    </w:p>
    <w:p>
      <w:pPr>
        <w:spacing w:after="100"/>
      </w:pPr>
      <w:r>
        <w:t xml:space="preserve">Dividendo semestral (abril y octubre) de al menos el mayor entre el 100 % del beneficio y el flujo libre para el accionista, sujeto a reservas distribuibles [5]. En 2025 repartió 655,7 M (21,86 fils), más que su beneficio (625,5 M) [5]. El dividendo del 1S26 es de 0,117 AED por acción (≈ 351 M, fecha ex 14-oct-2026) [28]. No hay programa de recompra; la autocartera es la de un creador de liquidez [2]. Prioridades declaradas: más plazas públicas, contratos con promotores y expansión regional (Abu Dabi, Baréin, Egipto)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AE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Concesión de 49 años del aparcamiento público de Dubái (RTA)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inicial de 1.100 M con un préstamo murabaha de Emirates NBD; 300 M diferidos que solo se pagan si Parkin quiebra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569 M en 2024 y 783 M en 2025: el pago inicial se recupera en menos de dos años de EBITDA [1].</w:t>
            </w:r>
          </w:p>
        </w:tc>
      </w:tr>
    </w:tbl>
    <w:p>
      <w:pPr>
        <w:spacing w:after="160" w:before="0"/>
      </w:pPr>
    </w:p>
    <w:p>
      <w:pPr>
        <w:spacing w:after="100"/>
      </w:pPr>
      <w:r>
        <w:t xml:space="preserve">La dirección asigna bien lo poco que puede asignar: la caja vuelve al accionista y la inversión es casi nula. El único gran desembolso, la concesión (1.100 M al contado), se recuperó con el EBITDA de 2024 y 2025 [1]. Lo que hay que vigilar es la expansión fuera de Dubái y los contratos con promotores con rentas mínimas garantizadas: dan ingresos pero poco margen, y fuera de la concesión Parkin no tiene exclusividad ni ventaja de costes [4, 16].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Mohamed Abdulla Al Ali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civil; en la RTA desde 2007 (operaciones de autobuses, proyectos de transporte público, planificación y negocio). Dirigió el tráfico de la Expo 2020. Con él Parkin pasó de 916 a 1.308 M de ingresos en un año [1,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Khattab Abu Qaoud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20 años en finanzas de infraestructuras y PPP; en la RTA desde 2013, trabajó en la salida a bolsa de Salik y en la financiación del metro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Osama Hashim Al Safi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 la RTA trasladado a Parkin en la separación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Ahmed Abdullah Alzaabi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los sistemas de pago, la app y la inspección con cámaras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Ahmed Hashem Bahrozyan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la Agencia de Transporte Público de la RTA; en la RTA desde 2005 [10].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anual de ingresos por segmento revisada al alza con el 3T25 [20]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1.308 M (+43 %) y beneficio de 625,5 M (+48 %)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(aparcamiento público)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560-610 M en febrero de 2026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Rebajada a 510-550 M en agosto (abonos, guerra, ritmo de las plazas nuevas)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(resto)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Multas 420-460 M; abonos 260-280 M; promotores 110-130 M; capex 45-55 M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Abonos subidos a 280-300 M y promotores a 130-150 M; multas y capex sin cambios en agosto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de la RTA con poca experiencia en empresa cotizada, pero con buen arranque: cumplió y subió la guía de 2025 y en 2026 compensó la rebaja del aparcamiento público con abonos y promotores [4, 6]. La estabilidad es alta (los mismos cuatro directivos desde 2024) y no hay plan de sucesión publicado. Lo que más pesa en la credibilidad es que la dirección no controla su principal palanca, la tarifa: la petición de febrero de 2026 lleva ocho meses sin respuesta [19].</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Ahmed Hashem Bahrozyan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Ahmed Hassan Mahboub</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Muna Abdulrahman Al Osaimi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Nasser Hamad Abu Shehab</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Alawi Ali Al Sheikh-Ali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Mona Mohammad Bajman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Alunood Thabit Al Ameri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Dubai Investment Fund (Gobierno de Dubái)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(Estado)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desde la salida a bolsa (mar-2024)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(DFM)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de un creador de liquidez: 11,8 M AED a dic-25 y 1,6 M a mar-26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ha encontrado el informe de remuneraciones: no se puede saber qué mide el variable del consejero delegado ni si hay cláusulas de recuperación. Las cuentas solo dan la remuneración total de la alta dirección: 7,3 M AED en 2025 (5,9 M en 2024) [1].</w:t>
      </w:r>
    </w:p>
    <w:p>
      <w:pPr>
        <w:pStyle w:val="Heading2"/>
      </w:pPr>
      <w:r>
        <w:t xml:space="preserve">Operaciones vinculadas, estructura de control y defensas</w:t>
      </w:r>
    </w:p>
    <w:p>
      <w:pPr>
        <w:spacing w:after="100"/>
      </w:pPr>
      <w:r>
        <w:t xml:space="preserve">El Fondo de Inversión de Dubái tiene el 75,01 % y nombra al consejo; el presidente y la mayoría de los consejeros son altos cargos de la RTA y de la Administración de Dubái (Transporte Público, Finanzas, Planificación) [2, 10]. El Gobierno es a la vez dueño, concedente, regulador de tarifas, banco (Emirates NBD) y socio en aparcamientos de promotores; las operaciones vinculadas son el negocio entero [1]. Una acción, un voto; sin blindajes estatutarios conocidos. El préstamo exige que el Gobierno mantenga al menos el 50,1 %, lo que limita una venta del control [10]. A favor del minoritario: el interés del Gobierno en el dividendo (cobra el 75 %) y la reputación del programa de privatizaciones de Dubái (Salik, DEWA, Dubai Taxi).</w:t>
      </w:r>
    </w:p>
    <w:p>
      <w:pPr>
        <w:pStyle w:val="Heading2"/>
      </w:pPr>
      <w:r>
        <w:t xml:space="preserve">Señales de alerta</w:t>
      </w:r>
    </w:p>
    <w:p>
      <w:pPr>
        <w:pStyle w:val="ListParagraph"/>
        <w:numPr>
          <w:ilvl w:val="0"/>
          <w:numId w:val="2"/>
        </w:numPr>
        <w:spacing w:after="60"/>
      </w:pPr>
      <w:r>
        <w:t xml:space="preserve">El Gobierno de Dubái está a los dos lados: dueño del 75 % (DIF), concedente y regulador (RTA, que fija tarifas y zonas), banco (Emirates NBD presta los 1.100 M y guarda la caja) y socio en aparcamientos de promotores (Dubai Holding, TECOM, Wasl) [1].</w:t>
      </w:r>
    </w:p>
    <w:p>
      <w:pPr>
        <w:pStyle w:val="ListParagraph"/>
        <w:numPr>
          <w:ilvl w:val="0"/>
          <w:numId w:val="2"/>
        </w:numPr>
        <w:spacing w:after="60"/>
      </w:pPr>
      <w:r>
        <w:t xml:space="preserve">El canon variable desde abril de 2025 sigue sin cerrarse con la RTA: la empresa provisiona el máximo (27,5 %) desde el 1T26 [1].</w:t>
      </w:r>
    </w:p>
    <w:p>
      <w:pPr>
        <w:pStyle w:val="ListParagraph"/>
        <w:numPr>
          <w:ilvl w:val="0"/>
          <w:numId w:val="2"/>
        </w:numPr>
        <w:spacing w:after="60"/>
      </w:pPr>
      <w:r>
        <w:t xml:space="preserve">Sin informe de gobierno corporativo ni de remuneraciones localizado: no se pueden comprobar comisiones, independientes ni votos de la junta.</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revisada el 13-ago-2026: aparcamiento público 510-550 M (antes 560-610 M), multas 420-460 M, abonos 280-300 M (antes 260-280 M), promotores 130-150 M (antes 110-130 M), capex 45-55 M y 3,5-5,0k plazas públicas más en el 2S26 [4]. La guía no incluye ninguna revisión de tarifas ni de abonos [6]. Dividendo: al menos el mayor entre el 100 % del beneficio y el flujo libre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(ventas y EBITDA con ingresos financieros)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5,55 – 7,30</w:t>
            </w:r>
          </w:p>
        </w:tc>
      </w:tr>
    </w:tbl>
    <w:p>
      <w:pPr>
        <w:spacing w:after="160" w:before="0"/>
      </w:pPr>
    </w:p>
    <w:p>
      <w:pPr>
        <w:pStyle w:val="Heading2"/>
      </w:pPr>
      <w:r>
        <w:t xml:space="preserve">Revisiones de estimaciones</w:t>
      </w:r>
    </w:p>
    <w:p>
      <w:pPr>
        <w:spacing w:after="100"/>
      </w:pPr>
      <w:r>
        <w:t xml:space="preserve">Tras el 2T26 (por debajo de lo esperado: 166 M de beneficio frente a 198 M de FAB) el consenso de ingresos de 2026 subió de 1.390 a 1.500 M y el BPA de 0,21 a 0,22, con el objetivo medio sin cambios (6,34 AED de 6 analistas según Simply Wall St) [12, 24]. Hoy MarketScreener da 9 analistas, BPA de 0,2249 en 2026e y 0,2564 en 2027e y objetivo medio de 6,51 AED; Yahoo, 8 analistas entre 5,55 y 7,30 AED [22, 23]. FAB pasó de Mantener a Comprar con 6,50 AED el 25-ago [12].</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Salió a 2,10 AED en marzo de 2024 y subió un 35 % el primer día; cerró 2024 en 4,87 y 2025 en 5,69 AED [21]. En 2026 marcó máximo en 6,50 AED el 10-feb y cayó un 33 % hasta 4,38 AED el 16-mar con la guerra con Irán, cuando la bolsa de Dubái perdió un 22 % desde su máximo de febrero [21, 30, 32]. Recuperó con los resultados del 1T26 (+41 % de ingresos) y hoy cotiza a 5,77 AED, un 11 % bajo el máximo de 52 semanas [21]. Rentabilidad total de un año del 10,3 %, frente al 4,7 % del ETF de Emiratos [21].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 +4,0 % / +10,1 % / +5,5 %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 +30,0 %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1098"/>
        <w:gridCol w:w="4147"/>
        <w:gridCol w:w="1220"/>
        <w:gridCol w:w="1953"/>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6,50 AED (10-feb) a 4,38 AED (16-mar): guerra con Irán; el DFM perdió un 22 % desde su máximo y entró en mercado bajista; −9,6 % el 9-mar en una sola sesión [21, 30, 32]. La empresa no dio ninguna noticia propia; luego atribuyó al conflicto las transacciones públicas más bajas del 2T26 (−7 %)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bajista ya recoge menos transacciones y la prima adicional de 1 punto el riesgo de un solo país</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del mercado y resultados del 1T26 (6-may) con los ingresos +41 % por la tarifa variable de abril de 2025, los abonos y los promotores; acuerdo de control de aparcamiento con Emaar (4-may) [5,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del dividendo del 1S26: 0,117 AED por acción (≈ 351 M AED, el 100 % del beneficio del semestre)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analistas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 sube a Comprar con objetivo de 6,50 AED (DCF con un WACC del 8,5 %)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expansion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Parkin anuncia que llevará su modelo a Bahréin y Egipto; antes, a Abu Dabi y a promotores fuera de Dubái. Sin contratos firmados ni cifras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ingresos +13,6 %, beneficio de 166 M AED (FAB esperaba 198 M); transacciones públicas −7 % por la guerra y tres días menos de cobro; guía de aparcamiento público rebajada de 560-610 a 510-550 M y subida en abonos y promotores; total «sustancialmente sin cambios» [4,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Recogido en el 2026e (+12,5 %) y en el margen del 58,5 %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regulacion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IVA del 5 % en todos los servicios de aparcamiento desde el 1-jun-2026, a cargo del usuario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ingresos +41 %; canon variable provisionado al 27,5 % (máximo) mientras se negocia con la RTA; guía «en revisión»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Emaar para controlar con cámaras e IA el aparcamiento de Dubai Mall, Dubai Hills Mall y otros centros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regulacion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Parkin pide a la RTA revisar el precio de los abonos y las tarifas; depende del Consejo Ejecutivo y el consejero delegado dice que «no hay garantía»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en el alcista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ingresos +43 %, beneficio de 625 M AED (+48 %) y dividendo total de 0,2186 AED [1,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2025-11-07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3T25: beneficio +50 % y guía de 2025 al alza [7,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El precio apenas se ha movido en el último mes (−4,6 %) y está un 11 % bajo el máximo de febrero. La gran caída del año (−33 % de febrero a marzo) fue del mercado por la guerra con Irán, sin noticia propia, y se recuperó en dos meses con unos buenos resultados del 1T26. Lo único propio de los últimos doce meses que pesa es el 2T26 por debajo de lo esperado y la rebaja de la guía de aparcamiento público, que el caso base ya recoge, y la petición de revisar tarifas y abonos, que solo está en el alcista. Veredicto: no cambia. Los resultados del 3T26 (hacia el 6-nov, estimado) no retrasan la decisión: con el valor intrínseco muy por debajo del precio, no hay compra que retrasar.</w:t>
      </w:r>
    </w:p>
    <w:p>
      <w:pPr>
        <w:pStyle w:val="Heading1"/>
      </w:pPr>
      <w:r>
        <w:t xml:space="preserve">17. Múltiplos frente a su historia</w:t>
      </w:r>
    </w:p>
    <w:p>
      <w:pPr>
        <w:pStyle w:val="Confianza"/>
        <w:spacing w:after="100"/>
      </w:pPr>
      <w:r>
        <w:t xml:space="preserve">Confianza: Media</w:t>
      </w:r>
    </w:p>
    <w:p>
      <w:pPr>
        <w:spacing w:after="160" w:before="0"/>
      </w:pPr>
    </w:p>
    <w:p>
      <w:pPr>
        <w:spacing w:after="100"/>
      </w:pPr>
      <w:r>
        <w:t xml:space="preserve">Solo hay dos cierres desde la salida a bolsa. Con el precio de cada cierre y el BPA del año siguiente, cotizó a 23,3 veces a fin de 2024 y a 25,1 veces a fin de 2025; hoy, a 23,7 veces nuestro BPA de 2027e [21]. Con el BPA del mismo año, 34,5 y 27,3 veces. Es una historia demasiado corta para hablar de prima o descuento: lo que muestra es que el mercado paga por Parkin un múltiplo de concesión de alta calidad parecido al de Salik (22,9 veces), no el de un operador de aparcamientos (Park24, 11,3 veces) [23].</w:t>
      </w:r>
    </w:p>
    <w:p>
      <w:pPr>
        <w:pStyle w:val="Heading1"/>
      </w:pPr>
      <w:r>
        <w:t xml:space="preserve">18. Comparables cotizados</w:t>
      </w:r>
    </w:p>
    <w:p>
      <w:pPr>
        <w:pStyle w:val="Confianza"/>
        <w:spacing w:after="100"/>
      </w:pPr>
      <w:r>
        <w:t xml:space="preserve">Confianza: Media</w:t>
      </w:r>
    </w:p>
    <w:p>
      <w:pPr>
        <w:spacing w:after="100"/>
      </w:pPr>
      <w:r>
        <w:t xml:space="preserve">No hay otro aparcamiento público cotizado con exclusividad. Se usan concesiones y monopolios de infraestructura de transporte con márgenes altos y crecimiento ligado a la población o al tráfico: Salik (peajes de Dubái, misma RTA), Dubai Taxi (movilidad de Dubái), Getlink, Aena, Flughafen Zürich, Transurban y Vinci (concesiones), y Park24 como único operador de aparcamiento grande cotizado [23]. Fuera Atlas Arteria (EV/EBITDA de 227 veces porque consolida solo una parte de sus autopistas). Transurban sin PER (amortización de concesiones).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Dubai Taxi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Park24</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Transurban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Getlink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Flughafen Zürich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11,6x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17,3x / 21,8x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 / 6,1x / 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Parkin cotiza a 23,1 veces el beneficio de los próximos 12 meses y 21,3 veces el EBITDA de los últimos 12, por encima de la mediana de los comparables y en línea con Salik (22,9 veces y 20,5 veces), la concesión más parecida [23]. La prima frente a Aena, Vinci o Park24 se explica por un ROIC del 55,7 %, sin necesidad de capital y con el dividendo del 100 %; pero no es un crecimiento mayor: el consenso espera +6 % en 2027 (Salik +8 %) [22, 23]. El múltiplo que usaríamos es el de Salik: los comparables a la mediana dan un valor muy por debajo del precio porque incluyen negocios con más capital y más ciclo.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con el 1S26 publicado y la guía de agosto: +12,5 % (≈ 1.472 M de ingresos NIIF; consenso 1.486 M con ingresos financieros) [4, 22]. Después, +6,5 % en 2027-2028e, bajando al 4,5 % en 2032e: plazas públicas nuevas al ritmo de 2025-2026 (+4-5 % al año), promotores (Dubai Holding por fases), población (+5-7 %) y una subida de tarifas igual a la inflación cada dos años, que la concesión prevé desde 2026 [4, 10, 13]. No suponemos la revisión de abonos pedida en febrero (va en el alcista). El consenso espera +5,8 % en 2027e y +6,5 % en 2028e [22].</w:t>
      </w:r>
    </w:p>
    <w:p>
      <w:pPr>
        <w:keepNext/>
        <w:spacing w:after="100"/>
      </w:pPr>
      <w:r>
        <w:rPr>
          <w:b/>
          <w:bCs/>
        </w:rPr>
        <w:t xml:space="preserve">Márgenes.</w:t>
      </w:r>
    </w:p>
    <w:p>
      <w:pPr>
        <w:spacing w:after="100"/>
      </w:pPr>
      <w:r>
        <w:t xml:space="preserve">Margen EBITDA del 58,5 % en 2026e (59,5 % en el 1S26) bajando al 58,0 %: el canon ya está provisionado al máximo (27,5 %) y no puede subir más, pero crece la parte de promotores, con alquiler variable y rentas mínimas (alquiler variable de 35,9 M en 2025 y ≈ 83 M estimados por FAB en 2026) [1, 12]. El consenso implica un 59-60 % [22]. Una subida de tarifas por encima de la inflación se reparte al 50 % con la RTA hasta el techo del canon [10].</w:t>
      </w:r>
    </w:p>
    <w:p>
      <w:pPr>
        <w:keepNext/>
        <w:spacing w:after="100"/>
      </w:pPr>
      <w:r>
        <w:rPr>
          <w:b/>
          <w:bCs/>
        </w:rPr>
        <w:t xml:space="preserve">Inversión y circulante.</w:t>
      </w:r>
    </w:p>
    <w:p>
      <w:pPr>
        <w:spacing w:after="100"/>
      </w:pPr>
      <w:r>
        <w:t xml:space="preserve">Capex del 5,8 % de las ventas en 2026e (guía de 45-55 M más ≈ 35 M de derechos de uso de promotores) y del 4,8-4,1 % después, siempre por encima de la amortización a partir de 2027e, que baja del 4,8 % al 3,9 % porque la de la concesión es fija (≈ 29 M al año) [1, 4]. Circulante del 10 % de las ventas, como en 2025 [1]. Las plazas nuevas de la RTA entran en la concesión sin pago adicional [1].</w:t>
      </w:r>
    </w:p>
    <w:p>
      <w:pPr>
        <w:keepNext/>
        <w:spacing w:after="100"/>
      </w:pPr>
      <w:r>
        <w:rPr>
          <w:b/>
          <w:bCs/>
        </w:rPr>
        <w:t xml:space="preserve">Coste del capital.</w:t>
      </w:r>
    </w:p>
    <w:p>
      <w:pPr>
        <w:spacing w:after="100"/>
      </w:pPr>
      <w:r>
        <w:t xml:space="preserve">En dólares (el AED está anclado): Treasury a 10 años 5,09 % (16-oct-2026) más el diferencial soberano de Abu Dabi (Aa2, 0,42 %) = 5,51 % [25, 26]. Beta de 0,70: la de Yahoo tiene solo dos años y medio y va de 0,53 (semanal) a 1,29 (mensual) frente al ETF de Emiratos; 0,70 es la de una concesión regulada con riesgo de demanda [21]. Prima de mercado del 5,5 % y prima adicional del 1,0 % (0,64 % de riesgo país más 0,36 % por depender de una sola concesión y de un solo Gobierno) [26]. Coste de la deuda del 5,1 % y peso del 6 %. Resultado: WACC del 10,02 %, frente al 8,5 % de FAB [12].</w:t>
      </w:r>
    </w:p>
    <w:p>
      <w:pPr>
        <w:keepNext/>
        <w:spacing w:after="100"/>
      </w:pPr>
      <w:r>
        <w:rPr>
          <w:b/>
          <w:bCs/>
        </w:rPr>
        <w:t xml:space="preserve">Valor terminal.</w:t>
      </w:r>
    </w:p>
    <w:p>
      <w:pPr>
        <w:spacing w:after="100"/>
      </w:pPr>
      <w:r>
        <w:t xml:space="preserve">Crecimiento a perpetuidad del 2,75 %, por debajo de la tasa libre menos medio punto: la concesión termina en 2072 y los activos vuelven a la RTA sin pago, así que una perpetuidad sobrestima ≈ 4 % el valor terminal y bajar un cuarto de punto lo compensa [1]. El valor terminal pesa un 66 %. Con el múltiplo de Salik (≈ 20 veces el EBITDA) el valor sería mayor, pero ese múltiplo ya descuenta tipos más bajos de los que usamos.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AE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AE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3,8 %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 (reinvierte el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 frente al 6,6 %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110 M, el 2 % del NOPAT, con un capex bruto medio del 4,6 % de las ventas). En un negocio de activos ligeros, el crecimiento medio del 6,6 %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plazas públicas +8 % interanual a junio, promotores de 19,6k a 61,5k plazas y abonos +38 %; precio: el primer trimestre de 2026 aún recoge la tarifa variable de abril de 2025 (tarifa media 3,02 frente a 2,00 AED) [4,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3,5-5k plazas públicas al año, Dubai Holding por fases (29,6k plazas) y población; precio: subida con la inflación (≈ 2 %) que la concesión prevé pedir cada dos años [4, 10,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sin la revisión de abonos pedida en febrero de 2026, que queda para el alcista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algo menor (menos plazas por convertir en el centro) y precio con la inflación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3,5 %, cerca del crecimiento de la población (5,8 M de habitantes en 2040) [10].</w:t>
            </w:r>
          </w:p>
        </w:tc>
      </w:tr>
    </w:tbl>
    <w:p>
      <w:pPr>
        <w:spacing w:after="160" w:before="0"/>
      </w:pPr>
    </w:p>
    <w:p>
      <w:pPr>
        <w:spacing w:after="100"/>
      </w:pPr>
      <w:r>
        <w:t xml:space="preserve">Sí. El crecimiento proyectado (6,6 % de media en 2026-2032e, 5,7 % en los años no fijos) está muy por debajo del de 2022-2025 (22 % anual) y apenas necesita capital: la concesión incluye sin pago las plazas que la RTA designe, el capex medio es del 4,6 % de las ventas y la reinversión neta acumulada es de 110 M, el 2 % del NOPAT [1]. Como el motor no puede probar la cuota (mercado exclusivo, sin estadística), la prueba es de precio y volumen: la tarifa solo sube con la inflación, que la concesión prevé revisar cada dos años, y el volumen sale de plazas nuevas (9,9k en el 1S26) y de una población que crece un 7,5 % [4, 10, 13]. El ROIC del 55,7 % lo financia con holgura. El riesgo no es de calidad sino de dependencia: el volumen y el precio los decide el Gobierno.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 (base: 5,7 %)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88 % justifica el precio (base: 58,0 %)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 (WACC: 10,0 %)</w:t>
            </w:r>
          </w:p>
        </w:tc>
      </w:tr>
    </w:tbl>
    <w:p>
      <w:pPr>
        <w:spacing w:after="160" w:before="0"/>
      </w:pPr>
    </w:p>
    <w:p>
      <w:pPr>
        <w:spacing w:after="100"/>
      </w:pPr>
      <w:r>
        <w:t xml:space="preserve">El DCF da 3,57 AED por acción, un 38,1 % menos que el precio, con un WACC del 10,02 % y un crecimiento terminal del 2,75 %; el valor terminal pesa el 66 %. El DCF inverso dice que el precio de 5,77 AED descuenta un crecimiento del 15,5 % anual en 2027e-2032e (nuestro base: 5,7 %), o una rentabilidad del 7,4 % al año; ningún margen hasta el 88 % justifica el precio. Es decir, el mercado descuenta un WACC de 7-8 %, el de un bono de concesión, o que la RTA siga dando subidas de precio como la de 2025. Con la prima implícita del mercado (4,2 %) el DCF sube a 4,09 AED, todavía un 29,1 % por debajo. El peso de la diferencia está en el descuento: con un WACC del 8,5 % (el de FAB) y nuestro flujo, el valor se acercaría a 5 AED [12].</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RTA no aprueba la revisión de abonos ni sube tarifas con la inflación, convierte menos plazas y la tensión regional vuelve: las transacciones públicas siguen cayendo como en el 2T26 (−7 %), las multas se normalizan y crecen los contratos de promotores con poco margen. Crecimiento 3 puntos menor y margen 3 puntos menor, con la prima de riesgo medio punto más alta.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Dubái sigue creciendo en población, la RTA añade 4-7k plazas al año y Dubai Holding y DAMAC entran por fases; tarifas con la inflación cada dos años y canon al 27,5 %. Ingresos +6,5 % en 2027-2028e y margen EBITDA del 58 %.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Consejo Ejecutivo aprueba la revisión de abonos y tarifas de febrero de 2026, se acelera la conversión de plazas sin cobrar y crece la expansión regional: +2 puntos de crecimiento y +1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AED) · precio actual 5,7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3,46 AED (-40,0 %).</w:t>
      </w:r>
    </w:p>
    <w:p>
      <w:pPr>
        <w:spacing w:after="100"/>
      </w:pPr>
      <w:r>
        <w:t xml:space="preserve">Con probabilidades 25/50/25, el valor ponderado de los escenarios es de 3,46 AED (-40,0 %). El bajista (2,67 AED, -53,7 %) recoge una RTA que no concede subidas y más peso de promotores; el alcista (4,03 AED, -30,2 %), la revisión de abonos y tarifas aprobada. Ni siquiera el alcista llega al precio: lo que separa el valor del precio es el descuento, no los escenarios de negocio.</w:t>
      </w:r>
    </w:p>
    <w:p>
      <w:pPr>
        <w:pStyle w:val="Heading1"/>
      </w:pPr>
      <w:r>
        <w:t xml:space="preserve">22. Suma de partes</w:t>
      </w:r>
    </w:p>
    <w:p>
      <w:pPr>
        <w:pStyle w:val="Confianza"/>
        <w:spacing w:after="100"/>
      </w:pPr>
      <w:r>
        <w:t xml:space="preserve">Confianza: Media</w:t>
      </w:r>
    </w:p>
    <w:p>
      <w:pPr>
        <w:spacing w:after="100"/>
      </w:pPr>
      <w:r>
        <w:t xml:space="preserve">No aplica: todas las líneas (tarifas, multas, abonos, promotores) comparten la concesión, los sistemas y la plantilla, y la empresa no publica resultados por línea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AED) · precio actual 5,7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3,68 AED (-36,2 % sobre 5,77).</w:t>
      </w:r>
    </w:p>
    <w:p>
      <w:pPr>
        <w:spacing w:after="100"/>
      </w:pPr>
      <w:r>
        <w:t xml:space="preserve">Pesos: DCF 40 %, escenarios 40 % y comparables 20 %; transacciones sin peso (no hay ventas de concesiones de aparcamiento comparables publicadas). Los comparables (Salik, Dubai Taxi, Park24, Transurban, Vinci, Getlink, Aena y Flughafen Zürich; mediana de PER de ≈ 17 veces) son concesiones y operadores de infraestructura, casi todos con más deuda y menos crecimiento; Parkin cotiza a 23,1 veces el beneficio de los próximos doce meses, en línea con Salik (22,9) y con prima sobre todos menos Getlink (30,8) [17, 23]. El puente parte del balance de junio de 2026: préstamo de 1.100 M y arrendamientos (74,7 M) como deuda, indemnizaciones por cese (26,2 M) y el dividendo del 1S26 ya descontado (351,3 M) frente a 463,2 M de caja [4, 28]. Los 300 M de canon diferido no se restan: solo se pagan si Parkin quiebra [1].</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(23.7x) a mitad de camino hacia la mediana de 5 años (24.2x)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r>
    </w:tbl>
    <w:p>
      <w:pPr>
        <w:spacing w:after="160" w:before="0"/>
      </w:pPr>
    </w:p>
    <w:p>
      <w:pPr>
        <w:spacing w:after="100"/>
      </w:pPr>
      <w:r>
        <w:rPr>
          <w:b/>
          <w:bCs/>
        </w:rPr>
        <w:t xml:space="preserve">Objetivo a 12 meses (ponderado):</w:t>
      </w:r>
      <w:r>
        <w:t xml:space="preserve"> 5,90 AED · rentabilidad +6,3 % (base +12,3 %) · señal Mantener.</w:t>
      </w:r>
    </w:p>
    <w:p>
      <w:pPr>
        <w:spacing w:after="100"/>
      </w:pPr>
      <w:r>
        <w:t xml:space="preserve">Para comparar, con la regla v2 (historia al cierre, mismo precio): 20,2x / 23,7x / 30,9x, 14,6 % Mantener. Decide la v3 con tope ×1,1, elegida por el selector de método (historia adelantada de 2 años: decide la más baja de v3 y v2 (v3); METODO-VIGENTE.md).</w:t>
      </w:r>
    </w:p>
    <w:p>
      <w:pPr>
        <w:keepNext/>
        <w:spacing w:after="100"/>
      </w:pPr>
      <w:r>
        <w:rPr>
          <w:b/>
          <w:bCs/>
        </w:rPr>
        <w:t xml:space="preserve">Frente al consenso (solo contraste).</w:t>
      </w:r>
    </w:p>
    <w:p>
      <w:pPr>
        <w:spacing w:after="100"/>
      </w:pPr>
      <w:r>
        <w:t xml:space="preserve">Nuestro BPA de 2026e (0,2271) coincide con el consenso (0,2249) y el de 2027e (0,2431) queda un 5 % por debajo (0,2564); el de 2028e (0,2603), un 5 % por debajo (0,2753) [22]. La diferencia es de ventas: el consenso espera 1.573 M en 2027e y 1.675 M en 2028e con ingresos financieros, casi lo mismo que nosotros (1.568 y 1.669 M sin ellos), pero un margen EBITDA del 60,6 % con los ingresos financieros (≈ 59-60 % sin ellos) frente a nuestro 58,4 %: nosotros dejamos el canon en el 27,5 % que ya provisiona la empresa y damos más peso a los promotores, que dejan poco margen. El objetivo medio (6,51 AED) equivale a 25 veces el BPA de 2027e del consenso.</w:t>
      </w:r>
    </w:p>
    <w:p>
      <w:pPr>
        <w:keepNext/>
        <w:spacing w:after="100"/>
      </w:pPr>
      <w:r>
        <w:rPr>
          <w:b/>
          <w:bCs/>
        </w:rPr>
        <w:t xml:space="preserve">Del valor intrínseco al objetivo a 12 meses.</w:t>
      </w:r>
    </w:p>
    <w:p>
      <w:pPr>
        <w:spacing w:after="100"/>
      </w:pPr>
      <w:r>
        <w:t xml:space="preserve">El objetivo a 12 meses (ponderado 5,90 AED, +6,3 % con el dividendo; base 6,25 AED, +12,3 %) sale de aplicar al BPA de 2028e (0,2603 AED en el base) un PER de 24,0 veces, a medio camino entre el actual (23,7 veces nuestro BPA de 2027e) y la mediana de los dos cierres desde la salida a bolsa (24,2 veces). El bajista (4,43 AED, -19,2 %) aplica 19,2 veces a un BPA con 3 puntos menos de crecimiento y de margen; el alcista (6,68 AED), 24,2 veces con la revisión de abonos y tarifas aprobada. Con solo dos años de historia decide la más baja de las dos reglas: la v2 (PER al cierre) daría +14,6 % ponderada y +10,9 % en el base. El base pasa por poco el 12 %, pero la ponderada (+6,3 %) queda lejos del 15 % y el valor intrínseco (3,68 AED) muy por debajo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6-nov-2026 (estimado)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públicas tras la guerra, cobro de multas y plazas nuevas; primer trimestre con IVA completo [4,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Consejo Ejecutivo sobre abonos y tarifas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(sin subida) del alcista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y dividendo del 2S26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plazas y de promotores; canon definitivo con la RTA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contratos fuera de Dubái (Abu Dabi, Bahréin, Egipto)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sin depender de la RTA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Fases de Dubai Holding (29,6k plazas) y DAMAC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promotores, de menos margen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la RTA y del Gobierno de Dubái: tarifas, plazas nuevas, abonos y canon se deciden fuera de la empresa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Concesión de 49 años con compensación del 130 % del valor de mercado si se cancelan plazas, subidas por inflación previstas y un accionista (Fondo de Inversión de Dubái) que quiere dividendos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decisión sobre abonos y tarifas en 2027, o canon por encima del 27,5 %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crecimiento de 2025 no se repite: fue de precio (tarifa variable) y de multas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Plazas gratuitas por convertir, promotores y población; el base ya crece solo el 6,5 % [4,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públicas a la baja otros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geopolítico del Golfo (Irán) y de un solo emirato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en precio, −5 % en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en AED anclado al dólar y caja; prima adicional de 1 punto en el WACC [26].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conflicto; en marzo de 2026 la acción cayó un 33 % y el DFM un 22 % [30, 32]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Multas: menos emisión o cobro peor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automático con coches con cámaras (37 en el 2T26, 25 un año antes)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cobro por debajo del 70 %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acciones del Fondo de Inversión de Dubái (75 %)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Precio −5-10 % temporal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flotante y peso en índices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acelerada anunciada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en la movilidad: transporte público, coche autónomo y alquiler por minutos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Dubái sigue planificando con coche privado y la población crece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por habitante a la baja varios años</w:t>
            </w:r>
          </w:p>
        </w:tc>
      </w:tr>
    </w:tbl>
    <w:p>
      <w:pPr>
        <w:spacing w:after="160" w:before="0"/>
      </w:pPr>
    </w:p>
    <w:p>
      <w:pPr>
        <w:pStyle w:val="Heading2"/>
      </w:pPr>
      <w:r>
        <w:t xml:space="preserve">Pre-mortem</w:t>
      </w:r>
    </w:p>
    <w:p>
      <w:pPr>
        <w:spacing w:after="100"/>
      </w:pPr>
      <w:r>
        <w:t xml:space="preserve">Octubre de 2027: la acción ha perdido un 25 %. No hubo ningún escándalo: el Consejo Ejecutivo de Dubái, ante el coste de la vida, no aprobó la subida de abonos ni de tarifas, y la RTA fijó el canon variable al 27,5 % de forma definitiva. Las transacciones públicas se estancaron tras el cambio de usuarios a abonos baratos, las multas se normalizaron y el crecimiento bajó al 4 % con los promotores, de poco margen. El mercado dejó de pagar 23 veces por una concesión que crece como una utility y la llevó a 18, la de sus comparables, mientras un repunte de tensión con Irán vaciaba el DFM. La señal que se ignoró: en el 2T26 ya caían las transacciones públicas y la petición de febrero de 2026 seguía sin respuesta.</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Favorable · </w:t>
      </w:r>
      <w:r>
        <w:rPr>
          <w:b/>
          <w:bCs/>
        </w:rPr>
        <w:t xml:space="preserve">Efecto en valor (3-5 años):</w:t>
      </w:r>
      <w:r>
        <w:t xml:space="preserve"> +0 a +5 %</w:t>
      </w:r>
    </w:p>
    <w:p>
      <w:pPr>
        <w:spacing w:after="100"/>
      </w:pPr>
      <w:r>
        <w:t xml:space="preserve">La IA no amenaza el negocio: nadie aparca menos porque exista la IA, y la concesión es exclusiva. Lo que hace es abaratar y ampliar el cobro: cámaras y vehículos de control automático con reconocimiento de matrículas (más multas por inspector y menos coste de personal) y acuerdos como el de Emaar para vigilar con IA Dubai Mall y Dubai Hills Mall [15]. El riesgo indirecto es de largo plazo y pequeño: coches autónomos y alquiler por minutos que reduzcan el aparcamiento en la calle; en Dubái no se ve antes de 2035. Un riesgo menor: que más eficiencia del control dé más multas y más presión pública contra las tarifas. Neto, ligeramente favorable para el margen, sin efecto en el caso base.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social y de gobierno, no climático. Social: el precio del aparcamiento y las multas son un asunto político en una ciudad con el coste de la vida al alza; una subida mal recibida puede frenarse (la petición de febrero de 2026 sigue sin respuesta) [19]. Gobierno: el Estado a ambos lados de casi todas las operaciones [1]. Ambiental: el aparcamiento de pago reduce el tráfico de búsqueda y la tarifa variable de 2025 se justificó por la congestión; los cargadores para coches eléctricos son una línea de negocio prevista en el folleto [10].</w:t>
      </w:r>
    </w:p>
    <w:p>
      <w:pPr>
        <w:pStyle w:val="Heading2"/>
      </w:pPr>
      <w:r>
        <w:t xml:space="preserve">Controversias</w:t>
      </w:r>
    </w:p>
    <w:p>
      <w:pPr>
        <w:spacing w:after="100"/>
      </w:pPr>
      <w:r>
        <w:t xml:space="preserve">Sin sanciones, litigios ni incidentes de datos publicados en los últimos tres años. Hay quejas recurrentes en prensa sobre multas y tarifas (la tarifa variable de 2025, el IVA del 5 % desde junio de 2026) [18].</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pidió exactamente Parkin a la RTA en febrero de 2026 (precio de abonos, tarifas, zonas) y qué calendario tiene la decisión?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separa el base del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provisiona el canon al 27,5 % y qué falta para cerrar la negociación con la RTA?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los próximos 46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caída de transacciones públicas del 2T26 es de la guerra y cuánto del paso a abonos baratos?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Saber si el volumen crece sin subidas.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bajó la tasa de cobro al 75 % y cuántas multas se emiten por control automático?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tercio de los ingresos.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Expansión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y qué capital exigen los contratos fuera de Dubái y los de promotores con renta mínima?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futuro con menos margen.</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32 (13 primarias); citas distintas en el texto: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0,0 %: explica la causa (créditos fiscales, regularizaciones, mezcla de países) y no lo proyectes en el DCF. Explicación: Cero: en 2023 el aparcamiento era una unidad de la RTA, un organismo público sin impuesto de sociedades; el impuesto federal del 9 % empezó a aplicarse a Parkin en 2024 [1, 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 explica la causa (créditos fiscales, regularizaciones, mezcla de países) y no lo proyectes en el DCF. Explicación: Es el tipo legal: impuesto federal de sociedades de Emiratos del 9 % sobre el beneficio que pasa de 375.000 AED, vigente para Parkin desde su primer ejercicio (2024); sin diferidos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9,0 %: explica la causa (créditos fiscales, regularizaciones, mezcla de países) y no lo proyectes en el DCF. Explicación: Tipo legal del 9 % (61,9 M sobre 687,4 M) [1]. El DCF usa el 9 %; el riesgo de un impuesto mínimo del 15 % (Pilar 2) no aplica hoy a un grupo de 1.300 M de ventas sin filiales fuera, y va en riesgos.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10,0 % real: genera una variación de circulante de 16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3T24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3T25 (solo el crecimiento, +36 %); 2) cuentas anuales 2024 (sin trimestres); 3) derivarlo del +36 % redondeado daría un dato impreciso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completa 2021 y BPA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de admisión (solo ingresos y EBITDA); 2) información pro forma de 2023 (solo 2023); 3) las cuentas carve-out completas de 2021-2022 no están en el DFM en una versión legible y no hay acciones antes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2021 solo con ingresos y EBITDA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y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de admisión: solo plazas y crecimiento previsto de la demanda, sin cifra en dirhams; 2) Dubai Statistics / RTA: no publican ingresos del aparcamiento de pago; 3) informes de mercado (Mordor, 6Wresearch) de pago y con perímetros de todo el país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la proyección propia por plazas y tarifa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«posición dominante» sin cifra; 2) comunicados: tampoco; 3) sin datos de ingresos de los operadores privados de Dubái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en aparcamiento público es exclusiva (100 %)</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y Sustainalytics: sin ficha pública de Parkin; 2) informe de sostenibilidad 2025: no localizado en el DFM; 3) CDP: sin respuesta registrada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independientes, votos y remuneración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corporativo 2025 en el DFM: no encontrado con el buscador ni en feeds.dfm.ae; 2) web de la empresa (parkin.ae): la sección de inversores no responde (404) y se genera con JavaScript; 3) cuentas 2025: solo la remuneración total de la alta dirección (7,3 M AED, 5,9 M en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consejo del informe de administradores y el folleto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(operaciones de consejeros y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DFM, comunicaciones de operaciones de insiders: sin acceso al buscador; 2) prensa: ninguna noticia; 3) cuentas: sin pagos en acciones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 de SP+ por Metropolis (2023-2024, EV ≈ 1.500 M USD): el comunicado no da el EBITDA de referencia; 2) operadores europeos (Indigo, APCOA, Saba, Q-Park): participaciones privadas sin múltiplo publicado; 3) Golfo (Q Mobility, concesión de Parkin): sin precio ni EBITDA comparables (la concesión de la RTA no es una compraventa a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peso cero en la síntesis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recomendaciones (desglose)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media «Outperform» sin desglose; 2) Yahoo: «buy» de 8; 3) prensa: FAB «Comprar» (ago-26) y Simply Wall St (6 analistas)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desglose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DFM: el préstamo de valores no publica posiciones cortas por emisor; 2) Yahoo: sin dato; 3) prensa: sin noticias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Stocktwits (API de PARKIN): 404; 2) Reddit (búsqueda) e Investing (comentarios): 403; 3) búsqueda web de foros en inglés y árabe: solo noticias y fichas de dividendos, sin debate legible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completa (peso en la síntesis)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SP+ (Metropolis, 2023): sin EBITDA de referencia en el comunicado; 2) operadores europeos de aparcamiento: operaciones privadas sin múltiplo; 3) la concesión de la RTA (1.400 M) no es una compraventa a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peso cero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for the year ended 31 December 2025 (PwC, opinión favorable): cuenta, balance y flujos 2025 y 2024; ingresos por línea (nota 6), deuda (22), impuesto de sociedades del 9 % (25), pasivos de contrato (26), concesión y canon variable (27), vinculadas (19), BPA (31)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Parkin Company P.J.S.C. (DFM)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https://feeds.dfm.ae/documents/2026/Feb/25/df5c9fbc-fd22-4b47-a163-5a51b5086753/Parkin%20FY%202025%20FS%20EN.pdf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Condensed consolidated interim financial statements, three months ended 31 March 2026 (revisión limitada de PwC): balance a 31-mar-2026, cuenta y flujos del 1T26, dividendo de 343,7 M declarado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Parkin Company P.J.S.C. (DFM)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https://feeds.dfm.ae/documents/2026/May/6/ffffcfe8-fdc6-4f65-b93d-35b3b4a0313a/Q1%202026%20FS%20ENG%206%20May%202026.Pdf.pdf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six months ended 30 June 2025 (PwC): cuenta del 2T25 y del 1S25 con comparativos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 Company P.J.S.C. (DFM)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https://feeds.dfm.ae/documents/2025/Aug/7/2655f989-2027-4644-a037-c159a4bc9711/Parkin%20Q2%202025%20FS%20Si.pdf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 delivers strong financial performance in Q2 2026 (comunicado de resultados: ingresos por segmento, plazas, transacciones, canon, deuda neta de 710,1 M, guía 2026 revisada)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 Company P.J.S.C. (vía Zawya)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https://www.zawya.com/en/press-release/companies-news/parkin-delivers-strong-financial-performance-in-q2-2026-456555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Parkin’s Q1 2026 Results Demonstrate Resilience and Growth Momentum (comunicado al DFM: KPI, tarifas por zona, abonos, canon provisionado al 27,5 %, política de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 Company P.J.S.C. (DFM)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https://feeds.dfm.ae/documents/2026/May/6/4909aa03-0a6a-43d9-aff6-ae5b75c85465/Parkin%20Q1%202026%20DFM%20ENG%20FINAL%206%20May%202026.Pdf.pdf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 delivers record annual and quarterly revenues (resultados del 4T25 y de 2025, guía 2026, petición de revisión de tarifas a la 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Dubai Media Office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https://mediaoffice.ae/en/news/2026/february/25-02/parkin-delivers-record-annual-and-quarterly-revenues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 reports record quarterly results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Dubai Media Office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https://mediaoffice.ae/en/news/2025/november/07-11/parkin-reports-record-quarterly-results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 Company PJSC Preliminary Results Brief for the Year Ended 31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 Company P.J.S.C. (DFM)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https://feeds.dfm.ae/documents//2025/Feb/13/a698f5cc-6998-4c17-9e1e-58852377e3db/2024%20DFM%20ENG%20Parkin%20.pdf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RTA – Parking Business: Unaudited pro-forma financial information as at and for the year ended 31 December 2023 (columna «carve-out» y ajustes pro forma de la concesión)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Roads and Transport Authority / Parkin (DFM)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https://feeds.dfm.ae/documents/2024/Mar/20/9f22e1a3-ffb8-41f4-af5f-c89fbbec0a28/PARKIN_FS_ANN2_2023_E_20_03_2024.pdf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Listing Prospectus – Parkin Company P.J.S.C. (ingresos y EBITDA del negocio de aparcamiento 2021-2023, concesión, canon, cláusulas de compensación)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 Company P.J.S.C. (DFM)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https://feeds.dfm.ae/documents/2024/Mar/20/e1b37c25-3449-46b9-a0bd-4186101515dc/PARKIN_Listing%20Prospectus_E.pdf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series anuales (fundamentals-timeseries) de PARKIN.AE: cuenta y flujos «carve-out» de 2022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https://finance.yahoo.com/quote/PARKIN.AE/financials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Look Note 2Q26 – Parkin Company PJSC (cuenta del 2T26 según NIIF: ingresos 360 M, amortizaciones 20 M; estimaciones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FAB Securities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https://fabsresearch.bankfab.com/ResearchPortal/Download/Index/1611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Dubai population tops 4.580 million by end of 2025, records 7.5% growth (Dubai Data and Statistics Establishment)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https://www.wam.ae/en/article/c1hd5qo-dubai-population-tops-4580-million-end-2025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 to Introduce Smart, Community-Centric Parking Solutions (acuerdo con Dubai Holding, ≈ 29,6k plazas)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 Company P.J.S.C. (DFM)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https://feeds.dfm.ae/documents//2025/Aug/4/61fc6da4-393c-4319-a229-838cf638e6bd/Parkin%20X%20Dubai%20Holdi.pdf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 to Deploy AI-Driven Enforcement at Dubai Mall, Dubai Hills Mall and Marina Mall Under New EMAAR Agreement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 Company P.J.S.C. (DFM)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https://feeds.dfm.ae/documents/2026/May/3/e5af9094-4097-4746-8a52-e4145e1bd997/EMAAR%20Malls%20Pod%20Enforcement%20ENG%20FINAL.Pdf.pdf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Dubai’s Parkin to expand into Bahrain and Egypt as network continues to grow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https://www.thenationalnews.com/news/uae/2026/08/24/dubais-parkin-to-expand-into-bahrain-and-egypt-as-network-continues-to-grow/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fichas (quoteSummary) de Salik, Park24 y Transurban: ingresos y margen operativo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https://finance.yahoo.com/quote/SALIK.AE/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Dubai’s Parkin announces 5% VAT on all parking services starting June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Khaleej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https://www.khaleejtimes.com/uae/transport/parkin-announces-5-vat-to-all-parking-services-starting-june-1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Dubai parking fees could rise after Parkin submits tariff hike request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Gulf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https://gulfnews.com/business/markets/dubai-parking-fees-could-rise-after-parkin-submits-tariff-hike-request-1.500455827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 posts 50% profit rise in Q3 2025, revises full-year guidance upward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Gulf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https://gulfbusiness.com/en/2025/finance/parkin-posts-50-profit-rise-in-q3-2025-revises-full-year-guidance-upward/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(PARKIN.AE, ETF iShares MSCI UAE y ETF de infraestructuras globales IGF), con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https://finance.yahoo.com/quote/PARKIN.AE/history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 Company: estimaciones anuales 2026-2028 (ventas con ingresos financieros, EBITDA, EBIT, beneficio, BPA, dividendo), 9 analistas, objetivo medio 6,512 AED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https://www.marketscreener.com/quote/stock/PARKIN-COMPANY-167442725/finances/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PARKIN.AE (8 analistas, objetivo 5,55-7,30) y comparables (Salik, Dubai Taxi, Park24, Transurban, Atlas Arteria, Vinci, Getlink, Aena, Flughafen Zürich)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https://finance.yahoo.com/quote/PARKIN.AE/analysis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Parkin Company: consenso tras el 2T26 (6 analistas, objetivo 6,34 AED, 5,35-7,00)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https://www.webull.com.au/news-detail/15415713586824192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 5,09 %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(Abu Dabi, Aa2: diferencial soberano 0,42 %, prima de país 0,64 %)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dividendos de PARKIN.AE (0,117125 AED del 1S26, fecha ex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https://finance.yahoo.com/quote/PARKIN.AE/history?filter=div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DFM Exchange Dubai: acceso de los clientes de Interactive Brokers a la bolsa de Dubái (desde 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https://www.interactivebrokers.co.uk/en/trading/dfm-exchange-dubai.php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Dubai and Qatar stock indexes plunge in Iran war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AGBI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https://www.agbi.com/markets/2026/03/dubai-and-qatar-stock-indexes-plunge-in-iran-war/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Dubai parking operator increases revenue despite impact of Iran war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https://www.thenationalnews.com/news/uae/2026/08/13/dubai-parking-operator-increases-revenue-despite-impact-of-iran-war/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Dubai stocks slip briefly into bear market territory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Enterprise 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https://enterpriseam.com/uae/2026/03/17/dubai-stocks-slip-briefly-into-bear-market-territory/</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79,1 %</w:t>
      </w:r>
      <w:r>
        <w:t xml:space="preserve"> · Secciones con menos del 60 % de campos cubiertos: </w:t>
      </w:r>
      <w:r>
        <w:rPr>
          <w:b/>
          <w:bCs/>
        </w:rPr>
        <w:t xml:space="preserve">gobierno, transacciones, sentimiento, rentabilidad</w:t>
      </w:r>
      <w:r>
        <w:t xml:space="preserve"> · Generado el 20 oct 2026.</w:t>
      </w:r>
    </w:p>
    <w:p>
      <w:pPr>
        <w:pStyle w:val="Nota"/>
        <w:spacing w:after="100"/>
      </w:pPr>
      <w:r>
        <w:t xml:space="preserve">Cotiza solo en el Dubai Financial Market (PARKIN), en AED (anclado al dólar a 3,6725), de lunes a viernes de 10:00 a 15:00 de Dubái (6:00-11:00 UTC). Desde diciembre de 2025 los clientes de Interactive Brokers pueden operar en el DFM pidiendo el permiso de esa bolsa [29]. Liquidez: ≈ 7,5 M AED (≈ 2 M USD) al día en tres meses, de sobra para una posición de 1.000-7.000 EUR [21]. Cuentas: Emiratos no tiene XBRL en la herramienta del repo; las cifras salen de las cuentas auditadas por PwC de 2025 (con 2024 comparativo), de los intermedios revisados del 1T26 y del 1S25 y de los comunicados de resultados, bajados del DFM (fuente primaria) [1, 2, 3, 4, 5, 6, 7, 8]. El balance del 31-mar-2026 viene escaneado y se leyó como imagen [2]. </w:t>
      </w:r>
      <w:r>
        <w:rPr>
          <w:b/>
        </w:rPr>
        <w:t xml:space="preserve">Historial corto</w:t>
      </w:r>
      <w:r>
        <w:t xml:space="preserve">: Parkin funciona como sociedad desde el 1-ene-2024; 2021-2023 son cifras del negocio de aparcamiento dentro de la RTA (sin canon de concesión, sin impuesto, sin deuda y con costes asignados), de 2022 solo hay la cuenta resumida que publica Yahoo a partir de las cuentas «carve-out», de 2021 solo ingresos y EBITDA del folleto, y el balance de 2023 es el pro forma con la concesión [9, 10, 11]. El 2T26 no tiene aún intermedio legible: ingresos NIIF (≈ 360 M) y amortizaciones (≈ 20 M) de la nota de FAB y deuda neta del comunicado [4, 12]. La empresa llama «EBITDA» a una cifra que incluye los intereses cobrados (798,2 M en 2025); el informe usa el EBITDA sin ellos (782,6 M) y los trimestres van como los publica la empresa. Índice: el DFM General Index no tiene serie en Yahoo; rentabilidades y beta contra el ETF iShares MSCI UAE (UAE) y sector contra el ETF de infraestructuras globales (IGF); la beta de Yahoo tiene solo dos años y medio de historia [21]. </w:t>
      </w:r>
      <w:r>
        <w:rPr>
          <w:b/>
        </w:rPr>
        <w:t xml:space="preserve">Precio</w:t>
      </w:r>
      <w:r>
        <w:t xml:space="preserve">: cierre del martes 20-oct-2026, 5,77 AED (última operación a las 10:57 UTC; el DFM cierra a las 11:00 UTC), ya sin el dividendo del 1S26 (fecha ex el 14-oct; 0,117 AED por acción que se pagan después del corte y que el puente resta de la caja) [21, 28]. Sin foros con debate legible: la sección de sentimiento no se imprime.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Parkin Company P.J.S.C. (PARKIN)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(AED) · precio actual 5,77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(4,38 – 6,50)</c:v>
                </c:pt>
                <c:pt idx="1">
                  <c:v>Precio objetivo de los analistas (5,55 – 7,30)</c:v>
                </c:pt>
                <c:pt idx="2">
                  <c:v>Comparables: PER NTM (3,45 – 5,45)</c:v>
                </c:pt>
                <c:pt idx="3">
                  <c:v>DCF (WACC y g ± 0,5) (3,16 – 4,10)</c:v>
                </c:pt>
                <c:pt idx="4">
                  <c:v>Escenarios (bajista – alcista) (2,67 – 4,03)</c:v>
                </c:pt>
                <c:pt idx="5">
                  <c:v>DCF con la prima implícita del mercado (4,2 %)</c:v>
                </c:pt>
                <c:pt idx="6">
                  <c:v>Precio actual (5,77)</c:v>
                </c:pt>
              </c:strCache>
            </c:strRef>
          </c:cat>
          <c:val>
            <c:numRef>
              <c:f>Hoja1!$B$2:$B$8</c:f>
              <c:numCache>
                <c:formatCode>#,##0.00</c:formatCode>
                <c:ptCount val="7"/>
                <c:pt idx="0">
                  <c:v>4.38</c:v>
                </c:pt>
                <c:pt idx="1">
                  <c:v>5.55</c:v>
                </c:pt>
                <c:pt idx="2">
                  <c:v>3.45</c:v>
                </c:pt>
                <c:pt idx="3">
                  <c:v>3.16</c:v>
                </c:pt>
                <c:pt idx="4">
                  <c:v>2.67</c:v>
                </c:pt>
                <c:pt idx="5">
                  <c:v>3.77</c:v>
                </c:pt>
                <c:pt idx="6">
                  <c:v>5.74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(4,38 – 6,50)</c:v>
                </c:pt>
                <c:pt idx="1">
                  <c:v>Precio objetivo de los analistas (5,55 – 7,30)</c:v>
                </c:pt>
                <c:pt idx="2">
                  <c:v>Comparables: PER NTM (3,45 – 5,45)</c:v>
                </c:pt>
                <c:pt idx="3">
                  <c:v>DCF (WACC y g ± 0,5) (3,16 – 4,10)</c:v>
                </c:pt>
                <c:pt idx="4">
                  <c:v>Escenarios (bajista – alcista) (2,67 – 4,03)</c:v>
                </c:pt>
                <c:pt idx="5">
                  <c:v>DCF con la prima implícita del mercado (4,2 %)</c:v>
                </c:pt>
                <c:pt idx="6">
                  <c:v>Precio actual (5,77)</c:v>
                </c:pt>
              </c:strCache>
            </c:strRef>
          </c:cat>
          <c:val>
            <c:numRef>
              <c:f>Hoja1!$C$2:$C$8</c:f>
              <c:numCache>
                <c:formatCode>#,##0.00</c:formatCode>
                <c:ptCount val="7"/>
                <c:pt idx="0">
                  <c:v>2.12</c:v>
                </c:pt>
                <c:pt idx="1">
                  <c:v>1.75</c:v>
                </c:pt>
                <c:pt idx="2">
                  <c:v>2</c:v>
                </c:pt>
                <c:pt idx="3">
                  <c:v>0.9399999999999995</c:v>
                </c:pt>
                <c:pt idx="4">
                  <c:v>1.3600000000000003</c:v>
                </c:pt>
                <c:pt idx="5">
                  <c:v>0.6999999999999997</c:v>
                </c:pt>
                <c:pt idx="6">
                  <c:v>0.05999999999999961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(AED, millones)</a:t>
            </a:r>
          </a:p>
        </c:rich>
      </c:tx>
      <c:overlay val="0"/>
    </c:title>
    <c:autoTitleDeleted val="0"/>
    <c:plotArea>
      <c:layout/>
      <c:barChart>
        <c:barDir val="col"/>
        <c:grouping val="stacked"/>
        <c:varyColors val="0"/>
        <c:ser>
          <c:idx val="0"/>
          <c:order val="0"/>
          <c:tx>
            <c:strRef>
              <c:f>Hoja1!$B$1</c:f>
              <c:strCache>
                <c:ptCount val="1"/>
                <c:pt idx="0">
                  <c:v>Aparcamiento público (calle y superficie)</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404.6</c:v>
                </c:pt>
                <c:pt idx="1">
                  <c:v>524.5</c:v>
                </c:pt>
              </c:numCache>
            </c:numRef>
          </c:val>
        </c:ser>
        <c:ser>
          <c:idx val="1"/>
          <c:order val="1"/>
          <c:tx>
            <c:strRef>
              <c:f>Hoja1!$C$1</c:f>
              <c:strCache>
                <c:ptCount val="1"/>
                <c:pt idx="0">
                  <c:v>Multas (enforcement)</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249.1</c:v>
                </c:pt>
                <c:pt idx="1">
                  <c:v>408.7</c:v>
                </c:pt>
              </c:numCache>
            </c:numRef>
          </c:val>
        </c:ser>
        <c:ser>
          <c:idx val="2"/>
          <c:order val="2"/>
          <c:tx>
            <c:strRef>
              <c:f>Hoja1!$D$1</c:f>
              <c:strCache>
                <c:ptCount val="1"/>
                <c:pt idx="0">
                  <c:v>Abonos y permisos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152.8</c:v>
                </c:pt>
                <c:pt idx="1">
                  <c:v>222</c:v>
                </c:pt>
              </c:numCache>
            </c:numRef>
          </c:val>
        </c:ser>
        <c:ser>
          <c:idx val="3"/>
          <c:order val="3"/>
          <c:tx>
            <c:strRef>
              <c:f>Hoja1!$E$1</c:f>
              <c:strCache>
                <c:ptCount val="1"/>
                <c:pt idx="0">
                  <c:v>Aparcamientos de promotores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69.5</c:v>
                </c:pt>
                <c:pt idx="1">
                  <c:v>94</c:v>
                </c:pt>
              </c:numCache>
            </c:numRef>
          </c:val>
        </c:ser>
        <c:ser>
          <c:idx val="4"/>
          <c:order val="4"/>
          <c:tx>
            <c:strRef>
              <c:f>Hoja1!$F$1</c:f>
              <c:strCache>
                <c:ptCount val="1"/>
                <c:pt idx="0">
                  <c:v>Edificios de aparcamiento (MSCP)</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11.8</c:v>
                </c:pt>
                <c:pt idx="1">
                  <c:v>14.4</c:v>
                </c:pt>
              </c:numCache>
            </c:numRef>
          </c:val>
        </c:ser>
        <c:ser>
          <c:idx val="5"/>
          <c:order val="5"/>
          <c:tx>
            <c:strRef>
              <c:f>Hoja1!$G$1</c:f>
              <c:strCache>
                <c:ptCount val="1"/>
                <c:pt idx="0">
                  <c:v>Reservas y otros</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28</c:v>
                </c:pt>
                <c:pt idx="1">
                  <c:v>44.7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Aparcamiento público (calle y superficie)</c:v>
                </c:pt>
                <c:pt idx="1">
                  <c:v>Multas (enforcement)</c:v>
                </c:pt>
                <c:pt idx="2">
                  <c:v>Abonos y permisos</c:v>
                </c:pt>
                <c:pt idx="3">
                  <c:v>Aparcamientos de promotores</c:v>
                </c:pt>
                <c:pt idx="4">
                  <c:v>Edificios de aparcamiento (MSCP)</c:v>
                </c:pt>
                <c:pt idx="5">
                  <c:v>Reservas y otros</c:v>
                </c:pt>
              </c:strCache>
            </c:strRef>
          </c:cat>
          <c:val>
            <c:numRef>
              <c:f>Hoja1!$B$2:$B$7</c:f>
              <c:numCache>
                <c:formatCode>General</c:formatCode>
                <c:ptCount val="6"/>
                <c:pt idx="0">
                  <c:v>40.1</c:v>
                </c:pt>
                <c:pt idx="1">
                  <c:v>31.2</c:v>
                </c:pt>
                <c:pt idx="2">
                  <c:v>17</c:v>
                </c:pt>
                <c:pt idx="3">
                  <c:v>7.2</c:v>
                </c:pt>
                <c:pt idx="4">
                  <c:v>1.1</c:v>
                </c:pt>
                <c:pt idx="5">
                  <c:v>3.4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Emirato de Dubái</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2</c:v>
                </c:pt>
                <c:pt idx="2">
                  <c:v>4</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Parkin</c:v>
                </c:pt>
                <c:pt idx="1">
                  <c:v>Salik</c:v>
                </c:pt>
                <c:pt idx="2">
                  <c:v>Park24</c:v>
                </c:pt>
                <c:pt idx="3">
                  <c:v>Transurban</c:v>
                </c:pt>
                <c:pt idx="4">
                  <c:v>Q Mobility (Abu Dabi)</c:v>
                </c:pt>
                <c:pt idx="5">
                  <c:v>Operadores privados y promotores (Emaar, Majid Al Futtaim, operadores internacionales)</c:v>
                </c:pt>
              </c:strCache>
            </c:strRef>
          </c:cat>
          <c:val>
            <c:numRef>
              <c:f>Hoja1!$B$2:$B$7</c:f>
              <c:numCache>
                <c:formatCode>0.0"%"</c:formatCode>
                <c:ptCount val="6"/>
                <c:pt idx="0">
                  <c:v>55.9</c:v>
                </c:pt>
                <c:pt idx="1">
                  <c:v>63.3</c:v>
                </c:pt>
                <c:pt idx="2">
                  <c:v>11.4</c:v>
                </c:pt>
                <c:pt idx="3">
                  <c:v>24.3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(AED,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590.6</c:v>
                </c:pt>
                <c:pt idx="1">
                  <c:v>686.2</c:v>
                </c:pt>
                <c:pt idx="2">
                  <c:v>779.4</c:v>
                </c:pt>
                <c:pt idx="3">
                  <c:v>915.8</c:v>
                </c:pt>
                <c:pt idx="4">
                  <c:v>1308.3</c:v>
                </c:pt>
                <c:pt idx="5">
                  <c:v>1472</c:v>
                </c:pt>
                <c:pt idx="6">
                  <c:v>1568</c:v>
                </c:pt>
                <c:pt idx="7">
                  <c:v>1669</c:v>
                </c:pt>
                <c:pt idx="8">
                  <c:v>1770</c:v>
                </c:pt>
                <c:pt idx="9">
                  <c:v>1867</c:v>
                </c:pt>
                <c:pt idx="10">
                  <c:v>1960</c:v>
                </c:pt>
                <c:pt idx="11">
                  <c:v>2048</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240.3</c:v>
                </c:pt>
                <c:pt idx="1">
                  <c:v>336.5</c:v>
                </c:pt>
                <c:pt idx="2">
                  <c:v>414.4</c:v>
                </c:pt>
                <c:pt idx="3">
                  <c:v>569</c:v>
                </c:pt>
                <c:pt idx="4">
                  <c:v>782.6</c:v>
                </c:pt>
                <c:pt idx="5">
                  <c:v>861</c:v>
                </c:pt>
                <c:pt idx="6">
                  <c:v>915</c:v>
                </c:pt>
                <c:pt idx="7">
                  <c:v>973</c:v>
                </c:pt>
                <c:pt idx="8">
                  <c:v>1030</c:v>
                </c:pt>
                <c:pt idx="9">
                  <c:v>1085</c:v>
                </c:pt>
                <c:pt idx="10">
                  <c:v>1137</c:v>
                </c:pt>
                <c:pt idx="11">
                  <c:v>1188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40.7</c:v>
                </c:pt>
                <c:pt idx="1">
                  <c:v>49</c:v>
                </c:pt>
                <c:pt idx="2">
                  <c:v>53.2</c:v>
                </c:pt>
                <c:pt idx="3">
                  <c:v>62.1</c:v>
                </c:pt>
                <c:pt idx="4">
                  <c:v>59.8</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1">
                  <c:v>46</c:v>
                </c:pt>
                <c:pt idx="2">
                  <c:v>50.7</c:v>
                </c:pt>
                <c:pt idx="3">
                  <c:v>56.9</c:v>
                </c:pt>
                <c:pt idx="4">
                  <c:v>55.9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1">
                  <c:v>46</c:v>
                </c:pt>
                <c:pt idx="2">
                  <c:v>50.6</c:v>
                </c:pt>
                <c:pt idx="3">
                  <c:v>46.2</c:v>
                </c:pt>
                <c:pt idx="4">
                  <c:v>47.8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25</c:v>
                </c:pt>
                <c:pt idx="3">
                  <c:v>54.8</c:v>
                </c:pt>
                <c:pt idx="4">
                  <c:v>43.5</c:v>
                </c:pt>
                <c:pt idx="5">
                  <c:v>46.9</c:v>
                </c:pt>
                <c:pt idx="6">
                  <c:v>41</c:v>
                </c:pt>
                <c:pt idx="7">
                  <c:v>13.6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2023</c:v>
                </c:pt>
                <c:pt idx="1">
                  <c:v>2024</c:v>
                </c:pt>
                <c:pt idx="2">
                  <c:v>2025</c:v>
                </c:pt>
              </c:strCache>
            </c:strRef>
          </c:cat>
          <c:val>
            <c:numRef>
              <c:f>Hoja1!$B$2:$B$4</c:f>
              <c:numCache>
                <c:formatCode>0</c:formatCode>
                <c:ptCount val="3"/>
                <c:pt idx="0">
                  <c:v>107</c:v>
                </c:pt>
                <c:pt idx="1">
                  <c:v>144</c:v>
                </c:pt>
                <c:pt idx="2">
                  <c:v>124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Hoja1!$A$2:$A$4</c:f>
              <c:strCache>
                <c:ptCount val="3"/>
                <c:pt idx="0">
                  <c:v>2023</c:v>
                </c:pt>
                <c:pt idx="1">
                  <c:v>2024</c:v>
                </c:pt>
                <c:pt idx="2">
                  <c:v>2025</c:v>
                </c:pt>
              </c:strCache>
            </c:strRef>
          </c:cat>
          <c:val>
            <c:numRef>
              <c:f>Hoja1!$C$2:$C$4</c:f>
              <c:numCache>
                <c:formatCode>0</c:formatCode>
                <c:ptCount val="3"/>
                <c:pt idx="0">
                  <c:v>0</c:v>
                </c:pt>
                <c:pt idx="1">
                  <c:v>0</c:v>
                </c:pt>
                <c:pt idx="2">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Hoja1!$A$2:$A$4</c:f>
              <c:strCache>
                <c:ptCount val="3"/>
                <c:pt idx="0">
                  <c:v>2023</c:v>
                </c:pt>
                <c:pt idx="1">
                  <c:v>2024</c:v>
                </c:pt>
                <c:pt idx="2">
                  <c:v>2025</c:v>
                </c:pt>
              </c:strCache>
            </c:strRef>
          </c:cat>
          <c:val>
            <c:numRef>
              <c:f>Hoja1!$D$2:$D$4</c:f>
              <c:numCache>
                <c:formatCode>0</c:formatCode>
                <c:ptCount val="3"/>
                <c:pt idx="0">
                  <c:v>81</c:v>
                </c:pt>
                <c:pt idx="1">
                  <c:v>183</c:v>
                </c:pt>
                <c:pt idx="2">
                  <c:v>155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(AED,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417</c:v>
                </c:pt>
                <c:pt idx="1">
                  <c:v>449.8</c:v>
                </c:pt>
                <c:pt idx="2">
                  <c:v>478.90000000000003</c:v>
                </c:pt>
                <c:pt idx="3">
                  <c:v>649.3000000000001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315.6</c:v>
                </c:pt>
                <c:pt idx="1">
                  <c:v>394.1</c:v>
                </c:pt>
                <c:pt idx="2">
                  <c:v>423.5</c:v>
                </c:pt>
                <c:pt idx="3">
                  <c:v>625.5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31.2</c:v>
                </c:pt>
                <c:pt idx="3">
                  <c:v>38.4</c:v>
                </c:pt>
                <c:pt idx="4">
                  <c:v>55.7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c:v>
                </c:pt>
                <c:pt idx="1">
                  <c:v>10</c:v>
                </c:pt>
                <c:pt idx="2">
                  <c:v>10</c:v>
                </c:pt>
                <c:pt idx="3">
                  <c:v>10</c:v>
                </c:pt>
                <c:pt idx="4">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151</c:v>
                </c:pt>
                <c:pt idx="3">
                  <c:v>114.3</c:v>
                </c:pt>
                <c:pt idx="4">
                  <c:v>127.3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0.0"x"</c:formatCode>
                <c:ptCount val="3"/>
                <c:pt idx="0">
                  <c:v>2.43</c:v>
                </c:pt>
                <c:pt idx="1">
                  <c:v>1.28</c:v>
                </c:pt>
                <c:pt idx="2">
                  <c:v>0.87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(AED,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2029</c:v>
                </c:pt>
              </c:strCache>
            </c:strRef>
          </c:cat>
          <c:val>
            <c:numRef>
              <c:f>Hoja1!$B$2</c:f>
              <c:numCache>
                <c:formatCode>#,##0</c:formatCode>
                <c:ptCount val="1"/>
                <c:pt idx="0">
                  <c:v>1100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(AED,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0</c:v>
                </c:pt>
                <c:pt idx="1">
                  <c:v>0</c:v>
                </c:pt>
                <c:pt idx="2">
                  <c:v>1100</c:v>
                </c:pt>
                <c:pt idx="3">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2">
                  <c:v>198.8</c:v>
                </c:pt>
                <c:pt idx="3">
                  <c:v>592.9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0</c:v>
                </c:pt>
                <c:pt idx="1">
                  <c:v>0</c:v>
                </c:pt>
                <c:pt idx="2">
                  <c:v>2</c:v>
                </c:pt>
                <c:pt idx="3">
                  <c:v>9.8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Otro externo</c:v>
                </c:pt>
              </c:strCache>
            </c:strRef>
          </c:cat>
          <c:val>
            <c:numRef>
              <c:f>Hoja1!$B$2:$B$3</c:f>
              <c:numCache>
                <c:formatCode>0</c:formatCode>
                <c:ptCount val="2"/>
                <c:pt idx="0">
                  <c:v>6</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Dubai Investment Fund (Gobierno de Dubái)</c:v>
                </c:pt>
                <c:pt idx="1">
                  <c:v>Capital flotante (DFM)</c:v>
                </c:pt>
              </c:strCache>
            </c:strRef>
          </c:cat>
          <c:val>
            <c:numRef>
              <c:f>Hoja1!$B$2:$B$3</c:f>
              <c:numCache>
                <c:formatCode>0.0"%"</c:formatCode>
                <c:ptCount val="2"/>
                <c:pt idx="0">
                  <c:v>75.01</c:v>
                </c:pt>
                <c:pt idx="1">
                  <c:v>24.99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21.4</c:v>
                </c:pt>
              </c:numCache>
            </c:numRef>
          </c:val>
        </c:ser>
        <c:ser>
          <c:idx val="1"/>
          <c:order val="1"/>
          <c:tx>
            <c:strRef>
              <c:f>Hoja1!$C$1</c:f>
              <c:strCache>
                <c:ptCount val="1"/>
                <c:pt idx="0">
                  <c:v>Índice</c:v>
                </c:pt>
              </c:strCache>
            </c:strRef>
          </c:tx>
          <c:spPr>
            <a:solidFill>
              <a:srgbClr val="EB6834"/>
            </a:solidFill>
            <a:ln w="9525">
              <a:noFill/>
            </a:ln>
          </c:spPr>
          <c:invertIfNegative val="0"/>
          <c:cat>
            <c:strRef>
              <c:f>Hoja1!$A$2</c:f>
              <c:strCache>
                <c:ptCount val="1"/>
                <c:pt idx="0">
                  <c:v>2025</c:v>
                </c:pt>
              </c:strCache>
            </c:strRef>
          </c:cat>
          <c:val>
            <c:numRef>
              <c:f>Hoja1!$C$2</c:f>
              <c:numCache>
                <c:formatCode>0"%"</c:formatCode>
                <c:ptCount val="1"/>
                <c:pt idx="0">
                  <c:v>21.3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Parkin</c:v>
                </c:pt>
                <c:pt idx="1">
                  <c:v>Salik</c:v>
                </c:pt>
                <c:pt idx="2">
                  <c:v>Dubai Taxi</c:v>
                </c:pt>
                <c:pt idx="3">
                  <c:v>Park24</c:v>
                </c:pt>
                <c:pt idx="4">
                  <c:v>Transurban</c:v>
                </c:pt>
                <c:pt idx="5">
                  <c:v>Vinci</c:v>
                </c:pt>
                <c:pt idx="6">
                  <c:v>Getlink</c:v>
                </c:pt>
                <c:pt idx="7">
                  <c:v>Aena</c:v>
                </c:pt>
                <c:pt idx="8">
                  <c:v>Flughafen Zürich</c:v>
                </c:pt>
              </c:strCache>
            </c:strRef>
          </c:cat>
          <c:val>
            <c:numRef>
              <c:f>Hoja1!$B$2:$B$10</c:f>
              <c:numCache>
                <c:formatCode>0.0"x"</c:formatCode>
                <c:ptCount val="9"/>
                <c:pt idx="0">
                  <c:v>19.9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(AED,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688</c:v>
                </c:pt>
                <c:pt idx="1">
                  <c:v>755</c:v>
                </c:pt>
                <c:pt idx="2">
                  <c:v>805</c:v>
                </c:pt>
                <c:pt idx="3">
                  <c:v>856</c:v>
                </c:pt>
                <c:pt idx="4">
                  <c:v>904</c:v>
                </c:pt>
                <c:pt idx="5">
                  <c:v>950</c:v>
                </c:pt>
                <c:pt idx="6">
                  <c:v>996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(AED,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4005</c:v>
                </c:pt>
                <c:pt idx="1">
                  <c:v>7790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(AED) · precio actual 5,77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2.67</c:v>
                </c:pt>
                <c:pt idx="1">
                  <c:v>3.57</c:v>
                </c:pt>
                <c:pt idx="2">
                  <c:v>4.03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(AED) · precio actual 5,77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(4,38 – 6,50)</c:v>
                </c:pt>
                <c:pt idx="1">
                  <c:v>Precio objetivo de los analistas (5,55 – 7,30)</c:v>
                </c:pt>
                <c:pt idx="2">
                  <c:v>Comparables: PER NTM (3,45 – 5,45)</c:v>
                </c:pt>
                <c:pt idx="3">
                  <c:v>DCF (WACC y g ± 0,5) (3,16 – 4,10)</c:v>
                </c:pt>
                <c:pt idx="4">
                  <c:v>Escenarios (bajista – alcista) (2,67 – 4,03)</c:v>
                </c:pt>
                <c:pt idx="5">
                  <c:v>DCF con la prima implícita del mercado (4,2 %)</c:v>
                </c:pt>
                <c:pt idx="6">
                  <c:v>Precio actual (5,77)</c:v>
                </c:pt>
              </c:strCache>
            </c:strRef>
          </c:cat>
          <c:val>
            <c:numRef>
              <c:f>Hoja1!$B$2:$B$8</c:f>
              <c:numCache>
                <c:formatCode>#,##0.00</c:formatCode>
                <c:ptCount val="7"/>
                <c:pt idx="0">
                  <c:v>4.38</c:v>
                </c:pt>
                <c:pt idx="1">
                  <c:v>5.55</c:v>
                </c:pt>
                <c:pt idx="2">
                  <c:v>3.45</c:v>
                </c:pt>
                <c:pt idx="3">
                  <c:v>3.16</c:v>
                </c:pt>
                <c:pt idx="4">
                  <c:v>2.67</c:v>
                </c:pt>
                <c:pt idx="5">
                  <c:v>3.77</c:v>
                </c:pt>
                <c:pt idx="6">
                  <c:v>5.74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(4,38 – 6,50)</c:v>
                </c:pt>
                <c:pt idx="1">
                  <c:v>Precio objetivo de los analistas (5,55 – 7,30)</c:v>
                </c:pt>
                <c:pt idx="2">
                  <c:v>Comparables: PER NTM (3,45 – 5,45)</c:v>
                </c:pt>
                <c:pt idx="3">
                  <c:v>DCF (WACC y g ± 0,5) (3,16 – 4,10)</c:v>
                </c:pt>
                <c:pt idx="4">
                  <c:v>Escenarios (bajista – alcista) (2,67 – 4,03)</c:v>
                </c:pt>
                <c:pt idx="5">
                  <c:v>DCF con la prima implícita del mercado (4,2 %)</c:v>
                </c:pt>
                <c:pt idx="6">
                  <c:v>Precio actual (5,77)</c:v>
                </c:pt>
              </c:strCache>
            </c:strRef>
          </c:cat>
          <c:val>
            <c:numRef>
              <c:f>Hoja1!$C$2:$C$8</c:f>
              <c:numCache>
                <c:formatCode>#,##0.00</c:formatCode>
                <c:ptCount val="7"/>
                <c:pt idx="0">
                  <c:v>2.12</c:v>
                </c:pt>
                <c:pt idx="1">
                  <c:v>1.75</c:v>
                </c:pt>
                <c:pt idx="2">
                  <c:v>2</c:v>
                </c:pt>
                <c:pt idx="3">
                  <c:v>0.9399999999999995</c:v>
                </c:pt>
                <c:pt idx="4">
                  <c:v>1.3600000000000003</c:v>
                </c:pt>
                <c:pt idx="5">
                  <c:v>0.6999999999999997</c:v>
                </c:pt>
                <c:pt idx="6">
                  <c:v>0.05999999999999961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