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Paycom Software, Inc.</w:t>
      </w:r>
    </w:p>
    <w:p>
      <w:pPr>
        <w:spacing w:after="60"/>
        <w:rPr>
          <w:color w:val="52514E"/>
          <w:sz w:val="22"/>
          <w:szCs w:val="22"/>
        </w:rPr>
      </w:pPr>
      <w:r>
        <w:rPr>
          <w:color w:val="52514E"/>
          <w:sz w:val="22"/>
          <w:szCs w:val="22"/>
        </w:rPr>
        <w:t xml:space="preserve">PAYC · New York Stock Exchange · ISIN US70432V1026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239,00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295,17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+24,1 % (base +22,3 %)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237,29 USD · mercado 271,62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10.779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Paycom Software,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PAYC / US70432V1026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profesionales: proceso de nóminas y RR. HH. (software HCM)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Oklahoma City (Oklahoma) · 1998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https://www.paycom.com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239,00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104,90 – 244,98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10.779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11.481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161 M USD/día (3 meses) [30]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295,17 USD</w:t>
      </w:r>
      <w:r>
        <w:t xml:space="preserve"> frente a 239,00 · Rentabilidad a 12 meses </w:t>
      </w:r>
      <w:r>
        <w:rPr>
          <w:b/>
          <w:bCs/>
        </w:rPr>
        <w:t xml:space="preserve">+24,1 % (base +22,3 %)</w:t>
      </w:r>
      <w:r>
        <w:t xml:space="preserve"> · Valor intrínseco 237,29 USD · con la prima implícita del mercado: 271,62 (+13,6 %) · Alcista / bajista +17,9 % / -35,2 %</w:t>
      </w:r>
    </w:p>
    <w:p>
      <w:pPr>
        <w:spacing w:after="100"/>
      </w:pPr>
      <w:r>
        <w:rPr>
          <w:b/>
        </w:rPr>
        <w:t xml:space="preserve">La recomendación y por qué.</w:t>
      </w:r>
      <w:r>
        <w:t xml:space="preserve"> Mantener con convicción baja. El objetivo a 12 meses es de 295,17 USD (24,1 % de rentabilidad ponderada y 22,3 % en el caso base, con dividendo), pero el valor intrínseco, 237,29 USD, queda un 0,7 % por debajo del precio de 239,00 USD, y la regla exige que no lo esté para comprar; el objetivo medio de los analistas es de 222,59 USD. La asimetría de los escenarios es mala con nuestro WACC (alcista +17,9 %, bajista −35,2 %, 0,51x). La convicción es baja, no la media que sugiere el motor, porque la decisión depende de un 0,7 % entre valor y precio: la subiría un precio por debajo de 237,29 USD o una guía de 2027 por encima del +7 %; la bajaría una retención por debajo del 90 %.</w:t>
      </w:r>
    </w:p>
    <w:p>
      <w:pPr>
        <w:spacing w:after="100"/>
      </w:pPr>
      <w:r>
        <w:rPr>
          <w:b/>
        </w:rPr>
        <w:t xml:space="preserve">El negocio.</w:t>
      </w:r>
      <w:r>
        <w:t xml:space="preserve"> Paycom vende nóminas y RR. HH. en una sola base de datos a empresas medianas de EE. UU. [1]. El ROIC es del 32,8 % frente a un WACC del 9,71 % (23 puntos más; 34,1 % sin fondo de comercio) y el margen EBITDA ajustado del 46 % previsto para 2026 es el segundo del sector tras Paychex [3]. Calidad: </w:t>
      </w:r>
      <w:r>
        <w:rPr>
          <w:b/>
        </w:rPr>
        <w:t xml:space="preserve">Sí</w:t>
      </w:r>
      <w:r>
        <w:t xml:space="preserve">. La calidad de la empresa sostiene el crecimiento que proyectamos (veredicto «Sí», el mismo que el del motor): un 6,1 % anual, un tercio de su historia, sin capital nuevo y con una cuota que solo sube del 5,0 % al 5,4 %.</w:t>
      </w:r>
    </w:p>
    <w:p>
      <w:pPr>
        <w:spacing w:after="100"/>
      </w:pPr>
      <w:r>
        <w:rPr>
          <w:b/>
        </w:rPr>
        <w:t xml:space="preserve">Finanzas.</w:t>
      </w:r>
      <w:r>
        <w:t xml:space="preserve"> Los ingresos crecieron un 8,8 % en el primer semestre y la guía implica un 6,5 % en el segundo [3]. Separamos los intereses de los fondos de clientes (113,0 M USD en 2025, el 5,5 % de las ventas): 100 pb de tipos mueven 0,41 USD por acción [1]. El BPA se normaliza sin partidas únicas y con los pagos en acciones como coste. La empresa recompró el 20 % de sus acciones a 127 USD con 900 M USD de deuda: deuda neta de 0,8 veces el EBITDA [2].</w:t>
      </w:r>
    </w:p>
    <w:p>
      <w:pPr>
        <w:spacing w:after="100"/>
      </w:pPr>
      <w:r>
        <w:rPr>
          <w:b/>
        </w:rPr>
        <w:t xml:space="preserve">Equipo y gobierno.</w:t>
      </w:r>
      <w:r>
        <w:t xml:space="preserve"> Resta. El fundador es consejero delegado y presidente, tiene un 13 % y no vende, pero cobró 22,8 M USD en 2025 y el voto de remuneración tuvo un 39,1 % en contra (47,1 % del capital libre) [22, 23].</w:t>
      </w:r>
    </w:p>
    <w:p>
      <w:pPr>
        <w:spacing w:after="100"/>
      </w:pPr>
      <w:r>
        <w:rPr>
          <w:b/>
        </w:rPr>
        <w:t xml:space="preserve">Valoración.</w:t>
      </w:r>
      <w:r>
        <w:t xml:space="preserve"> El DCF da 224,65 USD; los comparables 277,58 USD; los escenarios 221,54 USD. El precio descuenta un 7,0 % de crecimiento anual frente a nuestro 5,9 %, o una rentabilidad del 9,3 % frente al 9,71 % del WACC. Con la prima del mercado (4,20 %) el valor sube a 271,62 USD (+13,6 %). Coincidimos con el consenso en las cifras; discrepamos en la tasa.</w:t>
      </w:r>
    </w:p>
    <w:p>
      <w:pPr>
        <w:spacing w:after="100"/>
      </w:pPr>
      <w:r>
        <w:rPr>
          <w:b/>
        </w:rPr>
        <w:t xml:space="preserve">Riesgos y catalizadores.</w:t>
      </w:r>
      <w:r>
        <w:t xml:space="preserve"> El mayor es la IA. Su exposición es media y su efecto mixto: puede reducir las plantillas de los clientes (Paycom cobra por empleado) y abaratar la entrada de rivales, pero ya le baja los costes. No vemos que la IA se coma el negocio a 3-5 años, pero sí que limite el crecimiento: −10 % de valor, −35,2 % si se suma presión de precio. Le siguen la desaceleración y los tipos. Los resultados del 3T26 (hacia el 4-nov-2026) y la guía de 2027 en febrero son los catalizadores. Los foros son positivos tras una subida de más del 100 % desde el mínimo, por delante de los analistas [47, 48].</w:t>
      </w:r>
    </w:p>
    <w:p>
      <w:pPr>
        <w:spacing w:after="100"/>
      </w:pPr>
      <w:r>
        <w:rPr>
          <w:b/>
        </w:rPr>
        <w:t xml:space="preserve">Qué cambiaría la decisión.</w:t>
      </w:r>
      <w:r>
        <w:t xml:space="preserve"> Compraríamos por debajo de 237,29 USD y venderíamos por encima de 329,63 USD. Una guía de 2027 por encima del +7 % con retención estable subiría el caso base; una retención por debajo del 90 % o una guía por debajo del +5 % nos llevaría a revisar a la baja. Una acción cuesta unos 213 EUR (1,1195 USD/EUR del BCE), el 0,7 % de una cartera de 30.000 EUR, por debajo del 7 % [50].</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295,17 USD</w:t>
      </w:r>
      <w:r>
        <w:t xml:space="preserve"> (rentabilidad +24,1 % (base +22,3 %)) · Valor intrínseco: 237,29 USD (-0,7 % sobre 239,00) · con la prima implícita del mercado: 271,62 (+13,6 %)</w:t>
      </w:r>
    </w:p>
    <w:p>
      <w:pPr>
        <w:spacing w:after="100"/>
      </w:pPr>
      <w:r>
        <w:t xml:space="preserve">Paycom vende nóminas, tiempo, talento y RR. HH. en una sola base de datos a unas 39.200 empresas medianas de EE. UU., con una retención del 91 %, un margen EBITDA ajustado del 46 % y un ROIC del 32,8 % sin haber comprado nunca nada [1, 3]. Cobra por empleado y custodia los fondos de las nóminas, cuyos intereses (113,0 M USD) suman un 5,5 % de las ventas [1].</w:t>
      </w:r>
    </w:p>
    <w:p>
      <w:pPr>
        <w:spacing w:after="100"/>
      </w:pPr>
      <w:r>
        <w:t xml:space="preserve">El precio, 239,00 USD, ha subido más de un 100 % desde el mínimo de 104,90 USD y descuenta un crecimiento del 7,0 % anual con nuestro WACC: poco más que el 5,9 % de nuestro caso base y menos que el 8,8 % del primer semestre [3, 30]. Cotiza a 20,1x el BPA de los próximos 12 meses, en línea con los comparables y muy por debajo de su mediana histórica.</w:t>
      </w:r>
    </w:p>
    <w:p>
      <w:pPr>
        <w:spacing w:after="100"/>
      </w:pPr>
      <w:r>
        <w:t xml:space="preserve">El mercado acierta en que la desaceleración de 2023-2025 por Beti terminó y en que la IA ya le baja los costes. Para invertir hay que creer que el crecimiento se sostiene en el 7 % a pesar de que la IA puede reducir las plantillas de sus clientes. A este precio, el valor intrínseco no deja margen: el atractivo está en el múltiplo a 12 meses, no en el DCF.</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11,79 = 173,31 · 21,5x × 13,52 = 290,68 · 29,0x × 14,69 = 426,01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 / 22,3 %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222,59 (nuestro base +30,6 %)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237,29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 / -35,2 %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frente a 9,7 % y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271,62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237,29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237,29 y 329,63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329,63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237,29 USD: pasaríamos a Comprar.</w:t>
      </w:r>
    </w:p>
    <w:p>
      <w:pPr>
        <w:pStyle w:val="ListParagraph"/>
        <w:numPr>
          <w:ilvl w:val="0"/>
          <w:numId w:val="2"/>
        </w:numPr>
        <w:spacing w:after="60"/>
      </w:pPr>
      <w:r>
        <w:t xml:space="preserve">Precio por encima de 329,63 USD: pasaríamos a Vender.</w:t>
      </w:r>
    </w:p>
    <w:p>
      <w:pPr>
        <w:pStyle w:val="ListParagraph"/>
        <w:numPr>
          <w:ilvl w:val="0"/>
          <w:numId w:val="2"/>
        </w:numPr>
        <w:spacing w:after="60"/>
      </w:pPr>
      <w:r>
        <w:t xml:space="preserve">Guía de ingresos de 2027 por encima del +7 % con retención estable: subiríamos el caso base hacia Comprar.</w:t>
      </w:r>
    </w:p>
    <w:p>
      <w:pPr>
        <w:pStyle w:val="ListParagraph"/>
        <w:numPr>
          <w:ilvl w:val="0"/>
          <w:numId w:val="2"/>
        </w:numPr>
        <w:spacing w:after="60"/>
      </w:pPr>
      <w:r>
        <w:t xml:space="preserve">Retención por debajo del 90 % o guía de 2027 por debajo del +5 %: revisaríamos a la baja.</w:t>
      </w:r>
    </w:p>
    <w:p>
      <w:pPr>
        <w:pStyle w:val="ListParagraph"/>
        <w:numPr>
          <w:ilvl w:val="0"/>
          <w:numId w:val="2"/>
        </w:numPr>
        <w:spacing w:after="60"/>
      </w:pPr>
      <w:r>
        <w:t xml:space="preserve">Bono a 10 años de EE. UU. por debajo del 4,5 %: el WACC bajaría unos 0,65 puntos, el DCF subiría a unos 238 USD y el valor intrínseco superaría al precio.</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7,0 % anual con nuestro WACC, o una rentabilidad del 9,3 % anual con nuestras cifras: el mercado ya ha pagado la recuperación tras Beti y las recompras, y cotiza por encima del objetivo medio de 21 analistas (222,59 USD; 13 en mantener) [32].</w:t>
      </w:r>
    </w:p>
    <w:p>
      <w:pPr>
        <w:keepNext/>
        <w:spacing w:after="100"/>
      </w:pPr>
      <w:r>
        <w:rPr>
          <w:b/>
          <w:bCs/>
        </w:rPr>
        <w:t xml:space="preserve">Lo que creemos nosotros.</w:t>
      </w:r>
    </w:p>
    <w:p>
      <w:pPr>
        <w:spacing w:after="100"/>
      </w:pPr>
      <w:r>
        <w:t xml:space="preserve">Coincidimos con el consenso en las cifras (diferencia de 0,2-1,5 % en ingresos). Discrepamos en dos cosas: el PER puede subir algo más hacia su historia (la regla da 21,5x frente a 19,5x) y el riesgo de la IA sobre el volumen de empleados está mal medido en los dos sentidos.</w:t>
      </w:r>
    </w:p>
    <w:p>
      <w:pPr>
        <w:keepNext/>
        <w:spacing w:after="100"/>
      </w:pPr>
      <w:r>
        <w:rPr>
          <w:b/>
          <w:bCs/>
        </w:rPr>
        <w:t xml:space="preserve">Por qué podemos tener razón.</w:t>
      </w:r>
    </w:p>
    <w:p>
      <w:pPr>
        <w:spacing w:after="100"/>
      </w:pPr>
      <w:r>
        <w:t xml:space="preserve">La caída del 79 % desde 2021 llevó el PER adelantado a 14,7x en 2025, su mínimo; la recuperación lo ha llevado a 19,5x, todavía lejos de la mediana de 28,1x. Pero con el bono al 5,21 % el valor intrínseco no deja margen: el rendimiento a 12 meses depende del múltiplo, no de un error en las cifras.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3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ROIC del 32,8 %</w:t>
      </w:r>
      <w:r>
        <w:t xml:space="preserve">, 23 puntos por encima del WACC y sin fondo de comercio.</w:t>
      </w:r>
    </w:p>
    <w:p>
      <w:pPr>
        <w:pStyle w:val="ListParagraph"/>
        <w:numPr>
          <w:ilvl w:val="0"/>
          <w:numId w:val="2"/>
        </w:numPr>
        <w:spacing w:after="60"/>
      </w:pPr>
      <w:r>
        <w:rPr>
          <w:b/>
        </w:rPr>
        <w:t xml:space="preserve">Margen EBITDA ajustado del 46 %</w:t>
      </w:r>
      <w:r>
        <w:t xml:space="preserve"> en la guía de 2026, el segundo del sector [3].</w:t>
      </w:r>
    </w:p>
    <w:p>
      <w:pPr>
        <w:pStyle w:val="ListParagraph"/>
        <w:numPr>
          <w:ilvl w:val="0"/>
          <w:numId w:val="2"/>
        </w:numPr>
        <w:spacing w:after="60"/>
      </w:pPr>
      <w:r>
        <w:rPr>
          <w:b/>
        </w:rPr>
        <w:t xml:space="preserve">Retención récord del 91 %</w:t>
      </w:r>
      <w:r>
        <w:t xml:space="preserve"> tras la canibalización de Beti [1].</w:t>
      </w:r>
    </w:p>
    <w:p>
      <w:pPr>
        <w:pStyle w:val="ListParagraph"/>
        <w:numPr>
          <w:ilvl w:val="0"/>
          <w:numId w:val="2"/>
        </w:numPr>
        <w:spacing w:after="60"/>
      </w:pPr>
      <w:r>
        <w:rPr>
          <w:b/>
        </w:rPr>
        <w:t xml:space="preserve">PER adelantado de 19,5x</w:t>
      </w:r>
      <w:r>
        <w:t xml:space="preserve"> frente a una mediana de cinco años de 28,1x.</w:t>
      </w:r>
    </w:p>
    <w:p>
      <w:pPr>
        <w:pStyle w:val="ListParagraph"/>
        <w:numPr>
          <w:ilvl w:val="0"/>
          <w:numId w:val="2"/>
        </w:numPr>
        <w:spacing w:after="60"/>
      </w:pPr>
      <w:r>
        <w:rPr>
          <w:b/>
        </w:rPr>
        <w:t xml:space="preserve">La IA ya le baja los costes</w:t>
      </w:r>
      <w:r>
        <w:t xml:space="preserve">: unos 100 M USD menos de I+D y 500 puestos menos [8, 17].</w:t>
      </w:r>
    </w:p>
    <w:p>
      <w:pPr>
        <w:pStyle w:val="Heading2"/>
      </w:pPr>
      <w:r>
        <w:t xml:space="preserve">En contra</w:t>
      </w:r>
    </w:p>
    <w:p>
      <w:pPr>
        <w:pStyle w:val="ListParagraph"/>
        <w:numPr>
          <w:ilvl w:val="0"/>
          <w:numId w:val="2"/>
        </w:numPr>
        <w:spacing w:after="60"/>
      </w:pPr>
      <w:r>
        <w:rPr>
          <w:b/>
        </w:rPr>
        <w:t xml:space="preserve">Valor intrínseco de 237,29 USD</w:t>
      </w:r>
      <w:r>
        <w:t xml:space="preserve">, un 0,7 % por debajo del precio.</w:t>
      </w:r>
    </w:p>
    <w:p>
      <w:pPr>
        <w:pStyle w:val="ListParagraph"/>
        <w:numPr>
          <w:ilvl w:val="0"/>
          <w:numId w:val="2"/>
        </w:numPr>
        <w:spacing w:after="60"/>
      </w:pPr>
      <w:r>
        <w:rPr>
          <w:b/>
        </w:rPr>
        <w:t xml:space="preserve">Asimetría mala</w:t>
      </w:r>
      <w:r>
        <w:t xml:space="preserve">: alcista del +17,9 % frente a bajista del −35,2 %.</w:t>
      </w:r>
    </w:p>
    <w:p>
      <w:pPr>
        <w:pStyle w:val="ListParagraph"/>
        <w:numPr>
          <w:ilvl w:val="0"/>
          <w:numId w:val="2"/>
        </w:numPr>
        <w:spacing w:after="60"/>
      </w:pPr>
      <w:r>
        <w:rPr>
          <w:b/>
        </w:rPr>
        <w:t xml:space="preserve">Cobra por empleado</w:t>
      </w:r>
      <w:r>
        <w:t xml:space="preserve">: la IA puede reducir las plantillas de sus clientes.</w:t>
      </w:r>
    </w:p>
    <w:p>
      <w:pPr>
        <w:pStyle w:val="ListParagraph"/>
        <w:numPr>
          <w:ilvl w:val="0"/>
          <w:numId w:val="2"/>
        </w:numPr>
        <w:spacing w:after="60"/>
      </w:pPr>
      <w:r>
        <w:rPr>
          <w:b/>
        </w:rPr>
        <w:t xml:space="preserve">Gobierno débil</w:t>
      </w:r>
      <w:r>
        <w:t xml:space="preserve">: 39,1 % de votos en contra de la remuneración en 2026 [23].</w:t>
      </w:r>
    </w:p>
    <w:p>
      <w:pPr>
        <w:pStyle w:val="ListParagraph"/>
        <w:numPr>
          <w:ilvl w:val="0"/>
          <w:numId w:val="2"/>
        </w:numPr>
        <w:spacing w:after="60"/>
      </w:pPr>
      <w:r>
        <w:rPr>
          <w:b/>
        </w:rPr>
        <w:t xml:space="preserve">900 M USD de deuda</w:t>
      </w:r>
      <w:r>
        <w:t xml:space="preserve"> para recomprar acciones a 127 USD [2].</w:t>
      </w:r>
    </w:p>
    <w:p>
      <w:pPr>
        <w:pStyle w:val="Heading2"/>
      </w:pPr>
      <w:r>
        <w:t xml:space="preserve">Qué tiene que pasar para que la tesis funcione</w:t>
      </w:r>
    </w:p>
    <w:p>
      <w:pPr>
        <w:spacing w:after="100"/>
      </w:pPr>
      <w:r>
        <w:t xml:space="preserve">La tesis depende de que el crecimiento se mantenga en el 7 % con precio y módulos mientras la IA no reduce el número de empleados por cliente. La señal de que no se cumple sería un 3T26 por debajo del +6 %, una guía de ingresos de 2027 inferior al +5 % o una retención por debajo del 90 % en el 10-K de febrero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ingresos recurrentes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 (1S26); guía +7,2-7,9 %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del caso base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anual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foso frente a la IA y a los rivales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de 2028e depende de él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Intereses de los fondos de clientes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M USD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90 M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casi completo; sensibles a los tipos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y recompras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 M USD; 1.389,7 M recomprados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deuda para recomprar por encima de 237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 [2].</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13,6x / 11,3x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25,3x / 20,1x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Chad Richison fundó Paycom en Oklahoma City en 1998, tras trabajar como comercial de nóminas en ADP y en Ceridian; fue de las primeras en vender nóminas por internet y desarrolla todo en una sola base de datos [1]. Salió a bolsa en el NYSE en abril de 2014 y desde entonces ha crecido sin compras: de 150,9 M USD de ingresos en 2014 a 2.051,7 M en 2025 [1]. Dos giros recientes la definen: Beti (2021), que hace que el empleado revise su nómina antes de procesarla y que redujo las correcciones que Paycom cobraba, con una caída de la acción del 38 % el 1-nov-2023; y la apuesta de 2025-2026 por la automatización y la IA propia (IWant, despidos de ~500 personas, centros de datos), con una recompra del 20 % del capital en 2026 [1, 5,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Oklahoma City por Chad Richison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NYSE (PAYC)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Paquete especial de acciones para el fundador (2020 CEO Performance Award), muy contestado por los accionistas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Beti: el empleado hace y aprueba su propia nómina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dividendo; la acción cae un 38 % el 1-nov por la canibalización de Beti; demandas de accionistas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renuncia al paquete de 2020 (reversión de 117,5 M USD) y comparte el puesto con un consejero delegado adjunto de febrero a mayo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Despido de ~500 empleados atribuido a la IA; lanzamiento de IWant; retención récord del 91 % [5,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del 20 % de las acciones con 900 M USD de deuda; Shane Hadlock, presidente; subida de la guía en agosto [8].</w:t>
            </w:r>
          </w:p>
        </w:tc>
      </w:tr>
    </w:tbl>
    <w:p>
      <w:pPr>
        <w:spacing w:after="160" w:before="0"/>
      </w:pPr>
    </w:p>
    <w:p>
      <w:pPr>
        <w:pStyle w:val="Heading1"/>
      </w:pPr>
      <w:r>
        <w:t xml:space="preserve">2. Modelo de negocio</w:t>
      </w:r>
    </w:p>
    <w:p>
      <w:pPr>
        <w:spacing w:after="100"/>
      </w:pPr>
      <w:r>
        <w:t xml:space="preserve">Paycom vende un programa de gestión de personal (HCM) en la nube, con una sola base de datos para nóminas, impuestos sobre nóminas, tiempo y asistencia, contratación, gestión del talento, formación, beneficios y gastos [1]. Sus clientes son empresas de EE. UU. de 50 a más de 10.000 empleados (≈39.200 clientes en 2025), con un peso creciente de las de más de 1.000 [1]. Vende con una red comercial propia de alto contacto, organizada en oficinas regionales; en 2026 pasó de equipos de 8 a 10 vendedores y añadió más de 100 [9]. Tiene 45 productos propios, entre ellos Beti (nómina hecha por el empleado), GONE (vacaciones automáticas), IWant (asistente de IA para consultar y ejecutar) y Asset Management (julio de 2026) [8]. Tiene nómina nativa en Canadá, México, Reino Unido e Irlanda, pero casi todo el negocio está en EE. UU. [1].</w:t>
      </w:r>
    </w:p>
    <w:p>
      <w:pPr>
        <w:pStyle w:val="Heading2"/>
      </w:pPr>
      <w:r>
        <w:t xml:space="preserve">Cómo gana dinero</w:t>
      </w:r>
    </w:p>
    <w:p>
      <w:pPr>
        <w:spacing w:after="100"/>
      </w:pPr>
      <w:r>
        <w:t xml:space="preserve">Cobra cuotas por empleado y por proceso de nómina (y por módulo), más la cuota de alta, que se reconoce en 10 años; los ingresos recurrentes y otros fueron el 94,5 % del total en 2025 [1]. El otro 5,5 % son los intereses de los fondos de clientes: Paycom cobra la nómina y los impuestos antes de pagarlos y retiene los fondos de 1 a 30 días (hasta 120), sin coste asociado; 100 pb de tipos mueven 25,7 M USD al año [1, 4]. El margen depende de la plantilla propia (servicio, desarrollo y comercial): la automatización ha subido el margen EBITDA ajustado del 41,2 % de 2024 al 46 % previsto en 2026 [5, 8]. Estacionalidad: el 1T es el trimestre fuerte (formularios W-2 y ACA) [1]. Es sensible al empleo de los clientes (cobra por empleado)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Recurrentes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Intereses de los fondos de clientes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Recurrentes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Intereses de los fondos de clientes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ningún cliente pesa de forma significativa entre unos 39.200 [1]. Los contratos se cancelan con 30 días de preaviso, pero la retención anual de ingresos es del 91 % en 2025 (90 % en 2024), que la empresa considera infravalorada porque cuenta las bajas por compra o cierre del cliente [1]. Poder de precios: limitado y bajo presión. Paycom advierte de que algunos competidores principales venden más barato y que eso ya ha causado presión de precios [1]; y Beti demostró que un producto que ahorra trabajo al cliente puede quitar ingresos por servicios (correcciones de nómina) a la propia Paycom [1]. La venta de módulos dentro de la aplicación, sin pasar por el comercial, gana peso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anual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tras la caída de 2023-2024 por la canibalización de Beti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Empresas de 50 a más de 10.000 empleados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Saldo medio de fondos de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M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 M USD (2025); 2.900 M (2T26, +9 %)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los intereses: 100 pb mueven 25,7 M USD al año [1, 2,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5.770 (dic-2025)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~500 despidos en oct-2025 atribuidos a IA y automatización; sin cifra posterior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 (2025); 46 %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pagos en acciones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Productos propios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(Asset Management, 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y los servicios de nóminas y gestión de personal (HCM) para empresas medianas de EE. UU., que Paycom sirve en menos de un 5 % según su dirección [4, 5]. La única serie oficial es la del Census Bureau de ingresos de las empresas de servicios de nóminas (NAICS 541214), que mide solo el núcleo de nóminas externalizadas y termina en 2022 [18]. El mercado direccionable de Paycom no se publica en dólares: con unos ingresos de 2.051,7 M USD y menos del 5 % del mercado, sería de al menos 41.000 M USD (estimación propia) [4, 5]. Paychex estima el suyo en más de 100.000 M USD contando PEO, jubilación y seguros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 menos 41.000 M USD de mercado direccionable para Paycom en 2025 (estimación propia con «menos del 5 %» servido) [4, 5]; 27.589 M USD de ingresos de las empresas de servicios de nóminas en 2022 (Census)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las empresas de servicios de nóminas de EE. UU., NAICS 541214, Censu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Empleo de los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Paycom cobra por empleado; el empleo de sus clientes fue estable en 2026 y cayó ~14 % en 2020 [9]; el empleo privado de EE. UU. creció un 0,4 % en 2025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sistemas antiguos o de varios proveedores a una sola plataforma en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Paycom sirve menos del 5 % de su mercado y vende la base de datos única frente a ofertas que juntan sistemas de terceros [1,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 corto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113,0 M USD de intereses de fondos en 2025 (5,5 % de los ingresos, ~15 % del EBITDA GAAP); 100 pb = 25,7 M al año [1,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Complejidad normativa laboral y fiscal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COBRA, salario mínimo, horas extra, ACA e impuestos federales, estatales y locales empujan a externalizar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y automatización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Reduce el trabajo administrativo que se cobra y puede reducir la plantilla de los clientes (Paycom cobra por empleado), pero abarata el coste de Paycom: ~100 M USD de ahorro en I+D en 2026 [1, 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«muy competitivo, cambiante y fragmentado», con presión de precios de rivales que venden más barato [1]; ADP, Paychex-Paycor, Paylocity, Workday, Dayforce (privada desde 2026), UKG, Rippling y Gusto [1, 12,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(≈39.200), pero pueden irse con 30 días de preaviso y los medianos negocian en cada renovación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principal es la plantilla propia; la infraestructura es propia (centros de datos) [1,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Rippling y Deel, con capital riesgo, entran en empresas medianas con plataformas que suman TI y gastos [20]; la custodia de fondos y el cumplimiento fiscal en miles de jurisdicciones exigen escala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Nóminas integradas en otros programas («embedded payroll» y marca blanca), ERP con módulo de HCM y, a futuro, agentes de IA que hagan tareas de RR. HH. [1].</w:t>
            </w:r>
          </w:p>
        </w:tc>
      </w:tr>
    </w:tbl>
    <w:p>
      <w:pPr>
        <w:spacing w:after="160" w:before="0"/>
      </w:pPr>
    </w:p>
    <w:p>
      <w:pPr>
        <w:pStyle w:val="Heading2"/>
      </w:pPr>
      <w:r>
        <w:t xml:space="preserve">Ciclo</w:t>
      </w:r>
    </w:p>
    <w:p>
      <w:pPr>
        <w:spacing w:after="100"/>
      </w:pPr>
      <w:r>
        <w:t xml:space="preserve">El empleo privado crece poco (+0,4 % en 2025) [19] y el empleo de los clientes de Paycom está «estable» [9]. En 2008-09 los ingresos de servicios de nóminas del Census cayeron un 14 % entre 2008 y 2010 [18], pero Paycom crecía con fuerza desde una base pequeña. En 2020 el empleo de sus clientes cayó ~14 % y sus ingresos aún subieron un 14 % [1, 9]. En 2022 la subida de tipos disparó los intereses de los fondos (de casi nada a 108,0 M en 2023), y el ciclo de bajadas los recorta [1].</w:t>
      </w:r>
    </w:p>
    <w:p>
      <w:pPr>
        <w:pStyle w:val="Heading2"/>
      </w:pPr>
      <w:r>
        <w:t xml:space="preserve">Regulación</w:t>
      </w:r>
    </w:p>
    <w:p>
      <w:pPr>
        <w:spacing w:after="100"/>
      </w:pPr>
      <w:r>
        <w:t xml:space="preserve">Paycom está sujeta a normas de privacidad (leyes estatales como la de California y la de biometría de Illinois, que ya ha generado demandas en el sector), a la regulación de las verificaciones de antecedentes (FCRA) y a la del dinero de clientes que custodia [1]. La Ley de IA de la UE (obligaciones principales desde el 2-ago-2026) y la interpretación del RGPD sobre decisiones automatizadas pueden limitar el uso de IA en decisiones de personal [1]. En EE. UU., normas estatales y locales sobre IA en contratación (Nueva York, Colorado) afectan a los módulos de selección. Paycom obtuvo la certificación ISO 42001 de gestión de IA en noviembre de 2025 [1].</w:t>
      </w:r>
    </w:p>
    <w:p>
      <w:pPr>
        <w:pStyle w:val="Heading2"/>
      </w:pPr>
      <w:r>
        <w:t xml:space="preserve">Tendencias y disrupción</w:t>
      </w:r>
    </w:p>
    <w:p>
      <w:pPr>
        <w:spacing w:after="100"/>
      </w:pPr>
      <w:r>
        <w:t xml:space="preserve">Tres tendencias: (1) </w:t>
      </w:r>
      <w:r>
        <w:rPr>
          <w:b/>
        </w:rPr>
        <w:t xml:space="preserve">consolidación en una plataforma</w:t>
      </w:r>
      <w:r>
        <w:t xml:space="preserve"> (lo que vende Paycom) frente a soluciones de varios proveedores [1]; (2) </w:t>
      </w:r>
      <w:r>
        <w:rPr>
          <w:b/>
        </w:rPr>
        <w:t xml:space="preserve">IA</w:t>
      </w:r>
      <w:r>
        <w:t xml:space="preserve">: los proveedores se juegan el valor en automatizar la nómina y el trabajo de RR. HH.; Paycom lo usa para recortar su coste y vender IWant, pero la IA también reduce el trabajo que se cobra por servicios y amenaza con reducir plantillas de clientes [1, 9]; (3) </w:t>
      </w:r>
      <w:r>
        <w:rPr>
          <w:b/>
        </w:rPr>
        <w:t xml:space="preserve">nuevos competidores con capital riesgo</w:t>
      </w:r>
      <w:r>
        <w:t xml:space="preserve"> (Rippling, Deel, Gusto) y nóminas integradas en otros programas, que presionan precios [1, 20]. Las compras de Paycor por Paychex y de Dayforce por Thoma Bravo concentran el mercado medio [12, 21].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Proveedor mediano de HCM en la nube para empresas de 50 a 10.000 empleados en EE. UU.; sirve «menos del 5 %» de su mercado direccionable [5]. Por ingresos, detrás de ADP (21.947 M USD), Paychex (6.512 M) y Workday (9.552 M), y por delante de Paylocity (1.771 M) [12, 13, 14,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Automatic Data Processing (ADP)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FY2026 (junio) ingresos +7 %; retención del 92,1 %; fondos de clientes como Paycom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Paychex (con Paycor)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Pymes; compró Paycor (medianas, rival directo de Paycom) en 2025 por ~4.100 M USD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WDAY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HCM y finanzas para grandes empresas; solapa por arriba (más de 1.000 empleados)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Paylocity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PCTY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más parecido: medianas empresas, ingresos +11,0 % en FY2026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 (QuickBooks Payroll)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Microempresas, por debajo del cliente de Paycom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Dayforce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Comprada por Thoma Bravo por 12.300 M USD (cerrada en febrero de 2026); compite en empresas medianas y grandes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Rippling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con capital riesgo; plataforma de RR. HH., TI y gastos que Paycom compara con la suya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cada cliente usa su propia instancia y no gana nada porque haya otros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Nómina, impuestos, tiempo y talento en una sola base de datos; retención del 91 % en 2025 [1]. Pero los contratos se cancelan con 30 días de preaviso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propio con una sola base de datos (45 productos), certificaciones ISO 27001/27701/42001; sin patentes decisivas [1,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del 46 % previsto en 2026, el más alto del software de HCM tras Paychex; infraestructura e IA propias [4,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≈39.200 clientes y ~2.900 M USD de fondos medios; escala inferior a ADP y Paychex [1, 4].</w:t>
            </w:r>
          </w:p>
        </w:tc>
      </w:tr>
    </w:tbl>
    <w:p>
      <w:pPr>
        <w:spacing w:after="160" w:before="0"/>
      </w:pPr>
    </w:p>
    <w:p>
      <w:pPr>
        <w:pStyle w:val="Heading2"/>
      </w:pPr>
      <w:r>
        <w:t xml:space="preserve">Amenazas</w:t>
      </w:r>
    </w:p>
    <w:p>
      <w:pPr>
        <w:spacing w:after="100"/>
      </w:pPr>
      <w:r>
        <w:t xml:space="preserve">Cuatro amenazas: (1) </w:t>
      </w:r>
      <w:r>
        <w:rPr>
          <w:b/>
        </w:rPr>
        <w:t xml:space="preserve">IA</w:t>
      </w:r>
      <w:r>
        <w:t xml:space="preserve"> que reduzca plantillas de clientes (cobro por empleado) o que convierta la nómina en un servicio integrado en otros programas; (2) </w:t>
      </w:r>
      <w:r>
        <w:rPr>
          <w:b/>
        </w:rPr>
        <w:t xml:space="preserve">Rippling, Deel y Gusto</w:t>
      </w:r>
      <w:r>
        <w:t xml:space="preserve">, con capital riesgo y precios agresivos, y Paychex-Paycor, más grande, en empresas medianas [1, 12, 20]; (3) </w:t>
      </w:r>
      <w:r>
        <w:rPr>
          <w:b/>
        </w:rPr>
        <w:t xml:space="preserve">canibalización</w:t>
      </w:r>
      <w:r>
        <w:t xml:space="preserve"> de sus propios productos de automatización (Beti redujo ingresos por correcciones en 2023-2024) [1]; (4) </w:t>
      </w:r>
      <w:r>
        <w:rPr>
          <w:b/>
        </w:rPr>
        <w:t xml:space="preserve">bajadas de tipos</w:t>
      </w:r>
      <w:r>
        <w:t xml:space="preserve">: cada 100 pb restan 25,7 M USD de ingresos sin coste [4]. Probabilidad media en los cuatro casos a cinco años.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spacing w:after="100"/>
      </w:pPr>
      <w:r>
        <w:t xml:space="preserve">Crecimiento anual compuesto 2016-2025: ingresos </w:t>
      </w:r>
      <w:r>
        <w:rPr>
          <w:b/>
          <w:bCs/>
        </w:rPr>
        <w:t xml:space="preserve">22,5 %</w:t>
      </w:r>
      <w:r>
        <w:t xml:space="preserve">, EBITDA </w:t>
      </w:r>
      <w:r>
        <w:rPr>
          <w:b/>
          <w:bCs/>
        </w:rPr>
        <w:t xml:space="preserve">23,0 %</w:t>
      </w:r>
      <w:r>
        <w:t xml:space="preserve">, BPA </w:t>
      </w:r>
      <w:r>
        <w:rPr>
          <w:b/>
          <w:bCs/>
        </w:rPr>
        <w:t xml:space="preserve">23,7 %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Todo el crecimiento es orgánico: Paycom no ha comprado empresas desde la salida a bolsa de 2014 [1]. Los ingresos pasaron de 329,1 M USD en 2016 a 2.051,7 M en 2025, pero el ritmo se ha frenado: +30,6 % en 2022, +23,2 % en 2023, +11,2 % en 2024 y +9,0 % en 2025; la guía de 2026 es de un +7-8 % [1, 3]. Dentro de los ingresos hay dos negocios: los recurrentes (1.938,7 M USD en 2025, +10,3 %) y los </w:t>
      </w:r>
      <w:r>
        <w:rPr>
          <w:b/>
        </w:rPr>
        <w:t xml:space="preserve">intereses de los fondos de clientes</w:t>
      </w:r>
      <w:r>
        <w:t xml:space="preserve"> (113,0 M en 2025, 124,9 M en 2024 y 108,0 M en 2023), que dependen de los tipos a corto y no tienen coste asociado [1]. El margen EBIT GAAP salta por los pagos en acciones: 33,7 % en 2024 con la reversión de 117,5 M USD del paquete de 2020 del fundador, 27,6 % en 2025 con 118,7 M de pagos en acciones; en el primer semestre de 2026 sube al 34,3 % porque la plantilla cayó (5.770 empleados a cierre de 2025, ~500 despidos en octubre de 2025 atribuidos a la automatización) y la I+D total bajó del 20,5 % al 13,9 % de las ventas [1, 3, 9].</w:t>
      </w:r>
    </w:p>
    <w:p>
      <w:pPr>
        <w:pStyle w:val="Heading2"/>
      </w:pPr>
      <w:r>
        <w:t xml:space="preserve">Ajustes y partidas no recurrentes</w:t>
      </w:r>
    </w:p>
    <w:p>
      <w:pPr>
        <w:spacing w:after="100"/>
      </w:pPr>
      <w:r>
        <w:t xml:space="preserve">Se usan cifras GAAP publicadas. Partidas que no se repiten: (1) 2024, reversión de 117,5 M USD de pagos en acciones por la renuncia del fundador a su paquete especial de 2020, dentro de gastos generales (se resta como partida no recurrente del EBITDA); el BPA GAAP de 8,92 USD baja a unos 7,08 USD normalizado (BAI sin la reversión, tipo del 25 %) [1]; (2) 2025, plusvalía de 35,5 M USD antes de impuestos (26,3 M después) por la modificación del contrato de nombre del pabellón de Oklahoma City, en otros ingresos: BPA normalizado de 7,61 USD frente a 8,08 publicado [1, 6]; (3) 2026, otra plusvalía de 9,0 M por el mismo contrato en el 1T [3]; (4) 2017, tipo efectivo del 3 % por la reforma fiscal: BPA normalizado de 1,52 USD con un tipo del 30 % [7]. El BPA «non-GAAP» de la empresa excluye los pagos en acciones (118,7 M en 2025, 3 % de las ventas previsto en 2026): no se usa, porque es un coste real [5, 9].</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EBITDA de la tabla: el ajustado de la empresa (sin pagos en acciones), único publicado por trimestre; BPA diluido GAAP [3, 4, 5, 6]. En el 2T26 (5-ago) Paycom batió con holgura: ingresos de 531,2 M USD (+9,8 %; recurrentes +11,0 %), BPA ajustado de 2,78 USD y subida de la guía anual a 2.197-2.212 M de ingresos y 1.007-1.022 M de EBITDA ajustado (46 % de margen) [3, 8]. El mensaje cambió de la conferencia del 1T, en la que solo se reafirmó la guía, a otro centrado en la eficiencia: el fundador atribuyó a los centros de datos propios para modelos de IA (más de 100 M USD invertidos en 2025) un ahorro de unos 100 M en I+D en 2026 y de más de 30 M en tarifas de terceros de IWant, y el director financiero anunció un flujo libre de más de 650 M en 2026 y un capex de ~6 % de las ventas [9]. Los analistas preguntaron cuatro veces por la productividad comercial y las reservas: la respuesta fue que las reservas «llegaron como se esperaba», sin cifras, y que la red comercial creció con más de 100 vendedores nuevos [9]. Tampoco se dio la plantilla actual (la última cifra es de 5.770 a cierre de 2025) ni el efecto de Beti en los ingresos por correcciones de nóminas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(2019: el activo total crece un 63 % y los ingresos un 30 %; 2024: el activo total crece un 40 % y los ingresos un 11 %).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Hasta 2025 Paycom no tenía deuda (la hipoteca de la sede, unos 30 M USD, se canceló en 2023) y acumulaba caja [1, 7]. En 2026 cambió de política: recompró 10,9 millones de acciones por 1.389,7 M USD en el primer semestre, con 900 M de deuda nueva, y el patrimonio neto bajó de 1.731,5 M a 571,5 M [2]. La deuda neta corporativa de 702 M USD equivale a unas 0,7 veces el EBITDA ajustado previsto para 2026 (1.007-1.022 M) [3]. El circulante comercial es mínimo (clientes de 53,5 M y proveedores de 7,6 M): los clientes pagan cada nómina por adelantado y los costes de captación diferidos (1.038,1 M, corto más largo plazo) son la partida grande del activo operativo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1.965</w:t>
      </w:r>
      <w:r>
        <w:t xml:space="preserve">, conversión </w:t>
      </w:r>
      <w:r>
        <w:rPr>
          <w:b/>
          <w:bCs/>
        </w:rPr>
        <w:t xml:space="preserve">81 %</w:t>
      </w:r>
      <w:r>
        <w:t xml:space="preserve"> del beneficio neto; adquisiciones 0, dividendos 234, recompras 1.079.</w:t>
      </w:r>
    </w:p>
    <w:p>
      <w:pPr>
        <w:spacing w:after="100"/>
      </w:pPr>
      <w:r>
        <w:t xml:space="preserve">El flujo operativo pasó de 98,8 M USD en 2016 a 679,0 M en 2025, pero el capex (sobre todo software desarrollado y centros de datos) se comió entre el 30 % y el 44 % de cada año: 275,0 M en 2025, con más de 100 M para preparar los centros de datos para modelos de IA propios [1, 9]. En el primer semestre de 2026 el flujo operativo fue de 427,6 M (con 74,8 M de devolución de impuestos que no se repite) y el capex bajó a 54,9 M, la mitad que un año antes; la empresa prevé un flujo libre de más de 650 M USD en 2026 y un capex de ~6 % de las ventas [2, 9]. Estimación propia: el capex de mantenimiento ronda el 5-6 % de las ventas (desarrollo de software capitalizado y equipos), y el resto de 2025 fue crecimiento (centros de datos). Uso de la caja: 1.389,7 M de recompras y 35,5 M de dividendos en el primer semestre de 2026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Grant Thornton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Grant Thornton audita desde 2009, con opinión favorable sobre las cuentas y el control interno de 2025; la cuestión clave de auditoría fue la vida estimada de los clientes (10 años), que fija a qué ritmo se reconocen las cuotas de alta [1]. Tres asuntos contables pesan: (1) </w:t>
      </w:r>
      <w:r>
        <w:rPr>
          <w:b/>
        </w:rPr>
        <w:t xml:space="preserve">capitalización</w:t>
      </w:r>
      <w:r>
        <w:t xml:space="preserve">: la I+D capitalizada fue de 152,9 M USD en 2025 (436,3 M de I+D total frente a 283,4 M en gasto), una parte grande del capex, y se amortiza en pocos años [1]; (2) </w:t>
      </w:r>
      <w:r>
        <w:rPr>
          <w:b/>
        </w:rPr>
        <w:t xml:space="preserve">pagos en acciones</w:t>
      </w:r>
      <w:r>
        <w:t xml:space="preserve">: 118,7 M en 2025 (5,8 % de las ventas), −22,9 M en 2024 por la reversión del paquete del fundador y 31,6 M en el primer semestre de 2026 [1, 3]; la empresa prevé un 3 % de las ventas en 2026 [9]; (3) </w:t>
      </w:r>
      <w:r>
        <w:rPr>
          <w:b/>
        </w:rPr>
        <w:t xml:space="preserve">costes de captación diferidos</w:t>
      </w:r>
      <w:r>
        <w:t xml:space="preserve"> (comisiones), 1.038,1 M a 30-jun-2026, que suavizan el gasto comercial [2]. El tipo efectivo sube al 29,3 % en 2026 por menos deducciones de pagos en acciones y de I+D [2]. Indicadores del motor: el Altman Z y el Piotroski se leen sin los fondos de clientes, que inflan el activo corriente; el Beneish de 2024 lo distorsiona la reversión de 117,5 M.</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Reversión de pagos en acciones de 117,5 M USD en 2024</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 el BPA GAAP de 2024 (8,92 USD frente a ~7,08 normalizado) y la historia del PER; se normaliza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 capitalizada alta (≈35 % de la I+D total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gasto a capex y amortización; la caída de la capitalizada en 2026 (15,6 M en el 2T frente a 36,9 M) coincide con la de la I+D en gasto: es reducción real, no reclasificación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 colectiva por las declaraciones sobre Beti</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la moción de desestimación desde 2024; la empresa no prevé efecto material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52 M en 2025 (el 4 % del capital invertido medio); ha subido más de un 5 % en 0 de 9 años: sin compras. ROIC publicado 32,8 %; sin fondo de comercio, 34,1 %. Sin compras relevantes: el publicado ya es el ROIC del negocio.</w:t>
      </w:r>
    </w:p>
    <w:p>
      <w:pPr>
        <w:spacing w:after="100"/>
      </w:pPr>
      <w:r>
        <w:rPr>
          <w:b/>
          <w:bCs/>
        </w:rPr>
        <w:t xml:space="preserve">ROIC incremental</w:t>
      </w:r>
      <w:r>
        <w:t xml:space="preserve"> (variación del NOPAT sobre variación del capital invertido en el periodo): 29,1 % · </w:t>
      </w:r>
      <w:r>
        <w:rPr>
          <w:b/>
          <w:bCs/>
        </w:rPr>
        <w:t xml:space="preserve">WACC</w:t>
      </w:r>
      <w:r>
        <w:t xml:space="preserve">: 9,7 %.</w:t>
      </w:r>
    </w:p>
    <w:p>
      <w:pPr>
        <w:spacing w:after="100"/>
      </w:pPr>
      <w:r>
        <w:t xml:space="preserve">Paycom crea mucho valor: el ROIC fue del 32,8 % en 2025 frente a un WACC del 9,71 %, 23 puntos por encima, y del 29,9-56,3 % desde 2016. No hay fondo de comercio que lo distorsione: sin él el ROIC es del 34,1 %, porque la empresa nunca ha comprado nada [1]. El ROIC incremental del periodo, del 31,5 %, dice que el capital nuevo (centros de datos, software capitalizado y la sede de Oklahoma City) rinde lo mismo que el viejo. Lo mueve el margen, no la rotación: un margen EBITDA GAAP del 36,2 % en 2025 y del 39,4 % en los últimos 12 meses, con unos pagos en acciones del 5,8 % de las ventas que contamos como coste [1]. El ROE, inflado tras recomprar el 20 % de las acciones con 900 M USD de deuda en el primer semestre de 2026, no es un buen indicador [2]. Paychex tiene un ROIC del 26,8 % y ADP del 43,4 % [36].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corporativa de 198,0 M USD a 30-jun-2026 y 1.225 M disponibles de la línea renovable de 2.125 M (900 M dispuestos), con vencimiento en abril de 2031 [2,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fondos de clientes (3.006,1 M USD a 30-jun-2026, 5.137,0 M a cierre de 2025 por la estacionalidad de fin de año) y su obligación (3.005,8 M) inflan el activo y el pasivo corrientes; se anulan entre sí y quedan fuera de la caja propia y de la deuda [2]. La deuda de 900 M es una línea renovable garantizada con todos los bienes muebles del grupo, a SOFR más un diferencial, sin amortización hasta abril de 2031 [2, 10]. Los arrendamientos operativos (82,8 M de pasivo) no se cuentan como deuda porque su gasto está en el EBITDA (US GAAP) [2]. Contingencias: una demanda colectiva de valores de 2023-2024 por las declaraciones sobre el efecto de Beti en los ingresos (pendiente de la moción de desestimación) y tres demandas derivadas suspendidas [1]. Obligación de patrocinio del pabellón de Oklahoma City hasta, como tarde, el 30-sep-2028, ya rebajada [2].</w:t>
      </w:r>
    </w:p>
    <w:p>
      <w:pPr>
        <w:pStyle w:val="Heading1"/>
      </w:pPr>
      <w:r>
        <w:t xml:space="preserve">12. Asignación de capital</w:t>
      </w:r>
    </w:p>
    <w:p>
      <w:pPr>
        <w:pStyle w:val="Confianza"/>
        <w:spacing w:after="100"/>
      </w:pPr>
      <w:r>
        <w:t xml:space="preserve">Confianza: Alta</w:t>
      </w:r>
    </w:p>
    <w:p>
      <w:pPr>
        <w:spacing w:after="100"/>
      </w:pPr>
      <w:r>
        <w:t xml:space="preserve">Dividendo trimestral de 0,375 USD desde 2023 (1,50 USD al año, rentabilidad del 0,6 %) y recompras como prioridad: el plan de julio de 2024 (1.500 M USD) se agotó en marzo de 2026 y el consejo aprobó otro de 2.000 M sin caducidad el 4-may-2026, con 1.655,5 M disponibles a 30-jun-2026 [2, 11]. Las recompras se financian con caja y con la línea renovable, ampliada de 1.000 M a 2.125 M en 2026 [2, 10]. No hay adquisiciones: todo el crecimiento es propio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La asignación de capital ha cambiado de golpe. Entre 2016 y 2025 Paycom recompró de forma moderada (unos 1.080 M USD en total) y reinvirtió en capex propio; en el primer semestre de 2026 recompró el 20 % de las acciones (10,9 millones a ~127 USD de media, 1.389,7 M) cuando cotizaba a 114-140 USD [2, 3]. Con el precio de hoy, 239 USD, la compra ha sido muy rentable para el accionista que se quedó. Lo discutible es que se haya hecho con deuda (900 M) en un negocio que guarda fondos de clientes y en el pico del endeudamiento del fundador como accionista del 13 %, que no vendió: su participación sube sin poner dinero [2]. La inversión en centros de datos para IA (más de 100 M en 2025) se ha traducido en un ahorro de 100 M de I+D en 2026, según la dirección [9]. Sin compras de empresas no hay riesgo de fondo de comercio (51,9 M desde 2014)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Chad Richison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consejero delegado y 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Paycom en 1998 tras ser comercial de ADP y Ceridian; la llevó de cero a 2.051,7 M USD de ingresos sin compras y a la bolsa en 2014. Compartió el cargo de febrero a mayo de 2024 y volvió como único consejero delegado [22]. Tiene 5.899.707 acciones (12,4 % en marzo de 2026, ≈13,1 % tras las recompras) y no ha vendido en 12 meses [22,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Shane Hadlock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clientes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Catorce años en Paycom (TI y seguridad, director de clientes y de tecnología); presidente desde febrero de 2026 con la función de director de operaciones principal, ligado a la subida de la retención al 91 %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D. Foster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Paycom desde 2022; antes dirigió iiPay, una empresa de nóminas internacional (2014-2022). Sustituyó a Craig Boelte (director financiero de 2006 a 2025)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Randy Peck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Reporta al presidente desde febrero de 2026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Jeff York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Vuelve al cargo que ocupó de 2007 a 2021, en sustitución de Amy Walker (enero de 2026) [27].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2.045-2.055 M USD y EBITDA ajustado de 872-882 M (guía de noviembre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2.051,7 M y 882,3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(feb-2026): ingresos de 2.175-2.195 M y EBITDA ajustado de 950-970 M; elevada en agosto a 2.197-2.212 M y 1.007-1.022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1.103,1 M de ingresos y 510,4 M de EBITDA ajustado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 dos cifras sostenido; la guía del 4T23 se recortó el 31-oct-2023 por Beti</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2023 de 1.693,7 M (+23,2 %), 2024 +11,2 %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empresa es la de su fundador: Richison es consejero delegado y presidente desde 1998, tiene el 13 % y la empresa reconoce que depende de él [1]. El equipo ha rotado mucho en 24 meses: director financiero nuevo (febrero de 2025), presidente (febrero de 2026), director comercial (enero de 2026, vuelve el de 2007-2021) y salida del director de sistemas en 2025, casi todos promociones internas [22, 26, 27]. La credibilidad de la guía es buena en 2025-2026 (cumplida y elevada), tras el golpe de 2023, cuando la dirección tardó en reconocer que Beti recortaba ingresos [1, 3, 4, 5, 6]. No hay plan de sucesión público; el nombramiento de Hadlock como presidente con funciones operativas es el paso más claro.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Chad Richison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Frederick C. Peters 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L. Binz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Henry C. Duques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Sharen J. Turney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J.C. Watts,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E. Boelte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(exdirector financiero 2006-2025)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William Kerber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(exdirector de sistemas 2007-2017)</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47,1 %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1,59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Chad Richison (directo y Ernest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≈13,1 % sobre 45,1 M de acciones tras las recompras, sin ventas [22,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enero de 2024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Harris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febrero de 2026 (entrada)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Polen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julio de 2025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19,7 M de acciones en autocartera sobre 64,0 M emitidas a 30-jun-2026 [3]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Shane Hadlock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Randy Peck (director de operaciones)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D. Foster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Randy Peck (director de operaciones)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fundador cobró 22,8 M USD en 2025 (3,5 M en 2024): 0,86 M de sueldo, 1,73 M de variable anual, 18,4 M en acciones y 1,86 M de otros (seguridad, avión privado con 75 horas de uso personal) [22]. El paquete especial de 2020, el «2020 CEO Performance Award», fue muy contestado y Richison renunció a él en febrero de 2024 (reversión de 117,5 M USD); en 2025 el comité de retribuciones diseñó un programa «alineado con el mercado» que incluye acciones con condiciones de mercado [22]. Las métricas más importantes son ingresos y EBITDA ajustado, no rentabilidad sobre capital ni flujo libre [22]. El voto consultivo de la junta de 2026 tuvo un 39,1 % en contra de los votos emitidos (47,1 % del capital libre, descontando las acciones del fundador), frente al 8,6 % de 2025 [23, 24]. Hay cláusula de recuperación (SOX 304) y el contrato del fundador no prevé pagos por cambio de control [22].</w:t>
      </w:r>
    </w:p>
    <w:p>
      <w:pPr>
        <w:pStyle w:val="Heading2"/>
      </w:pPr>
      <w:r>
        <w:t xml:space="preserve">Operaciones vinculadas, estructura de control y defensas</w:t>
      </w:r>
    </w:p>
    <w:p>
      <w:pPr>
        <w:spacing w:after="100"/>
      </w:pPr>
      <w:r>
        <w:t xml:space="preserve">No hay accionista de control: el fundador tiene ~13 %, una sola clase de acciones [22]. Pero hay defensas: consejo escalonado en tres clases con mandatos de tres años (que la empresa defiende por «estabilidad»), presidente y consejero delegado en la misma persona y un consejo que en julio de 2026 pasó de 6 a 8 miembros con dos antiguos directivos de la casa (el exdirector financiero Craig Boelte, que dejó el cargo en febrero de 2025 y no es independiente, y el exdirector de sistemas William Kerber) [22, 25]. Operación vinculada: Paycom pagó 1,7 M USD en 2025 a una sociedad del fundador que organiza un torneo universitario de lucha, por el patrocinio principal [22]. Elección por mayoría en elecciones no disputadas [22].</w:t>
      </w:r>
    </w:p>
    <w:p>
      <w:pPr>
        <w:pStyle w:val="Heading2"/>
      </w:pPr>
      <w:r>
        <w:t xml:space="preserve">Señales de alerta</w:t>
      </w:r>
    </w:p>
    <w:p>
      <w:pPr>
        <w:pStyle w:val="ListParagraph"/>
        <w:numPr>
          <w:ilvl w:val="0"/>
          <w:numId w:val="2"/>
        </w:numPr>
        <w:spacing w:after="60"/>
      </w:pPr>
      <w:r>
        <w:t xml:space="preserve">Voto en contra del 39,1 % a la remuneración y del 36,4 % a la reelección de la consejera Turney en la junta de 2026 [23].</w:t>
      </w:r>
    </w:p>
    <w:p>
      <w:pPr>
        <w:pStyle w:val="ListParagraph"/>
        <w:numPr>
          <w:ilvl w:val="0"/>
          <w:numId w:val="2"/>
        </w:numPr>
        <w:spacing w:after="60"/>
      </w:pPr>
      <w:r>
        <w:t xml:space="preserve">Consejo ampliado en julio de 2026 con dos antiguos directivos, uno de ellos (Boelte) demandado junto al fundador en la demanda colectiva de 2023 [1, 25].</w:t>
      </w:r>
    </w:p>
    <w:p>
      <w:pPr>
        <w:pStyle w:val="ListParagraph"/>
        <w:numPr>
          <w:ilvl w:val="0"/>
          <w:numId w:val="2"/>
        </w:numPr>
        <w:spacing w:after="60"/>
      </w:pPr>
      <w:r>
        <w:t xml:space="preserve">Pago de 1,7 M USD a una sociedad del fundador (patrocinio de un torneo de lucha) [22].</w:t>
      </w:r>
    </w:p>
    <w:p>
      <w:pPr>
        <w:pStyle w:val="ListParagraph"/>
        <w:numPr>
          <w:ilvl w:val="0"/>
          <w:numId w:val="2"/>
        </w:numPr>
        <w:spacing w:after="60"/>
      </w:pPr>
      <w:r>
        <w:t xml:space="preserve">Rotación alta de la alta dirección en 2025-2026 (director financiero, presidente, director comercial, director de sistemas) [22, 26, 27].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elevada el 5-ago-2026: ingresos de 2.197-2.212 M USD (+7-8 %), recurrentes +8-9 %, intereses de los fondos de clientes de ~105 M (con los tipos de agosto) y EBITDA ajustado de 1.007-1.022 M (margen del ~46 %) [3]. En la conferencia: flujo libre de más de 650 M, capex de ~6 % de las ventas, tipo GAAP del 29 % y pagos en acciones del 3 % de las ventas [3]. No hay objetivos a medio plazo publicados; la dirección habla de «menos del 5 %» del mercado servido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13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 – 286,00</w:t>
            </w:r>
          </w:p>
        </w:tc>
      </w:tr>
    </w:tbl>
    <w:p>
      <w:pPr>
        <w:spacing w:after="160" w:before="0"/>
      </w:pPr>
    </w:p>
    <w:p>
      <w:pPr>
        <w:pStyle w:val="Heading2"/>
      </w:pPr>
      <w:r>
        <w:t xml:space="preserve">Revisiones de estimaciones</w:t>
      </w:r>
    </w:p>
    <w:p>
      <w:pPr>
        <w:spacing w:after="100"/>
      </w:pPr>
      <w:r>
        <w:t xml:space="preserve">Fuerte subida tras el 2T26: JP Morgan elevó su objetivo de 140 a 264 USD en agosto, KeyBanc de 270 a 280 en septiembre y Barclays de 210 a 250 el 12-oct; Bank of America empezó con Vender (200 USD) el 29-sep y Citi mantiene 194 USD [33]. El BPA ajustado de 2026 del consenso (12,10 USD en Stock Analysis) crece un 30,9 % por la recompra [33]. El BPA de MarketScreener (10,68 USD en 2026) es GAAP, el de Stock Analysis ajustado (sin pagos en acciones): una diferencia de ~1,4 USD [31, 33]. El EBITDA del consenso es el ajustado (sin pagos en acciones).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vivió dos ciclos opuestos. Hasta 2021 multiplicó su valor (+116 % en 2019, +71 % en 2020) como empresa que crecía al 25-30 %; de noviembre de 2021 a abril de 2026 perdió un 79 % por el freno del crecimiento, la canibalización de Beti (−38 % el 1-nov-2023) y el miedo a la IA en el software (mínimo de 104,90 USD el 12-feb-2026, tras la caída general del software del 3-feb) [30]. Desde abril ha subido más del 100 %: la recompra del 20 % del capital a 114-140 USD y unos resultados del 2T26 por encima de lo previsto (+31 % en la semana del 3-ago) [3, 30]. En el año, +51,0 % frente al +13,7 % del S&amp;P 500 y al +1,9 % del ETF de software IGV [30].</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Entre 2016 y 2021 Paycom cotizó a 30-130 veces el beneficio del año siguiente porque crecía al 25-30 % con tipos cero; 2019-2021 se excluyen como años de burbuja. Desde 2022 el PER adelantado cayó de 52,8x a 29,2x (2023), 26,9x (2024) y 14,9x (2025), al frenarse el crecimiento a un dígito alto y por el miedo a la IA [30]. Hoy, a 239 USD, cotiza a unas 19 veces nuestro BPA de 2027: por encima del mínimo de 2025 y por debajo de cualquier otro año. El cambio es estructural (de empresa de crecimiento a software maduro que recompra), no solo de tipos.</w:t>
      </w:r>
    </w:p>
    <w:p>
      <w:pPr>
        <w:pStyle w:val="Heading1"/>
      </w:pPr>
      <w:r>
        <w:t xml:space="preserve">18. Comparables cotizados</w:t>
      </w:r>
    </w:p>
    <w:p>
      <w:pPr>
        <w:pStyle w:val="Confianza"/>
        <w:spacing w:after="100"/>
      </w:pPr>
      <w:r>
        <w:t xml:space="preserve">Confianza: Media</w:t>
      </w:r>
    </w:p>
    <w:p>
      <w:pPr>
        <w:spacing w:after="100"/>
      </w:pPr>
      <w:r>
        <w:t xml:space="preserve">Seis cotizadas de EE. UU. de nóminas, HCM y software de gestión para empresas: ADP y Paychex (nóminas con fondos de clientes, como Paycom), Paylocity (el rival más parecido, en empresas medianas), Workday (HCM para grandes empresas), Intuit (QuickBooks Payroll) y TriNet (PEO). Son los del informe de Paychex del 12-oct, con los múltiplos al cierre del 9-oct llevados al 14-oct con la variación de cada precio [9, 10]. Insperity queda fuera (margen EBITDA del 1 %). Dayforce dejó de cotizar en 2026 y va en transacciones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Paylocity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83.633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Paychex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 / 13,9x / 15,6x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 / 15,1x / 17,5x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 / 21,5x / 24,8x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 / 4,4x / 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221,17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9,4 + 0,76 × crecimiento; R² = 0,29. El crecimiento explica poco los múltiplos de estos comparables (R² &lt; 0,3): la regresión no se usa en la valoración.</w:t>
      </w:r>
    </w:p>
    <w:p>
      <w:pPr>
        <w:spacing w:after="100"/>
      </w:pPr>
      <w:r>
        <w:t xml:space="preserve">Paycom cotiza a 11,3x el EBITDA de los próximos 12 meses y a 20,1x su BPA, frente a medianas de unos 15x y 20,9x: con descuento por EBITDA y en línea por PER, con el margen EBITDA más alto de la muestra después de Paychex y un crecimiento parecido al de Paylocity [36, 37]. El descuento en EV/EBITDA lo explican los pagos en acciones (el EBITDA que se compara es ajustado) y la deuda nueva; por PER la diferencia desaparece. La mediana es frágil (de 12,8x a 15,1x según se quite un comparable) y la regresión no explica los múltiplos. Los comparables dan 299,07 USD por EV/EBITDA y 256,09 USD por PER; el segundo es el más fiable porque incluye los pagos en acciones y el coste de la deuda. Paylocity, el rival más parecido, cotiza a 25,6x con un margen 11 puntos menor [39].</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Dayforce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la guía de 2025 (sin pagos en acciones); cerrada en febrero de 2026 [21, 44].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Paycor HCM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de Paycom en empresas medianas [43].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WorkForce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ingresos publicados [46].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Ultimate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Consorcio de Hellman &amp; Friedman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EV/ventas sobre «más de 1.100 M» de ingresos de 2018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284,18 – 371,75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dos compras de HCM de 2025 se pagaron a unas 6,3 veces las ventas, con primas del 32 % (Dayforce) y del 19 % (Paycor) [21, 43]. La opinión de Evercore para Dayforce da una mediana de 19,1 veces el EBITDA ajustado de las transacciones de HCM desde 2019 [44]. Paycom vale hoy unas 5,4 veces sus ventas de los últimos 12 meses: por debajo de esos precios de control. Una compra es poco probable mientras el fundador, con el 13 % y el consejo escalonado, siga al mando.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+7,4 % en 2026e (el punto medio de la guía de 2.197-2.212 M USD), +7,0 % en 2027e y 2028e y bajando al 4,5 % en 2033e: un 6,1 % medio [3]. El primer semestre creció un 8,8 % y la guía implica un 6,5 % en el segundo [3]. Proyectamos muy por debajo del 22,5 % anual de 2016-2025 porque la empresa ya no gana cuota como antes: Beti canibalizó servicios en 2023-2024, el crecimiento bajó del 23 % de 2023 al 11 % de 2024 y al 9 % de 2025, y los intereses de los fondos (5,5 % de las ventas) bajarán si lo hacen los tipos [1, 22]. El consenso espera un 7,5 % en 2027 y un 7,9 % en 2028 [31].</w:t>
      </w:r>
    </w:p>
    <w:p>
      <w:pPr>
        <w:keepNext/>
        <w:spacing w:after="100"/>
      </w:pPr>
      <w:r>
        <w:rPr>
          <w:b/>
          <w:bCs/>
        </w:rPr>
        <w:t xml:space="preserve">Márgenes.</w:t>
      </w:r>
    </w:p>
    <w:p>
      <w:pPr>
        <w:spacing w:after="100"/>
      </w:pPr>
      <w:r>
        <w:t xml:space="preserve">Margen EBITDA GAAP del 43,0 % en 2026e (la guía de EBITDA ajustado del 46 % menos unos pagos en acciones del 3 % de las ventas), 43,5 % en 2027e y 44,0 % desde 2028e [3, 9]. Es el margen ajustado del consenso (46,6 % en 2027) menos esos pagos [31]. La mejora sobre el 36,2 % GAAP de 2025 viene de la plantilla (unos 500 despidos en octubre de 2025) y del ahorro de unos 100 M USD en I+D por los centros de datos propios para IA [8, 17]. No proyectamos más porque el 44 % ya es el más alto del sector salvo Paychex y una parte del margen son intereses de fondos con margen casi completo.</w:t>
      </w:r>
    </w:p>
    <w:p>
      <w:pPr>
        <w:keepNext/>
        <w:spacing w:after="100"/>
      </w:pPr>
      <w:r>
        <w:rPr>
          <w:b/>
          <w:bCs/>
        </w:rPr>
        <w:t xml:space="preserve">Inversión y circulante.</w:t>
      </w:r>
    </w:p>
    <w:p>
      <w:pPr>
        <w:spacing w:after="100"/>
      </w:pPr>
      <w:r>
        <w:t xml:space="preserve">Capex del 6,5 % de las ventas (inmovilizado más software capitalizado), frente al 13,4 % de 2025, año de construcción de centros de datos, y a la guía de un 6 % en 2026 [1, 9]. La amortización baja del 9,3 % de las ventas en 2026e al 6,6 % en 2033e, cuando se agota la de la inversión de 2023-2025; el último año el capex (6,8 %) la supera. Circulante del 2 % de las ventas: el negocio cobra por adelantado y los fondos de clientes no se cuentan. La reinversión neta acumulada es negativa (−210 M USD): el crecimiento sale de precio y volumen sin capital nuevo.</w:t>
      </w:r>
    </w:p>
    <w:p>
      <w:pPr>
        <w:keepNext/>
        <w:spacing w:after="100"/>
      </w:pPr>
      <w:r>
        <w:rPr>
          <w:b/>
          <w:bCs/>
        </w:rPr>
        <w:t xml:space="preserve">Coste del capital.</w:t>
      </w:r>
    </w:p>
    <w:p>
      <w:pPr>
        <w:spacing w:after="100"/>
      </w:pPr>
      <w:r>
        <w:t xml:space="preserve">Tasa libre del 5,21 % (bono de EE. UU. a 10 años, 13-oct-2026) [34]; beta de 0,90, la media entre la de cinco años mensual (0,79) y la de dos años semanal (1,00), porque la acción es mucho más volátil de lo que dice la beta mensual (46,5 % anual) [30]; prima de mercado del 5,5 %, la misma que en el informe de Paychex. Coste de la deuda del 6,0 % (la línea renovable a tipo variable, SOFR más diferencial) y un peso del 7,7 % (900 M USD frente a una capitalización de 10.779 M) [10]. WACC del 9,71 %.</w:t>
      </w:r>
    </w:p>
    <w:p>
      <w:pPr>
        <w:keepNext/>
        <w:spacing w:after="100"/>
      </w:pPr>
      <w:r>
        <w:rPr>
          <w:b/>
          <w:bCs/>
        </w:rPr>
        <w:t xml:space="preserve">Valor terminal.</w:t>
      </w:r>
    </w:p>
    <w:p>
      <w:pPr>
        <w:spacing w:after="100"/>
      </w:pPr>
      <w:r>
        <w:t xml:space="preserve">Crecimiento perpetuo del 3,0 %: un 1 % real más un 2 % de inflación en USD, por debajo del 5,21 % de la tasa libre menos medio punto. El último año explícito crece un 4,5 % con un margen del 44 %; la reinversión terminal cubre el crecimiento con un ROIC muy por encima del WACC. El múltiplo de salida implícito es coherente con el EV/EBITDA de los comparables de crecimiento parecido (ADP, Paychex) [36].</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213,68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266,30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 (reinvierte el 26 %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 (histórico: 29,1 %)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 frente al 6,1 %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 (hoy: 5,0 %)</w:t>
            </w:r>
          </w:p>
        </w:tc>
      </w:tr>
    </w:tbl>
    <w:p>
      <w:pPr>
        <w:spacing w:after="160" w:before="0"/>
      </w:pPr>
    </w:p>
    <w:p>
      <w:pPr>
        <w:spacing w:after="100"/>
      </w:pPr>
      <w:r>
        <w:t xml:space="preserve">La proyección apenas necesita inversión neta de la amortización (reinversión acumulada de -210 M, con un capex bruto medio del 6,5 % de las ventas). En un negocio de activos ligeros, el crecimiento medio del 6,1 % tiene que salir de subir precios y de ganar volumen sin capital nuevo, y la prueba es el poder de precios y la cuota (5,4 % del mercado en 2033e, frente al 5,0 %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clientes nuevos y empleados por cliente, con la retención récord del 91 % [1]. Precio: subidas anuales de tarifa y módulos como IWant (IA) incluidos en el precio por empleado [8]. Otros: los intereses de los fondos bajan de 113,0 a unos 105 M USD con la guía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patrón: la venta de módulos nuevos (Asset Management, GONE, IWant) a la base y la entrada en empresas de más de 1.000 empleados; el empleo privado de EE. UU. aporta poco [8,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se mantiene en la línea de la historia; el volumen depende de seguir ganando clientes a Paylocity, Paycor y ADP con menos del 5 % del mercado direccionable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Desaceleración gradual del volumen por la competencia de Rippling y los agentes de IA en la empresa mediana [20].</w:t>
            </w:r>
          </w:p>
        </w:tc>
      </w:tr>
    </w:tbl>
    <w:p>
      <w:pPr>
        <w:spacing w:after="160" w:before="0"/>
      </w:pPr>
    </w:p>
    <w:p>
      <w:pPr>
        <w:spacing w:after="100"/>
      </w:pPr>
      <w:r>
        <w:t xml:space="preserve">La calidad de Paycom sostiene el 6,1 % anual que proyectamos: es un tercio del 22,5 % de 2016-2025 y menos que el 8,8 % del primer semestre de 2026 [3]. Apenas necesita capital (reinversión neta negativa) y el ROIC del 32,8 % triplica el WACC. El crecimiento sale de volumen y precio con una cuota del 5 % de un mercado que crece un 5 % al año, que solo sube al 5,4 % en 2033e. El foso es estrecho (costes de cambio y producto de una sola base de datos), pero la retención del 91 % y la subida de la guía de 2026 en agosto demuestran poder de precios después de Beti [1, 3].</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(base: 5,9 %)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46,2 % (base: 44,0 %)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 (WACC: 9,7 %)</w:t>
            </w:r>
          </w:p>
        </w:tc>
      </w:tr>
    </w:tbl>
    <w:p>
      <w:pPr>
        <w:spacing w:after="160" w:before="0"/>
      </w:pPr>
    </w:p>
    <w:p>
      <w:pPr>
        <w:spacing w:after="100"/>
      </w:pPr>
      <w:r>
        <w:t xml:space="preserve">El DCF da 224,65 USD por acción, un 6,0 % por debajo del precio de 239,00 USD, con un valor terminal del 64 % del total. Nuestra proyección coincide con el consenso: 0,2 % menos de ingresos en 2026e y 1,5 % menos en 2028e, con un EBITDA un 3,0 % menor ese año [31]. La diferencia está en la tasa: el precio descuenta una rentabilidad del 9,3 % anual frente a un WACC del 9,71 %. Con nuestro WACC, el precio pide un crecimiento del 7,0 % anual en 2027e-2033e frente al 5,9 % de nuestro caso base, o un margen EBITDA del 46,2 % frente al 44 %: ni una cosa ni otra es exigente para una empresa que crece un 8,8 % este año. Con la prima de riesgo que hoy pide el mercado (4,20 %, WACC del 8,63 %), el DCF sube a 270,58 USD. La lectura es que el precio está cerca del valor: ni exige mucho ni deja margen de seguridad con el bono de EE. UU. al 5,21 %. El valor depende sobre todo de la tasa de descuento y del crecimiento de 2029e en adelante.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reduce las plantillas administrativas de los clientes y Paycom, que cobra por empleado, pierde volumen; Rippling y los agentes de IA aprietan el precio en la empresa mediana y el crecimiento cae al 3-4 %, como en el 2T25 cuando la canibalización de Beti lo bajó al 6 % [1]. La Reserva Federal baja los tipos y los intereses de los fondos se reducen. Margen 2,5 puntos menor y WACC medio punto mayor.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se estabiliza en el 7 % con precio y módulos nuevos y luego converge al 4,5 %; el margen EBITDA GAAP sube al 44 % con el ahorro de la IA en la propia plantilla; en línea con la guía y el consenso [3, 31].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IWant y los agentes de IA suben el ingreso por cliente y la retención, Paycom gana cuota en la empresa de más de 1.000 empleados tras la venta de Dayforce y el crecimiento vuelve al 9 %; margen del 45,5 % y un WACC un cuarto de punto menor.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3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221,54 USD (-7,3 %).</w:t>
      </w:r>
    </w:p>
    <w:p>
      <w:pPr>
        <w:spacing w:after="100"/>
      </w:pPr>
      <w:r>
        <w:t xml:space="preserve">La asimetría es mala con nuestro WACC: el alcista gana un 17,9 % (281,87 USD) y el bajista pierde un 35,2 % (154,97 USD), una relación de 0,51x. El bajista es verosímil, porque combina algo que ya pasó (la caída del crecimiento por Beti en 2024-2025) con el riesgo nuevo de que la IA reduzca las plantillas de los clientes, y aun así deja la acción por encima del mínimo de 104,90 USD de las últimas 52 semanas [30]. Con la prima del mercado (4,20 %) el cuadro cambia: alcista de 345,38 USD, bajista de 181,76 USD y asimetría de 1,86x. Como en Paychex, la conclusión depende más del coste de capital que de las cifras.</w:t>
      </w:r>
    </w:p>
    <w:p>
      <w:pPr>
        <w:pStyle w:val="Heading1"/>
      </w:pPr>
      <w:r>
        <w:t xml:space="preserve">22. Suma de partes</w:t>
      </w:r>
    </w:p>
    <w:p>
      <w:pPr>
        <w:pStyle w:val="Confianza"/>
        <w:spacing w:after="100"/>
      </w:pPr>
      <w:r>
        <w:t xml:space="preserve">Confianza: Media</w:t>
      </w:r>
    </w:p>
    <w:p>
      <w:pPr>
        <w:spacing w:after="100"/>
      </w:pPr>
      <w:r>
        <w:t xml:space="preserve">No aplica: Paycom tiene un solo segmento operativo y no publica resultado por línea de ingresos [1]. Los intereses de los fondos de clientes (113,0 M USD en 2025, el 5,5 % de las ventas) son un subproducto del proceso de nóminas, no un negocio separable; su sensibilidad a los tipos se trata en los riesgos.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3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237,29 USD (-0,7 % sobre 239,00).</w:t>
      </w:r>
    </w:p>
    <w:p>
      <w:pPr>
        <w:spacing w:after="100"/>
      </w:pPr>
      <w:r>
        <w:t xml:space="preserve">El DCF pesa un 45 % porque el negocio es recurrente, casi no necesita capital y la proyección coincide con el consenso; los escenarios un 30 % para recoger la asimetría; los comparables un 20 %, por su fragilidad (mediana de 12,8x a 15,1x) y su heterogeneidad; y las transacciones un 5 %, porque llevan prima de control (Dayforce pagó un 32 % y Paycor un 19 %) y el fundador, con un 13 %, no tiene intención declarada de vender [21, 22, 43]. La dispersión es amplia: del 221,54 USD de los escenarios al 284,42 USD de las transacciones. El valor objetivo de 237,29 USD queda un 0,7 % por debajo del precio; con la prima del mercado, en 271,62 USD (+13,6 %). Los fondos de clientes no suman: se anulan con sus obligaciones.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(19.5x) × 1.1 (tope: la mediana de 5 años, 28.1x,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290,68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426,01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+78,9 %</w:t>
            </w:r>
          </w:p>
        </w:tc>
      </w:tr>
    </w:tbl>
    <w:p>
      <w:pPr>
        <w:spacing w:after="160" w:before="0"/>
      </w:pPr>
    </w:p>
    <w:p>
      <w:pPr>
        <w:spacing w:after="100"/>
      </w:pPr>
      <w:r>
        <w:rPr>
          <w:b/>
          <w:bCs/>
        </w:rPr>
        <w:t xml:space="preserve">Objetivo a 12 meses (ponderado):</w:t>
      </w:r>
      <w:r>
        <w:t xml:space="preserve"> 295,17 USD · rentabilidad +24,1 % (base +22,3 %) · señal Mantener.</w:t>
      </w:r>
    </w:p>
    <w:p>
      <w:pPr>
        <w:spacing w:after="100"/>
      </w:pPr>
      <w:r>
        <w:t xml:space="preserve">Para comparar, con la regla v2 (historia al cierre, mismo precio): 16,6x / 19,5x / 25,4x, 15,3 % Mantener; con el tope anterior del base (×1,3, 14-oct mediodía): 33,5 %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2028e (13,52 USD) es un 2,9 % menor que el del consenso (13,92 USD), y el de 2027e (12,24 USD) coincide con él. Pero el del consenso es ajustado, sin pagos en acciones (unos 70 M USD al año, 1,1 USD por acción): con la misma base, el nuestro estaría un 5 % por encima por las recompras de 2026 [31]. Nuestro precio base (290,68 USD) supera en un 30,6 % el objetivo medio de los analistas (222,59 USD), que está por debajo del precio: los analistas no han subido los objetivos al ritmo de la acción (+50 % desde agosto) [32].</w:t>
      </w:r>
    </w:p>
    <w:p>
      <w:pPr>
        <w:keepNext/>
        <w:spacing w:after="100"/>
      </w:pPr>
      <w:r>
        <w:rPr>
          <w:b/>
          <w:bCs/>
        </w:rPr>
        <w:t xml:space="preserve">Del valor intrínseco al objetivo a 12 meses.</w:t>
      </w:r>
    </w:p>
    <w:p>
      <w:pPr>
        <w:spacing w:after="100"/>
      </w:pPr>
      <w:r>
        <w:t xml:space="preserve">El objetivo a 12 meses (295,17 USD ponderado) supera en un 24 % al valor intrínseco (237,29 USD). La distancia sale del múltiplo: la regla lleva el PER de 19,5x a 21,5x, un 10 % más, porque la mediana de cinco años (28,1x) está muy por encima, mientras el DCF con un WACC del 9,71 % equivale a unas 18x. Para que el precio llegue al objetivo hace falta que el mercado siga pagando la recuperación (resultados del 3T26 el 4-nov-2026 y guía de 2027 en febrero) y que no suban los tipos a largo. Si el WACC del mercado (8,63 %) es el correcto, el valor intrínseco es de 271,62 USD y la distancia se reduce a la mitad.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Hacia el 4-nov-2026 (fecha no anunciada)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implica un +6,5 % en el segundo semestre; por encima del +7 % confirmaría que la desaceleración de Beti terminó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Reunión de la Reserva Federal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pb de tipos mueven 25,7 M USD de intereses de los fondos (0,41 USD por acción después de impuestos)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guía de ingresos por encima del +7 % sostendría la tesis; por debajo del +5 % la rompería.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semestre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Uso del resto del programa de recompra (2.000 M USD aprobados; 1.389,7 M usados en el primer semestre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610 M USD más reducirían las acciones un 5 % a este precio [2,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voto de remuneración tuvo un 39,1 % en contra en 2026; otro voto en contra mayoritario obligaría a cambiar el paquete del fundador [23].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1T27 (el trimestre de más margen)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lectura de la retención y de los empleados por cliente tras la temporada de altas de enero.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reduce las plantillas administrativas de los clientes (Paycom cobra por empleado) y abarata el software de nóminas y RR. HH.</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y 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−35 % (escenario bajista: −35,2 %)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propia Paycom usa la IA para recortar costes (unos 500 despidos y 100 M USD menos de I+D) y la integra en el producto (IWant); la nómina es regulada y el cliente necesita un responsable [8,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Empleados por cliente a la baja o retención por debajo del 90 %.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del crecimiento: de +23 % en 2023 a +9 % en 2025 y +6,5 % implícito en el segundo semestre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punto menos de crecimiento sostenido (estimación propia con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récord del 91 % y guía subida en agosto [1,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ingresos de 2027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la empresa mediana: Rippling, Paylocity, Paychex con Paycor, ADP y Dayforce en manos de Thoma Bravo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−15 %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del 46 %, que deja espacio para competir en precio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por debajo del 90 % o rebajas de precio en la renovación.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los intereses de los fondos de clientes (113,0 M USD en 2025) tienen margen casi completo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100 pb (25,7 M USD; 0,41 USD por acción)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saldo medio de fondos crece un 9 %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media de la cartera de fondos por debajo del 3,5 %.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fundador consejero delegado y presidente, remuneración de 22,8 M USD y un 39,1 % de votos en contra en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(descuento de múltiplo;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tiene un 13 %, no vende y renunció al paquete de 2020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paquete especial o ventas del fundador.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nueva de 900 M USD a tipo variable para recomprar acciones a 127 USD de media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0,8 veces el EBITDA y vencimiento en 2031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deuda para recompras con la acción por encima del valor intrínseco.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bono de EE. UU. al 5,21 %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por cada medio punto más de WACC (sensibilidad del DCF: 208,08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tipos suben también los intereses de los fondos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Seguridad de datos de millones de trabajadores y personas clave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 y 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a −15 % según el alcance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Certificaciones ISO 27001 y 42001 y centros de datos propios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Incidente comunicado en un 8-K.</w:t>
            </w:r>
          </w:p>
        </w:tc>
      </w:tr>
    </w:tbl>
    <w:p>
      <w:pPr>
        <w:spacing w:after="160" w:before="0"/>
      </w:pPr>
    </w:p>
    <w:p>
      <w:pPr>
        <w:pStyle w:val="Heading2"/>
      </w:pPr>
      <w:r>
        <w:t xml:space="preserve">Pre-mortem</w:t>
      </w:r>
    </w:p>
    <w:p>
      <w:pPr>
        <w:spacing w:after="100"/>
      </w:pPr>
      <w:r>
        <w:t xml:space="preserve">Octubre de 2029: la acción ha perdido un 40 % y cotiza por debajo de 145 USD. Empezó en la guía de 2027, de un +5 %: los clientes de Paycom, empresas de 50 a 5.000 empleados, recortaron personal de administración, atención y back office con agentes de IA y el ingreso por empleado dejó de crecer. A la vez, Rippling y Dayforce, ya privada, regalaron meses de servicio para quitarle clientes en la renovación, y la retención bajó del 91 % al 88 %. La Reserva Federal bajó los tipos 200 pb y los intereses de los fondos cayeron unos 50 M USD. El margen aguantó por la IA interna, pero el mercado dejó de ver a Paycom como un compuesto del 7-8 % y la valoró como Paychex, a 15x beneficios. La deuda de 900 M USD, tomada para recomprar en 2026, se refinanció más cara. El indicador que lo habría anticipado: los empleados por cliente y la retención anual del 10-K, dos años antes de que se notara en los ingresos.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 a 3-5 años (entre el caso base y el bajista); hasta −35 % si se combina con la presión de precio</w:t>
      </w:r>
    </w:p>
    <w:p>
      <w:pPr>
        <w:spacing w:after="100"/>
      </w:pPr>
      <w:r>
        <w:t xml:space="preserve">La IA toca a Paycom por tres lados. Por los ingresos: cobra por empleado procesado, y si la IA reduce las plantillas administrativas de sus clientes (empresas de 50 a 10.000 empleados), el volumen se resiente aunque no pierda ni un cliente [1]. Por la competencia: agentes que hacen la nómina o los RR. HH. abaratan la entrada a rivales como Rippling y comprimen el precio [20]. A favor, los costes: unos 500 despidos en octubre de 2025 y 100 M USD menos de I+D con centros de datos propios [8, 17]. La nómina es regulada (impuestos, cumplimiento, responsabilidad) y el dato propio de una sola base de datos es una defensa; no vemos que la IA se coma el negocio a 3-5 años, pero sí que limite el crecimiento. Señal: empleados por cliente y retención anual por debajo del 90 %.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Para Paycom pesan tres asuntos: (1) </w:t>
      </w:r>
      <w:r>
        <w:rPr>
          <w:b/>
        </w:rPr>
        <w:t xml:space="preserve">protección de datos personales</w:t>
      </w:r>
      <w:r>
        <w:t xml:space="preserve"> de millones de empleados de sus clientes (salarios, números de la Seguridad Social, biometría de relojes), con certificaciones ISO 27001 y 27701 [1]; (2) </w:t>
      </w:r>
      <w:r>
        <w:rPr>
          <w:b/>
        </w:rPr>
        <w:t xml:space="preserve">capital humano</w:t>
      </w:r>
      <w:r>
        <w:t xml:space="preserve">: ~500 despidos en octubre de 2025 atribuidos a la IA, con acuerdos de indemnización con cláusula de no desprestigio, en una empresa que presume de cultura [17]; (3) </w:t>
      </w:r>
      <w:r>
        <w:rPr>
          <w:b/>
        </w:rPr>
        <w:t xml:space="preserve">gobierno</w:t>
      </w:r>
      <w:r>
        <w:t xml:space="preserve">: fundador presidente y consejero delegado, consejo escalonado y remuneración contestada [1].</w:t>
      </w:r>
    </w:p>
    <w:p>
      <w:pPr>
        <w:pStyle w:val="Heading2"/>
      </w:pPr>
      <w:r>
        <w:t xml:space="preserve">Controversias</w:t>
      </w:r>
    </w:p>
    <w:p>
      <w:pPr>
        <w:spacing w:after="100"/>
      </w:pPr>
      <w:r>
        <w:t xml:space="preserve">Demanda colectiva de valores (2023-2024) por las declaraciones sobre Beti y tres demandas derivadas, pendientes [1]. Críticas de prensa local a los despidos de octubre de 2025 y a su presentación como sustitución por IA [17]. Sin sanciones de reguladores publicadas en los últimos tres años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han evolucionado los empleados por cliente en 2025-2026 y qué parte del crecimiento es precio, módulos y altas netas de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Paycom cobra por empleado; es la variable que la IA puede romper y la empresa no la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guía implica un +6,5 % en el segundo semestre tras un +8,8 % en el primero?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crecimiento sostenido mueve el valor en torno a un 10 %.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con 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usará el resto del programa (unos 610 M USD) con más deuda y a qué precio dejaría de recomprar?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recompró el 20 % del capital a 127 USD; recomprar por encima del valor intrínseco destruiría valor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cambiará el comité de retribuciones tras el 39,1 % de votos en contra y por qué no hay métricas de rentabilidad ni de flujo de caja?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paquete de 18,4 M USD en acciones del fundador pesa en el gobierno [22, 23].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Fondos de 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duración tiene la cartera de fondos y cuánto cambiaría el ingreso con una bajada de 200 pb?</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105-113 M USD de ingresos con margen casi completo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y amortización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capex de 2025 (275,4 M USD) fue de centros de datos para IA y cuándo baja la amortización?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amortización (9 % de las ventas) supera al capex previsto y marca el margen GAAP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Retención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la retención récord del 91 % se debe a clientes que vuelven a la nómina con servicio tras Beti?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si la canibalización terminó o solo se frenó [1].</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($PAYC)</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mensajes alcistas por dos bajistas: celebran la subida de más del 100 % desde el mínimo y la «ruptura» técnica; uno avisa de que el empleo de septiembre fue débil y que Paycom cobra por empleado [47].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«oportunidad tras la venta masiva» (febrero) y «bono con acciones» (junio) a una rebaja a mantener tras el 2T26 («buen resultado, pero subió demasiado rápido») y un «recuperación con más por venir» en septiembre [48].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local y comentarios (Oklahoma City)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Críticas a los ~500 despidos presentados como sustitución por IA y a las cláusulas de no desprestigio; empleados que niegan que fueran puestos sin contacto con clientes (más de tres meses: contexto) [49].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y beneficio por acción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el 20 % de las acciones recompradas a ~127 USD sube el BPA de 2026 un ~25-30 % [47, 48].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amenaza para el software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Exagerado a corto: la retención sube al 91 % y la IA está bajando los costes de Paycom; el riesgo real es la plantilla de los clientes y el precio a 3-5 años [47, 48].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subida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239 USD cotiza a ~19x nuestro BPA de 2027; el consenso de analistas (222,59 USD) queda por debajo del precio [47, 48].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Empleo y ciclo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Relevante: Paycom cobra por empleado y el empleo privado creció un 0,4 % en 2025; la dirección ve el empleo de sus clientes «estable» [47].</w:t>
            </w:r>
          </w:p>
        </w:tc>
      </w:tr>
    </w:tbl>
    <w:p>
      <w:pPr>
        <w:spacing w:after="160" w:before="0"/>
      </w:pPr>
    </w:p>
    <w:p>
      <w:pPr>
        <w:spacing w:after="100"/>
      </w:pPr>
      <w:r>
        <w:t xml:space="preserve">El sentimiento ha girado de la capitulación de febrero a un optimismo de impulso: los particulares celebran la subida y los autores de Seeking Alpha se dividen sobre si queda recorrido [47, 48]. No es euforia extrema (los analistas siguen mayoritariamente en mantener y el objetivo medio está por debajo del precio), pero el foro mira el precio y la recompra, no la tasa de crecimiento de los ingresos recurrentes, que es la variable que decide. El único riesgo que el foro señala y conviene vigilar es el empleo de los clientes; el de la IA lo discute en abstracto.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24 controles correctos y 4 explicados. Fuentes: 50 (29 primarias); citas distintas en el texto: 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63 % y los ingresos un 30 %: si hubo una compra cerca del cierre, decláralo en financieros.cambios_perimetro y explícalo. Explicación: Paycom no ha comprado ninguna empresa (el fondo de comercio es de 51,9 M USD desde 2016) [1]. El activo salta por los fondos de clientes, que dependen del día de la semana en que cae el cierre del año y de las nóminas pendientes de pago: no es perímetro.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perímetro declarado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activo total crece un 40 % y los ingresos un 11 %: si hubo una compra cerca del cierre, decláralo en financieros.cambios_perimetro y explícalo. Explicación: Mismo motivo que en 2019: el activo total crece por los fondos de clientes al 31 de diciembre, no por compras; el fondo de comercio sigue en 51,9 M USD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5,4 % en 2033e frente al 5,0 %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2,0 % frente a 1,9 % real: genera una variación de circulante de 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0,29: el crecimiento no explica los múltiplos de estos comparables; no uses el valor de la regresión. Explicación: Con seis comparables de modelos distintos (nóminas con fondos de clientes, PEO de margen bajo, HCM para grandes empresas e Intuit) el crecimiento no explica el múltiplo (R² de 0,29).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12,8x a 15,1x según qué comparable se quite (273,13 a 325,01 por acción): la muestra es frágil; explícalo y no le des mucho peso. Explicación: La mediana del EV/EBITDA de los próximos 12 meses va de 12,8x a 15,1x según se quite Workday o Intuit: la muestra es pequeña y heterogénea. Por eso los comparables pesan solo un 20 % y se promedian EV/EBITDA y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 fuentes (29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28, 38, 40, 41,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y web de inversores de Paycom; 2) MSCI ESG Ratings y Sustainalytics (requieren registro); 3) proxy 2026 (solo resume la política ESG)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consejo.desde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(las biografías del consejo no traen el año en el texto extraído); 2) 8-K de nombramientos; 3) web de gobierno corporativo de Paycom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FINRA (datos quincenales, no accesibles sin registro); 2) Stock Analysis (estadísticas); 3) MarketScreener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Paycom Software,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https://www.sec.gov/Archives/edgar/data/1590955/000119312526059372/payc-20251231.htm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Paycom Software,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https://www.sec.gov/Archives/edgar/data/1590955/000119312526338010/payc-20260630.htm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Reports Second Quarter 2026 Results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https://www.sec.gov/Archives/edgar/data/1590955/000119312526335105/payc-ex99_1.htm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Reports First Quarter 2026 Results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https://www.sec.gov/Archives/edgar/data/1590955/000119312526208968/payc-ex99_1.htm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Reports Fourth Quarter and Year-End 2025 Results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https://www.sec.gov/Archives/edgar/data/1590955/000119312526046562/payc-ex99_1.htm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Reports Third Quarter 2025 Results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https://www.sec.gov/Archives/edgar/data/1590955/000119312525266939/payc-ex99_1.htm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series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https://data.sec.gov/api/xbrl/companyfacts/CIK0001590955.json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Quarter 2026 Quarterly Results Prepared Remarks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https://s201.q4cdn.com/761236765/files/doc_financials/2026/q2/PAYC-Q2-2026-Earnings-Final.pdf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(PAYC)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https://www.fool.com/earnings/call-transcripts/2026/08/12/paycom-payc-q2-2026-earnings-call-transcript/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Amended and Restated Credit Agreement (línea renovable de 2.125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https://www.sec.gov/Archives/edgar/data/1590955/000119312526173704/payc-20260423.htm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nuevo programa de recompra de 2.000 M USD y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https://www.sec.gov/Archives/edgar/data/1590955/000119312526204311/payc-20260504.htm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Form 10-K del ejercicio cerrado el 31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https://www.sec.gov/Archives/edgar/data/723531/000119312526307785/payx-20260531.htm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Form 10-K del ejercicio cerrado el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https://www.sec.gov/Archives/edgar/data/8670/000000867026000030/adp-20260630.htm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Holding, datos XBRL del Form 10-K de FY2026 (junio)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https://data.sec.gov/api/xbrl/companyfacts/CIK0001591698.json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datos XBRL del Form 10-K de FY2026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https://data.sec.gov/api/xbrl/companyfacts/CIK0001327811.json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Form 10-K del ejercicio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https://www.sec.gov/Archives/edgar/data/896878/000089687826000037/intu-20260731.htm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lays off 500 employees, will replace jobs with 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KGOU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https://www.kgou.org/business-and-economy/2025-10-01/paycom-lays-off-500-employees-will-replace-jobs-with-ai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Revenue for Payroll Services, Employer Firms (REVEF541214TAXABL)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https://fred.stlouisfed.org/series/REVEF541214TAXABL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 Employees, Total Private (USPRIV)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Bureau of Labor Statistics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https://fred.stlouisfed.org/series/USPRIV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vs. Rippling: Comparing Payroll and HR Systems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https://www.paycom.com/compare/paycom-vs-rippling/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Enters into US$12.3 Billion Definitive Agreement with Thoma Bravo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https://www.sec.gov/Archives/edgar/data/1725057/000119312525184632/d949165dex991.htm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Definitive Proxy Statement (DEF 14A)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https://www.sec.gov/Archives/edgar/data/1590955/000119312526140064/d44715ddef14a.htm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resultados de la junta de 4-may-2026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https://www.sec.gov/Archives/edgar/data/1590955/000119312526211919/payc-20260504.htm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resultados de la junta de 5-may-2025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https://www.sec.gov/Archives/edgar/data/1590955/000095017025066951/payc-20250505.htm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ampliación del consejo con Craig E. Boelte y William Kerber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https://www.sec.gov/Archives/edgar/data/1590955/000119312526299695/payc-20260708.htm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nombramiento de Shane Hadlock como presidente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https://www.sec.gov/Archives/edgar/data/1590955/000119312526058247/payc-20260218.htm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nuevo director comercial (Jeff York) y salida de Amy Walker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https://www.sec.gov/Archives/edgar/data/1590955/000119312526021302/payc-20260120.htm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dimisión de la consejera Archana Vemulapalli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https://www.sec.gov/Archives/edgar/data/1590955/000119312526126191/payc-20260326.htm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de Paycom presentados entre oct-2025 y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https://www.sec.gov/cgi-bin/browse-edgar?action=getcompany&amp;CIK=0001590955&amp;type=4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PAYC, SPY e IGV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https://finance.yahoo.com/quote/PAYC/history/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https://www.marketscreener.com/quote/stock/PAYCOM-SOFTWARE-INC-16253048/finances/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https://www.marketscreener.com/quote/stock/PAYCOM-SOFTWARE-INC-16253048/consensus/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(PAYC)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https://stockanalysis.com/stocks/payc/forecast/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value de Paychex (corte 12-oct-2026): comparables y transacciones de HCM y nóminas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(informes/paychex-2026-10-12)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Cotizaciones de cierre del 9 y 14-oct-2026 de ADP, PCTY, WDAY, INTU, TNET y PAYX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https://www.marketscreener.com/quote/stock/AUTOMATIC-DATA-PROCESSING-11713/finances/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Holding Corporation: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https://www.marketscreener.com/quote/stock/PAYLOCITY-HOLDING-CORPORA-16043784/finances/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https://www.marketscreener.com/quote/stock/WORKDAY-INC-37866670/finances/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TriNet Group,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https://www.marketscreener.com/quote/stock/TRINET-GROUP-INC-16113711/finances/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to Acquire Paycor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https://www.sec.gov/Archives/edgar/data/723531/000095010325000267/dp223210_ex9901.htm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proxy definitivo de la fusión (DEFM14A), con la opinión de Evercore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https://www.sec.gov/Archives/edgar/data/1725057/000114036125036413/ny20054883x2_defm14a.htm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Ultimate Software to Be Acquired by Investor Group Led by Hellman &amp; Friedman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Ultimate Software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https://www.sec.gov/Archives/edgar/data/1016125/000089968119000030/p19-0028_ex991.htm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trimestre cerrado el 31-dic-2024 (compra de WorkForce Software)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https://www.sec.gov/Archives/edgar/data/8670/000000867025000007/adp-20241231.htm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$PAYC (30 últimos,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https://stocktwits.com/symbol/PAYC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análisis y noticias de PAYC (feed, may-sep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https://seekingalpha.com/symbol/PAYC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cuts more than 500 jobs from Oklahoma City headquarters (y comentarios locales)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FOX23 / The Lost Ogle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https://www.thelostogle.com/2025/10/01/paycom-embarks-on-yet-another-employee-purge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88,8 %</w:t>
      </w:r>
      <w:r>
        <w:t xml:space="preserve"> · Secciones con menos del 60 % de campos cubiertos: </w:t>
      </w:r>
      <w:r>
        <w:rPr>
          <w:b/>
          <w:bCs/>
        </w:rPr>
        <w:t xml:space="preserve">capital</w:t>
      </w:r>
      <w:r>
        <w:t xml:space="preserve"> · Generado el 15 oct 2026.</w:t>
      </w:r>
    </w:p>
    <w:p>
      <w:pPr>
        <w:pStyle w:val="Nota"/>
        <w:spacing w:after="100"/>
      </w:pPr>
      <w:r>
        <w:t xml:space="preserve">Cotiza solo en la Bolsa de Nueva York (PAYC), en USD, la misma divisa de las cuentas (US GAAP, millones de USD, ejercicio natural); el 2T26 (abril-junio de 2026) es el último trimestre publicado [2, 3]. Precio de cierre del 14-oct-2026: al preparar los datos, la sesión del 15 no había cerrado [30]. Los fondos de clientes (unos 2.900 M USD de saldo medio en el 2T26) y sus obligaciones quedan fuera de la caja y de la deuda del puente porque se anulan entre sí; sus intereses (113,0 M USD en 2025) son ingresos y se separan de los recurrentes [1, 8]. Las cifras de 2024 llevan la reversión de 117,5 M USD de pagos en acciones del paquete de 2020 del fundador, que se trata como no recurrente; 2025 lleva una plusvalía de 35,5 M USD por la venta de los derechos de nombre del pabellón de Oklahoma City, fuera del resultado de explotación [1]. El BPA que usamos para el PER histórico está normalizado sin esas partidas, con los pagos en acciones como coste. La fecha de los resultados del 3T26 no está anunciada: el 4-nov-2026 es una estimación [33]. El patrimonio de 2016 se corrige para que cuadre el balance (ver controles).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Paycom Software, Inc. (PAYC)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239,00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(104,90 – 244,98)</c:v>
                </c:pt>
                <c:pt idx="1">
                  <c:v>Precio objetivo de los analistas (160,00 – 286,00)</c:v>
                </c:pt>
                <c:pt idx="2">
                  <c:v>Comparables: EV/EBITDA NTM (235,92 – 336,85)</c:v>
                </c:pt>
                <c:pt idx="3">
                  <c:v>Comparables: PER NTM (231,08 – 295,40)</c:v>
                </c:pt>
                <c:pt idx="4">
                  <c:v>Transacciones precedentes (EV/ventas) (284,18 – 371,75)</c:v>
                </c:pt>
                <c:pt idx="5">
                  <c:v>DCF (WACC y g ± 0,5) (198,50 – 259,80)</c:v>
                </c:pt>
                <c:pt idx="6">
                  <c:v>Escenarios (bajista – alcista) (154,97 – 281,87)</c:v>
                </c:pt>
                <c:pt idx="7">
                  <c:v>DCF con la prima implícita del mercado (4,2 %)</c:v>
                </c:pt>
                <c:pt idx="8">
                  <c:v>Precio actual (239,00)</c:v>
                </c:pt>
              </c:strCache>
            </c:strRef>
          </c:cat>
          <c:val>
            <c:numRef>
              <c:f>Hoja1!$B$2:$B$10</c:f>
              <c:numCache>
                <c:formatCode>#,##0</c:formatCode>
                <c:ptCount val="9"/>
                <c:pt idx="0">
                  <c:v>104.9</c:v>
                </c:pt>
                <c:pt idx="1">
                  <c:v>160</c:v>
                </c:pt>
                <c:pt idx="2">
                  <c:v>235.92</c:v>
                </c:pt>
                <c:pt idx="3">
                  <c:v>231.08</c:v>
                </c:pt>
                <c:pt idx="4">
                  <c:v>284.18</c:v>
                </c:pt>
                <c:pt idx="5">
                  <c:v>198.5</c:v>
                </c:pt>
                <c:pt idx="6">
                  <c:v>154.97</c:v>
                </c:pt>
                <c:pt idx="7">
                  <c:v>247.29</c:v>
                </c:pt>
                <c:pt idx="8">
                  <c:v>237.81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(104,90 – 244,98)</c:v>
                </c:pt>
                <c:pt idx="1">
                  <c:v>Precio objetivo de los analistas (160,00 – 286,00)</c:v>
                </c:pt>
                <c:pt idx="2">
                  <c:v>Comparables: EV/EBITDA NTM (235,92 – 336,85)</c:v>
                </c:pt>
                <c:pt idx="3">
                  <c:v>Comparables: PER NTM (231,08 – 295,40)</c:v>
                </c:pt>
                <c:pt idx="4">
                  <c:v>Transacciones precedentes (EV/ventas) (284,18 – 371,75)</c:v>
                </c:pt>
                <c:pt idx="5">
                  <c:v>DCF (WACC y g ± 0,5) (198,50 – 259,80)</c:v>
                </c:pt>
                <c:pt idx="6">
                  <c:v>Escenarios (bajista – alcista) (154,97 – 281,87)</c:v>
                </c:pt>
                <c:pt idx="7">
                  <c:v>DCF con la prima implícita del mercado (4,2 %)</c:v>
                </c:pt>
                <c:pt idx="8">
                  <c:v>Precio actual (239,00)</c:v>
                </c:pt>
              </c:strCache>
            </c:strRef>
          </c:cat>
          <c:val>
            <c:numRef>
              <c:f>Hoja1!$C$2:$C$10</c:f>
              <c:numCache>
                <c:formatCode>#,##0</c:formatCode>
                <c:ptCount val="9"/>
                <c:pt idx="0">
                  <c:v>140.07999999999998</c:v>
                </c:pt>
                <c:pt idx="1">
                  <c:v>126</c:v>
                </c:pt>
                <c:pt idx="2">
                  <c:v>100.93000000000004</c:v>
                </c:pt>
                <c:pt idx="3">
                  <c:v>64.31999999999996</c:v>
                </c:pt>
                <c:pt idx="4">
                  <c:v>87.57</c:v>
                </c:pt>
                <c:pt idx="5">
                  <c:v>61.30000000000001</c:v>
                </c:pt>
                <c:pt idx="6">
                  <c:v>126.9</c:v>
                </c:pt>
                <c:pt idx="7">
                  <c:v>51.150000000000006</c:v>
                </c:pt>
                <c:pt idx="8">
                  <c:v>2.3799999999999955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Recurrentes y otros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1585.7</c:v>
                </c:pt>
                <c:pt idx="1">
                  <c:v>1758.3</c:v>
                </c:pt>
                <c:pt idx="2">
                  <c:v>1938.7</c:v>
                </c:pt>
              </c:numCache>
            </c:numRef>
          </c:val>
        </c:ser>
        <c:ser>
          <c:idx val="1"/>
          <c:order val="1"/>
          <c:tx>
            <c:strRef>
              <c:f>Hoja1!$C$1</c:f>
              <c:strCache>
                <c:ptCount val="1"/>
                <c:pt idx="0">
                  <c:v>Intereses de los fondos de clientes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108</c:v>
                </c:pt>
                <c:pt idx="1">
                  <c:v>124.9</c:v>
                </c:pt>
                <c:pt idx="2">
                  <c:v>113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Recurrentes y otros</c:v>
                </c:pt>
                <c:pt idx="1">
                  <c:v>Intereses de los fondos de clientes</c:v>
                </c:pt>
              </c:strCache>
            </c:strRef>
          </c:cat>
          <c:val>
            <c:numRef>
              <c:f>Hoja1!$B$2:$B$3</c:f>
              <c:numCache>
                <c:formatCode>General</c:formatCode>
                <c:ptCount val="2"/>
                <c:pt idx="0">
                  <c:v>94.5</c:v>
                </c:pt>
                <c:pt idx="1">
                  <c:v>5.5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EE. UU.</c:v>
                </c:pt>
                <c:pt idx="1">
                  <c:v>Resto (Canadá, México, Reino Unido, Irlanda)</c:v>
                </c:pt>
              </c:strCache>
            </c:strRef>
          </c:cat>
          <c:val>
            <c:numRef>
              <c:f>Hoja1!$B$2:$B$3</c:f>
              <c:numCache>
                <c:formatCode>0"%"</c:formatCode>
                <c:ptCount val="2"/>
                <c:pt idx="0">
                  <c:v>99</c:v>
                </c:pt>
                <c:pt idx="1">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las empresas de servicios de nóminas de EE. UU., NAICS 541214, Census))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2017</c:v>
                </c:pt>
                <c:pt idx="1">
                  <c:v>2018</c:v>
                </c:pt>
                <c:pt idx="2">
                  <c:v>2019</c:v>
                </c:pt>
                <c:pt idx="3">
                  <c:v>2020</c:v>
                </c:pt>
                <c:pt idx="4">
                  <c:v>2021</c:v>
                </c:pt>
                <c:pt idx="5">
                  <c:v>2022</c:v>
                </c:pt>
              </c:strCache>
            </c:strRef>
          </c:cat>
          <c:val>
            <c:numRef>
              <c:f>Hoja1!$B$2:$B$7</c:f>
              <c:numCache>
                <c:formatCode>#,##0</c:formatCode>
                <c:ptCount val="6"/>
                <c:pt idx="0">
                  <c:v>21946</c:v>
                </c:pt>
                <c:pt idx="1">
                  <c:v>21794</c:v>
                </c:pt>
                <c:pt idx="2">
                  <c:v>23929</c:v>
                </c:pt>
                <c:pt idx="3">
                  <c:v>24637</c:v>
                </c:pt>
                <c:pt idx="4">
                  <c:v>26729</c:v>
                </c:pt>
                <c:pt idx="5">
                  <c:v>27589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1</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Paycom</c:v>
                </c:pt>
                <c:pt idx="1">
                  <c:v>Automatic Data Processing (ADP)</c:v>
                </c:pt>
                <c:pt idx="2">
                  <c:v>Paychex (con Paycor)</c:v>
                </c:pt>
                <c:pt idx="3">
                  <c:v>Workday</c:v>
                </c:pt>
                <c:pt idx="4">
                  <c:v>Paylocity</c:v>
                </c:pt>
                <c:pt idx="5">
                  <c:v>Intuit (QuickBooks Payroll)</c:v>
                </c:pt>
                <c:pt idx="6">
                  <c:v>Dayforce</c:v>
                </c:pt>
                <c:pt idx="7">
                  <c:v>Rippling</c:v>
                </c:pt>
              </c:strCache>
            </c:strRef>
          </c:cat>
          <c:val>
            <c:numRef>
              <c:f>Hoja1!$B$2:$B$9</c:f>
              <c:numCache>
                <c:formatCode>0.0"%"</c:formatCode>
                <c:ptCount val="8"/>
                <c:pt idx="0">
                  <c:v>27.6</c:v>
                </c:pt>
                <c:pt idx="1">
                  <c:v>26.1</c:v>
                </c:pt>
                <c:pt idx="2">
                  <c:v>38.6</c:v>
                </c:pt>
                <c:pt idx="3">
                  <c:v>7.5</c:v>
                </c:pt>
                <c:pt idx="4">
                  <c:v>21.8</c:v>
                </c:pt>
                <c:pt idx="5">
                  <c:v>27.4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2</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329.1</c:v>
                </c:pt>
                <c:pt idx="1">
                  <c:v>433</c:v>
                </c:pt>
                <c:pt idx="2">
                  <c:v>566.3</c:v>
                </c:pt>
                <c:pt idx="3">
                  <c:v>737.7</c:v>
                </c:pt>
                <c:pt idx="4">
                  <c:v>841.4</c:v>
                </c:pt>
                <c:pt idx="5">
                  <c:v>1055.5</c:v>
                </c:pt>
                <c:pt idx="6">
                  <c:v>1375.2</c:v>
                </c:pt>
                <c:pt idx="7">
                  <c:v>1693.7</c:v>
                </c:pt>
                <c:pt idx="8">
                  <c:v>1883.2</c:v>
                </c:pt>
                <c:pt idx="9">
                  <c:v>2051.7</c:v>
                </c:pt>
                <c:pt idx="10">
                  <c:v>2204</c:v>
                </c:pt>
                <c:pt idx="11">
                  <c:v>2358</c:v>
                </c:pt>
                <c:pt idx="12">
                  <c:v>2523</c:v>
                </c:pt>
                <c:pt idx="13">
                  <c:v>2687</c:v>
                </c:pt>
                <c:pt idx="14">
                  <c:v>2848</c:v>
                </c:pt>
                <c:pt idx="15">
                  <c:v>3005</c:v>
                </c:pt>
                <c:pt idx="16">
                  <c:v>3155</c:v>
                </c:pt>
                <c:pt idx="17">
                  <c:v>3297</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115.3</c:v>
                </c:pt>
                <c:pt idx="1">
                  <c:v>149.1</c:v>
                </c:pt>
                <c:pt idx="2">
                  <c:v>203.4</c:v>
                </c:pt>
                <c:pt idx="3">
                  <c:v>268.4</c:v>
                </c:pt>
                <c:pt idx="4">
                  <c:v>239.5</c:v>
                </c:pt>
                <c:pt idx="5">
                  <c:v>320.8</c:v>
                </c:pt>
                <c:pt idx="6">
                  <c:v>471.4</c:v>
                </c:pt>
                <c:pt idx="7">
                  <c:v>565.2</c:v>
                </c:pt>
                <c:pt idx="8">
                  <c:v>662.7</c:v>
                </c:pt>
                <c:pt idx="9">
                  <c:v>743.5</c:v>
                </c:pt>
                <c:pt idx="10">
                  <c:v>948</c:v>
                </c:pt>
                <c:pt idx="11">
                  <c:v>1026</c:v>
                </c:pt>
                <c:pt idx="12">
                  <c:v>1110</c:v>
                </c:pt>
                <c:pt idx="13">
                  <c:v>1182</c:v>
                </c:pt>
                <c:pt idx="14">
                  <c:v>1253</c:v>
                </c:pt>
                <c:pt idx="15">
                  <c:v>1322</c:v>
                </c:pt>
                <c:pt idx="16">
                  <c:v>1388</c:v>
                </c:pt>
                <c:pt idx="17">
                  <c:v>1451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83.6</c:v>
                </c:pt>
                <c:pt idx="1">
                  <c:v>83.4</c:v>
                </c:pt>
                <c:pt idx="2">
                  <c:v>84</c:v>
                </c:pt>
                <c:pt idx="3">
                  <c:v>85.1</c:v>
                </c:pt>
                <c:pt idx="4">
                  <c:v>85.3</c:v>
                </c:pt>
                <c:pt idx="5">
                  <c:v>84.7</c:v>
                </c:pt>
                <c:pt idx="6">
                  <c:v>84.5</c:v>
                </c:pt>
                <c:pt idx="7">
                  <c:v>83.7</c:v>
                </c:pt>
                <c:pt idx="8">
                  <c:v>82.2</c:v>
                </c:pt>
                <c:pt idx="9">
                  <c:v>83.2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35</c:v>
                </c:pt>
                <c:pt idx="1">
                  <c:v>34.4</c:v>
                </c:pt>
                <c:pt idx="2">
                  <c:v>35.9</c:v>
                </c:pt>
                <c:pt idx="3">
                  <c:v>36.4</c:v>
                </c:pt>
                <c:pt idx="4">
                  <c:v>28.5</c:v>
                </c:pt>
                <c:pt idx="5">
                  <c:v>30.4</c:v>
                </c:pt>
                <c:pt idx="6">
                  <c:v>34.3</c:v>
                </c:pt>
                <c:pt idx="7">
                  <c:v>33.4</c:v>
                </c:pt>
                <c:pt idx="8">
                  <c:v>35.2</c:v>
                </c:pt>
                <c:pt idx="9">
                  <c:v>36.2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30.9</c:v>
                </c:pt>
                <c:pt idx="1">
                  <c:v>30</c:v>
                </c:pt>
                <c:pt idx="2">
                  <c:v>30.7</c:v>
                </c:pt>
                <c:pt idx="3">
                  <c:v>30.7</c:v>
                </c:pt>
                <c:pt idx="4">
                  <c:v>22.1</c:v>
                </c:pt>
                <c:pt idx="5">
                  <c:v>24</c:v>
                </c:pt>
                <c:pt idx="6">
                  <c:v>27.5</c:v>
                </c:pt>
                <c:pt idx="7">
                  <c:v>26.6</c:v>
                </c:pt>
                <c:pt idx="8">
                  <c:v>27.4</c:v>
                </c:pt>
                <c:pt idx="9">
                  <c:v>27.6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21.4</c:v>
                </c:pt>
                <c:pt idx="1">
                  <c:v>28.5</c:v>
                </c:pt>
                <c:pt idx="2">
                  <c:v>24.2</c:v>
                </c:pt>
                <c:pt idx="3">
                  <c:v>24.5</c:v>
                </c:pt>
                <c:pt idx="4">
                  <c:v>17.1</c:v>
                </c:pt>
                <c:pt idx="5">
                  <c:v>18.6</c:v>
                </c:pt>
                <c:pt idx="6">
                  <c:v>20.5</c:v>
                </c:pt>
                <c:pt idx="7">
                  <c:v>20.1</c:v>
                </c:pt>
                <c:pt idx="8">
                  <c:v>26.7</c:v>
                </c:pt>
                <c:pt idx="9">
                  <c:v>22.1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11.2</c:v>
                </c:pt>
                <c:pt idx="1">
                  <c:v>14.4</c:v>
                </c:pt>
                <c:pt idx="2">
                  <c:v>6.1</c:v>
                </c:pt>
                <c:pt idx="3">
                  <c:v>10.5</c:v>
                </c:pt>
                <c:pt idx="4">
                  <c:v>9.2</c:v>
                </c:pt>
                <c:pt idx="5">
                  <c:v>10.2</c:v>
                </c:pt>
                <c:pt idx="6">
                  <c:v>7.8</c:v>
                </c:pt>
                <c:pt idx="7">
                  <c:v>9.8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11.2</c:v>
                </c:pt>
                <c:pt idx="1">
                  <c:v>14.4</c:v>
                </c:pt>
                <c:pt idx="2">
                  <c:v>6.1</c:v>
                </c:pt>
                <c:pt idx="3">
                  <c:v>10.5</c:v>
                </c:pt>
                <c:pt idx="4">
                  <c:v>9.2</c:v>
                </c:pt>
                <c:pt idx="5">
                  <c:v>10.2</c:v>
                </c:pt>
                <c:pt idx="6">
                  <c:v>7.8</c:v>
                </c:pt>
                <c:pt idx="7">
                  <c:v>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c:v>
                </c:pt>
                <c:pt idx="1">
                  <c:v>1</c:v>
                </c:pt>
                <c:pt idx="2">
                  <c:v>2</c:v>
                </c:pt>
                <c:pt idx="3">
                  <c:v>5</c:v>
                </c:pt>
                <c:pt idx="4">
                  <c:v>4</c:v>
                </c:pt>
                <c:pt idx="5">
                  <c:v>3</c:v>
                </c:pt>
                <c:pt idx="6">
                  <c:v>6</c:v>
                </c:pt>
                <c:pt idx="7">
                  <c:v>4</c:v>
                </c:pt>
                <c:pt idx="8">
                  <c:v>8</c:v>
                </c:pt>
                <c:pt idx="9">
                  <c:v>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c:v>
                </c:pt>
                <c:pt idx="1">
                  <c:v>5</c:v>
                </c:pt>
                <c:pt idx="2">
                  <c:v>3</c:v>
                </c:pt>
                <c:pt idx="3">
                  <c:v>4</c:v>
                </c:pt>
                <c:pt idx="4">
                  <c:v>4</c:v>
                </c:pt>
                <c:pt idx="5">
                  <c:v>2</c:v>
                </c:pt>
                <c:pt idx="6">
                  <c:v>3</c:v>
                </c:pt>
                <c:pt idx="7">
                  <c:v>2</c:v>
                </c:pt>
                <c:pt idx="8">
                  <c:v>2</c:v>
                </c:pt>
                <c:pt idx="9">
                  <c:v>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25</c:v>
                </c:pt>
                <c:pt idx="1">
                  <c:v>33</c:v>
                </c:pt>
                <c:pt idx="2">
                  <c:v>25</c:v>
                </c:pt>
                <c:pt idx="3">
                  <c:v>17</c:v>
                </c:pt>
                <c:pt idx="4">
                  <c:v>20</c:v>
                </c:pt>
                <c:pt idx="5">
                  <c:v>13</c:v>
                </c:pt>
                <c:pt idx="6">
                  <c:v>28</c:v>
                </c:pt>
                <c:pt idx="7">
                  <c:v>18</c:v>
                </c:pt>
                <c:pt idx="8">
                  <c:v>26</c:v>
                </c:pt>
                <c:pt idx="9">
                  <c:v>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55</c:v>
                </c:pt>
                <c:pt idx="1">
                  <c:v>70.69999999999999</c:v>
                </c:pt>
                <c:pt idx="2">
                  <c:v>124.9</c:v>
                </c:pt>
                <c:pt idx="3">
                  <c:v>131.4</c:v>
                </c:pt>
                <c:pt idx="4">
                  <c:v>133.1</c:v>
                </c:pt>
                <c:pt idx="5">
                  <c:v>193.2</c:v>
                </c:pt>
                <c:pt idx="6">
                  <c:v>228.3</c:v>
                </c:pt>
                <c:pt idx="7">
                  <c:v>288.2</c:v>
                </c:pt>
                <c:pt idx="8">
                  <c:v>336.59999999999997</c:v>
                </c:pt>
                <c:pt idx="9">
                  <c:v>403.5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70.4</c:v>
                </c:pt>
                <c:pt idx="1">
                  <c:v>123.5</c:v>
                </c:pt>
                <c:pt idx="2">
                  <c:v>137.1</c:v>
                </c:pt>
                <c:pt idx="3">
                  <c:v>180.6</c:v>
                </c:pt>
                <c:pt idx="4">
                  <c:v>143.5</c:v>
                </c:pt>
                <c:pt idx="5">
                  <c:v>196</c:v>
                </c:pt>
                <c:pt idx="6">
                  <c:v>281.4</c:v>
                </c:pt>
                <c:pt idx="7">
                  <c:v>340.8</c:v>
                </c:pt>
                <c:pt idx="8">
                  <c:v>502</c:v>
                </c:pt>
                <c:pt idx="9">
                  <c:v>453.4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82.3</c:v>
                </c:pt>
                <c:pt idx="1">
                  <c:v>70.4</c:v>
                </c:pt>
                <c:pt idx="2">
                  <c:v>45.9</c:v>
                </c:pt>
                <c:pt idx="3">
                  <c:v>48.2</c:v>
                </c:pt>
                <c:pt idx="4">
                  <c:v>29.9</c:v>
                </c:pt>
                <c:pt idx="5">
                  <c:v>32.9</c:v>
                </c:pt>
                <c:pt idx="6">
                  <c:v>37.6</c:v>
                </c:pt>
                <c:pt idx="7">
                  <c:v>35.8</c:v>
                </c:pt>
                <c:pt idx="8">
                  <c:v>36.6</c:v>
                </c:pt>
                <c:pt idx="9">
                  <c:v>32.8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9.7</c:v>
                </c:pt>
                <c:pt idx="1">
                  <c:v>9.7</c:v>
                </c:pt>
                <c:pt idx="2">
                  <c:v>9.7</c:v>
                </c:pt>
                <c:pt idx="3">
                  <c:v>9.7</c:v>
                </c:pt>
                <c:pt idx="4">
                  <c:v>9.7</c:v>
                </c:pt>
                <c:pt idx="5">
                  <c:v>9.7</c:v>
                </c:pt>
                <c:pt idx="6">
                  <c:v>9.7</c:v>
                </c:pt>
                <c:pt idx="7">
                  <c:v>9.7</c:v>
                </c:pt>
                <c:pt idx="8">
                  <c:v>9.7</c:v>
                </c:pt>
                <c:pt idx="9">
                  <c:v>9.7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60.4</c:v>
                </c:pt>
                <c:pt idx="1">
                  <c:v>62.1</c:v>
                </c:pt>
                <c:pt idx="2">
                  <c:v>44.5</c:v>
                </c:pt>
                <c:pt idx="3">
                  <c:v>41.9</c:v>
                </c:pt>
                <c:pt idx="4">
                  <c:v>24.3</c:v>
                </c:pt>
                <c:pt idx="5">
                  <c:v>25.3</c:v>
                </c:pt>
                <c:pt idx="6">
                  <c:v>27.1</c:v>
                </c:pt>
                <c:pt idx="7">
                  <c:v>27.4</c:v>
                </c:pt>
                <c:pt idx="8">
                  <c:v>34.9</c:v>
                </c:pt>
                <c:pt idx="9">
                  <c:v>27.4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-0.26</c:v>
                </c:pt>
                <c:pt idx="1">
                  <c:v>-0.07</c:v>
                </c:pt>
                <c:pt idx="2">
                  <c:v>-0.06</c:v>
                </c:pt>
                <c:pt idx="3">
                  <c:v>-0.38</c:v>
                </c:pt>
                <c:pt idx="4">
                  <c:v>-0.5</c:v>
                </c:pt>
                <c:pt idx="5">
                  <c:v>-0.78</c:v>
                </c:pt>
                <c:pt idx="6">
                  <c:v>-0.79</c:v>
                </c:pt>
                <c:pt idx="7">
                  <c:v>-0.52</c:v>
                </c:pt>
                <c:pt idx="8">
                  <c:v>-0.61</c:v>
                </c:pt>
                <c:pt idx="9">
                  <c:v>-0.5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0</c:v>
                </c:pt>
                <c:pt idx="1">
                  <c:v>0</c:v>
                </c:pt>
                <c:pt idx="2">
                  <c:v>0</c:v>
                </c:pt>
                <c:pt idx="3">
                  <c:v>0</c:v>
                </c:pt>
                <c:pt idx="4">
                  <c:v>0</c:v>
                </c:pt>
                <c:pt idx="5">
                  <c:v>900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64.8</c:v>
                </c:pt>
                <c:pt idx="8">
                  <c:v>84.8</c:v>
                </c:pt>
                <c:pt idx="9">
                  <c:v>84.8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35.6</c:v>
                </c:pt>
                <c:pt idx="1">
                  <c:v>56.9</c:v>
                </c:pt>
                <c:pt idx="2">
                  <c:v>105.2</c:v>
                </c:pt>
                <c:pt idx="3">
                  <c:v>0</c:v>
                </c:pt>
                <c:pt idx="4">
                  <c:v>52</c:v>
                </c:pt>
                <c:pt idx="5">
                  <c:v>0</c:v>
                </c:pt>
                <c:pt idx="6">
                  <c:v>94.7</c:v>
                </c:pt>
                <c:pt idx="7">
                  <c:v>286.6</c:v>
                </c:pt>
                <c:pt idx="8">
                  <c:v>122.8</c:v>
                </c:pt>
                <c:pt idx="9">
                  <c:v>325.5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1</c:v>
                </c:pt>
                <c:pt idx="1">
                  <c:v>6</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Chad Richison (directo y Ernest Group)</c:v>
                </c:pt>
                <c:pt idx="1">
                  <c:v>BlackRock</c:v>
                </c:pt>
                <c:pt idx="2">
                  <c:v>Harris Associates</c:v>
                </c:pt>
                <c:pt idx="3">
                  <c:v>Polen Capital Management</c:v>
                </c:pt>
                <c:pt idx="4">
                  <c:v>Autocartera</c:v>
                </c:pt>
              </c:strCache>
            </c:strRef>
          </c:cat>
          <c:val>
            <c:numRef>
              <c:f>Hoja1!$B$2:$B$6</c:f>
              <c:numCache>
                <c:formatCode>0.0"%"</c:formatCode>
                <c:ptCount val="5"/>
                <c:pt idx="0">
                  <c:v>12.4</c:v>
                </c:pt>
                <c:pt idx="1">
                  <c:v>7.7</c:v>
                </c:pt>
                <c:pt idx="2">
                  <c:v>6.7</c:v>
                </c:pt>
                <c:pt idx="3">
                  <c:v>6</c:v>
                </c:pt>
                <c:pt idx="4">
                  <c:v>30.8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20.9</c:v>
                </c:pt>
                <c:pt idx="1">
                  <c:v>76.6</c:v>
                </c:pt>
                <c:pt idx="2">
                  <c:v>52.4</c:v>
                </c:pt>
                <c:pt idx="3">
                  <c:v>116.2</c:v>
                </c:pt>
                <c:pt idx="4">
                  <c:v>70.8</c:v>
                </c:pt>
                <c:pt idx="5">
                  <c:v>-8.2</c:v>
                </c:pt>
                <c:pt idx="6">
                  <c:v>-25.3</c:v>
                </c:pt>
                <c:pt idx="7">
                  <c:v>-33.1</c:v>
                </c:pt>
                <c:pt idx="8">
                  <c:v>0</c:v>
                </c:pt>
                <c:pt idx="9">
                  <c:v>-21.7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23</c:v>
                </c:pt>
                <c:pt idx="1">
                  <c:v>31.6</c:v>
                </c:pt>
                <c:pt idx="2">
                  <c:v>35.2</c:v>
                </c:pt>
                <c:pt idx="3">
                  <c:v>57.2</c:v>
                </c:pt>
                <c:pt idx="4">
                  <c:v>109.6</c:v>
                </c:pt>
                <c:pt idx="5">
                  <c:v>74.5</c:v>
                </c:pt>
                <c:pt idx="6">
                  <c:v>37.5</c:v>
                </c:pt>
                <c:pt idx="7">
                  <c:v>20.7</c:v>
                </c:pt>
                <c:pt idx="8">
                  <c:v>16.8</c:v>
                </c:pt>
                <c:pt idx="9">
                  <c:v>11.5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23</c:v>
                </c:pt>
                <c:pt idx="1">
                  <c:v>23</c:v>
                </c:pt>
                <c:pt idx="2">
                  <c:v>23</c:v>
                </c:pt>
                <c:pt idx="3">
                  <c:v>23</c:v>
                </c:pt>
                <c:pt idx="4">
                  <c:v>23</c:v>
                </c:pt>
                <c:pt idx="5">
                  <c:v>23</c:v>
                </c:pt>
                <c:pt idx="6">
                  <c:v>23</c:v>
                </c:pt>
                <c:pt idx="7">
                  <c:v>23</c:v>
                </c:pt>
                <c:pt idx="8">
                  <c:v>23</c:v>
                </c:pt>
                <c:pt idx="9">
                  <c:v>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Paycom</c:v>
                </c:pt>
                <c:pt idx="1">
                  <c:v>ADP</c:v>
                </c:pt>
                <c:pt idx="2">
                  <c:v>Paylocity</c:v>
                </c:pt>
                <c:pt idx="3">
                  <c:v>Workday</c:v>
                </c:pt>
                <c:pt idx="4">
                  <c:v>Intuit</c:v>
                </c:pt>
                <c:pt idx="5">
                  <c:v>TriNet</c:v>
                </c:pt>
                <c:pt idx="6">
                  <c:v>Paychex</c:v>
                </c:pt>
              </c:strCache>
            </c:strRef>
          </c:cat>
          <c:val>
            <c:numRef>
              <c:f>Hoja1!$B$2:$B$8</c:f>
              <c:numCache>
                <c:formatCode>0.0"x"</c:formatCode>
                <c:ptCount val="7"/>
                <c:pt idx="0">
                  <c:v>11.3</c:v>
                </c:pt>
                <c:pt idx="1">
                  <c:v>15.8</c:v>
                </c:pt>
                <c:pt idx="2">
                  <c:v>15.1</c:v>
                </c:pt>
                <c:pt idx="3">
                  <c:v>22.4</c:v>
                </c:pt>
                <c:pt idx="4">
                  <c:v>9.7</c:v>
                </c:pt>
                <c:pt idx="5">
                  <c:v>10.6</c:v>
                </c:pt>
                <c:pt idx="6">
                  <c:v>12.8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Paycom</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7.1</c:v>
                </c:pt>
              </c:numCache>
            </c:numRef>
          </c:xVal>
          <c:yVal>
            <c:numRef>
              <c:f>Hoja1!$C$2</c:f>
              <c:numCache>
                <c:formatCode>0.0"x"</c:formatCode>
                <c:ptCount val="1"/>
                <c:pt idx="0">
                  <c:v>11.3</c:v>
                </c:pt>
              </c:numCache>
            </c:numRef>
          </c:yVal>
          <c:smooth val="0"/>
        </c:ser>
        <c:ser>
          <c:idx val="1"/>
          <c:order val="1"/>
          <c:tx>
            <c:strRef>
              <c:f>Hoja1!$A$3</c:f>
              <c:strCache>
                <c:ptCount val="1"/>
                <c:pt idx="0">
                  <c:v>ADP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5.8</c:v>
                </c:pt>
              </c:numCache>
            </c:numRef>
          </c:xVal>
          <c:yVal>
            <c:numRef>
              <c:f>Hoja1!$C$3</c:f>
              <c:numCache>
                <c:formatCode>0.0"x"</c:formatCode>
                <c:ptCount val="1"/>
                <c:pt idx="0">
                  <c:v>15.8</c:v>
                </c:pt>
              </c:numCache>
            </c:numRef>
          </c:yVal>
          <c:smooth val="0"/>
        </c:ser>
        <c:ser>
          <c:idx val="2"/>
          <c:order val="2"/>
          <c:tx>
            <c:strRef>
              <c:f>Hoja1!$A$4</c:f>
              <c:strCache>
                <c:ptCount val="1"/>
                <c:pt idx="0">
                  <c:v>Paylocity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7.2</c:v>
                </c:pt>
              </c:numCache>
            </c:numRef>
          </c:xVal>
          <c:yVal>
            <c:numRef>
              <c:f>Hoja1!$C$4</c:f>
              <c:numCache>
                <c:formatCode>0.0"x"</c:formatCode>
                <c:ptCount val="1"/>
                <c:pt idx="0">
                  <c:v>15.1</c:v>
                </c:pt>
              </c:numCache>
            </c:numRef>
          </c:yVal>
          <c:smooth val="0"/>
        </c:ser>
        <c:ser>
          <c:idx val="3"/>
          <c:order val="3"/>
          <c:tx>
            <c:strRef>
              <c:f>Hoja1!$A$5</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10.5</c:v>
                </c:pt>
              </c:numCache>
            </c:numRef>
          </c:xVal>
          <c:yVal>
            <c:numRef>
              <c:f>Hoja1!$C$5</c:f>
              <c:numCache>
                <c:formatCode>0.0"x"</c:formatCode>
                <c:ptCount val="1"/>
                <c:pt idx="0">
                  <c:v>22.4</c:v>
                </c:pt>
              </c:numCache>
            </c:numRef>
          </c:yVal>
          <c:smooth val="0"/>
        </c:ser>
        <c:ser>
          <c:idx val="4"/>
          <c:order val="4"/>
          <c:tx>
            <c:strRef>
              <c:f>Hoja1!$A$6</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9.2</c:v>
                </c:pt>
              </c:numCache>
            </c:numRef>
          </c:xVal>
          <c:yVal>
            <c:numRef>
              <c:f>Hoja1!$C$6</c:f>
              <c:numCache>
                <c:formatCode>0.0"x"</c:formatCode>
                <c:ptCount val="1"/>
                <c:pt idx="0">
                  <c:v>9.7</c:v>
                </c:pt>
              </c:numCache>
            </c:numRef>
          </c:yVal>
          <c:smooth val="0"/>
        </c:ser>
        <c:ser>
          <c:idx val="5"/>
          <c:order val="5"/>
          <c:tx>
            <c:strRef>
              <c:f>Hoja1!$A$7</c:f>
              <c:strCache>
                <c:ptCount val="1"/>
                <c:pt idx="0">
                  <c:v>TriNet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c:v>
                </c:pt>
              </c:numCache>
            </c:numRef>
          </c:xVal>
          <c:yVal>
            <c:numRef>
              <c:f>Hoja1!$C$7</c:f>
              <c:numCache>
                <c:formatCode>0.0"x"</c:formatCode>
                <c:ptCount val="1"/>
                <c:pt idx="0">
                  <c:v>10.6</c:v>
                </c:pt>
              </c:numCache>
            </c:numRef>
          </c:yVal>
          <c:smooth val="0"/>
        </c:ser>
        <c:ser>
          <c:idx val="6"/>
          <c:order val="6"/>
          <c:tx>
            <c:strRef>
              <c:f>Hoja1!$A$8</c:f>
              <c:strCache>
                <c:ptCount val="1"/>
                <c:pt idx="0">
                  <c:v>Paychex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c:v>
                </c:pt>
              </c:numCache>
            </c:numRef>
          </c:xVal>
          <c:yVal>
            <c:numRef>
              <c:f>Hoja1!$C$8</c:f>
              <c:numCache>
                <c:formatCode>0.0"x"</c:formatCode>
                <c:ptCount val="1"/>
                <c:pt idx="0">
                  <c:v>12.8</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Dayforce</c:v>
                </c:pt>
                <c:pt idx="1">
                  <c:v>Paycor HCM</c:v>
                </c:pt>
                <c:pt idx="2">
                  <c:v>WorkForce Software</c:v>
                </c:pt>
                <c:pt idx="3">
                  <c:v>Ultimate Software</c:v>
                </c:pt>
              </c:strCache>
            </c:strRef>
          </c:cat>
          <c:val>
            <c:numRef>
              <c:f>Hoja1!$B$2:$B$5</c:f>
              <c:numCache>
                <c:formatCode>0.0"x"</c:formatCode>
                <c:ptCount val="4"/>
                <c:pt idx="0">
                  <c:v>19.8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592</c:v>
                </c:pt>
                <c:pt idx="1">
                  <c:v>640</c:v>
                </c:pt>
                <c:pt idx="2">
                  <c:v>691</c:v>
                </c:pt>
                <c:pt idx="3">
                  <c:v>732</c:v>
                </c:pt>
                <c:pt idx="4">
                  <c:v>772</c:v>
                </c:pt>
                <c:pt idx="5">
                  <c:v>812</c:v>
                </c:pt>
                <c:pt idx="6">
                  <c:v>848</c:v>
                </c:pt>
                <c:pt idx="7">
                  <c:v>878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3923</c:v>
                </c:pt>
                <c:pt idx="1">
                  <c:v>6911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239,00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154.97</c:v>
                </c:pt>
                <c:pt idx="1">
                  <c:v>224.65</c:v>
                </c:pt>
                <c:pt idx="2">
                  <c:v>281.87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239,00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(104,90 – 244,98)</c:v>
                </c:pt>
                <c:pt idx="1">
                  <c:v>Precio objetivo de los analistas (160,00 – 286,00)</c:v>
                </c:pt>
                <c:pt idx="2">
                  <c:v>Comparables: EV/EBITDA NTM (235,92 – 336,85)</c:v>
                </c:pt>
                <c:pt idx="3">
                  <c:v>Comparables: PER NTM (231,08 – 295,40)</c:v>
                </c:pt>
                <c:pt idx="4">
                  <c:v>Transacciones precedentes (EV/ventas) (284,18 – 371,75)</c:v>
                </c:pt>
                <c:pt idx="5">
                  <c:v>DCF (WACC y g ± 0,5) (198,50 – 259,80)</c:v>
                </c:pt>
                <c:pt idx="6">
                  <c:v>Escenarios (bajista – alcista) (154,97 – 281,87)</c:v>
                </c:pt>
                <c:pt idx="7">
                  <c:v>DCF con la prima implícita del mercado (4,2 %)</c:v>
                </c:pt>
                <c:pt idx="8">
                  <c:v>Precio actual (239,00)</c:v>
                </c:pt>
              </c:strCache>
            </c:strRef>
          </c:cat>
          <c:val>
            <c:numRef>
              <c:f>Hoja1!$B$2:$B$10</c:f>
              <c:numCache>
                <c:formatCode>#,##0</c:formatCode>
                <c:ptCount val="9"/>
                <c:pt idx="0">
                  <c:v>104.9</c:v>
                </c:pt>
                <c:pt idx="1">
                  <c:v>160</c:v>
                </c:pt>
                <c:pt idx="2">
                  <c:v>235.92</c:v>
                </c:pt>
                <c:pt idx="3">
                  <c:v>231.08</c:v>
                </c:pt>
                <c:pt idx="4">
                  <c:v>284.18</c:v>
                </c:pt>
                <c:pt idx="5">
                  <c:v>198.5</c:v>
                </c:pt>
                <c:pt idx="6">
                  <c:v>154.97</c:v>
                </c:pt>
                <c:pt idx="7">
                  <c:v>247.29</c:v>
                </c:pt>
                <c:pt idx="8">
                  <c:v>237.81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(104,90 – 244,98)</c:v>
                </c:pt>
                <c:pt idx="1">
                  <c:v>Precio objetivo de los analistas (160,00 – 286,00)</c:v>
                </c:pt>
                <c:pt idx="2">
                  <c:v>Comparables: EV/EBITDA NTM (235,92 – 336,85)</c:v>
                </c:pt>
                <c:pt idx="3">
                  <c:v>Comparables: PER NTM (231,08 – 295,40)</c:v>
                </c:pt>
                <c:pt idx="4">
                  <c:v>Transacciones precedentes (EV/ventas) (284,18 – 371,75)</c:v>
                </c:pt>
                <c:pt idx="5">
                  <c:v>DCF (WACC y g ± 0,5) (198,50 – 259,80)</c:v>
                </c:pt>
                <c:pt idx="6">
                  <c:v>Escenarios (bajista – alcista) (154,97 – 281,87)</c:v>
                </c:pt>
                <c:pt idx="7">
                  <c:v>DCF con la prima implícita del mercado (4,2 %)</c:v>
                </c:pt>
                <c:pt idx="8">
                  <c:v>Precio actual (239,00)</c:v>
                </c:pt>
              </c:strCache>
            </c:strRef>
          </c:cat>
          <c:val>
            <c:numRef>
              <c:f>Hoja1!$C$2:$C$10</c:f>
              <c:numCache>
                <c:formatCode>#,##0</c:formatCode>
                <c:ptCount val="9"/>
                <c:pt idx="0">
                  <c:v>140.07999999999998</c:v>
                </c:pt>
                <c:pt idx="1">
                  <c:v>126</c:v>
                </c:pt>
                <c:pt idx="2">
                  <c:v>100.93000000000004</c:v>
                </c:pt>
                <c:pt idx="3">
                  <c:v>64.31999999999996</c:v>
                </c:pt>
                <c:pt idx="4">
                  <c:v>87.57</c:v>
                </c:pt>
                <c:pt idx="5">
                  <c:v>61.30000000000001</c:v>
                </c:pt>
                <c:pt idx="6">
                  <c:v>126.9</c:v>
                </c:pt>
                <c:pt idx="7">
                  <c:v>51.150000000000006</c:v>
                </c:pt>
                <c:pt idx="8">
                  <c:v>2.3799999999999955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