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Lotus Bakeries NV</w:t>
      </w:r>
    </w:p>
    <w:p>
      <w:pPr>
        <w:spacing w:after="60"/>
        <w:rPr>
          <w:color w:val="52514E"/>
          <w:sz w:val="22"/>
          <w:szCs w:val="22"/>
        </w:rPr>
      </w:pPr>
      <w:r>
        <w:rPr>
          <w:color w:val="52514E"/>
          <w:sz w:val="22"/>
          <w:szCs w:val="22"/>
        </w:rPr>
        <w:t xml:space="preserve">LOTB · Euronext Bruselas · ISIN BE0003604155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12.800,00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12.773,93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+0,5 % (base +8,6 %)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5.296,97 EUR · mercado 6.540,63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Lotus Bakeries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LOTB / BE0003604155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Bruselas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BEL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Alimentación envasada (galletas y snacks de marca)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Lembeke (Kaprijke, Bélgica) · 1932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https://www.lotusbakeries.com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12.800,00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7.270,00 – 13.200,00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10.528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8,3 M EUR/día (682 acciones al 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12.773,93 EUR</w:t>
      </w:r>
      <w:r>
        <w:t xml:space="preserve"> frente a 12.800,00 · Rentabilidad a 12 meses </w:t>
      </w:r>
      <w:r>
        <w:rPr>
          <w:b/>
          <w:bCs/>
        </w:rPr>
        <w:t xml:space="preserve">+0,5 % (base +8,6 %)</w:t>
      </w:r>
      <w:r>
        <w:t xml:space="preserve"> · Valor intrínseco 5.296,97 EUR · con la prima implícita del mercado: 6.540,63 (-48,9 %) · Alcista / bajista -48,7 % / -72,4 %</w:t>
      </w:r>
    </w:p>
    <w:p>
      <w:pPr>
        <w:spacing w:after="100"/>
      </w:pPr>
      <w:r>
        <w:rPr>
          <w:b/>
        </w:rPr>
        <w:t xml:space="preserve">La recomendación y por qué.</w:t>
      </w:r>
      <w:r>
        <w:t xml:space="preserve"> Mantener, con convicción media, pero no comprar ni ampliar. Lotus cotiza a 12.800 EUR, 46,2 veces nuestro BPA de 2027, y la regla común da un objetivo a 12 meses de 12.773,93 EUR: una rentabilidad ponderada del 0,5 % y del 8,6 % en el caso base, con el objetivo medio de los analistas (12.891,08) prácticamente en el precio. El valor intrínseco, 5.296,97 EUR, queda un 58,6 % por debajo: el negocio es excelente y la acción descuenta casi todo. La asimetría a 12 meses es de 0,52 veces (−34,2 % en el bajista frente a +19,0 % en el alcista). La convicción es media porque la regla está lejos de sus umbrales; bajaría a Vender por encima de 14.293,25 EUR o si el crecimiento del 2S26 (5-feb-2027) baja del 8 %.</w:t>
      </w:r>
    </w:p>
    <w:p>
      <w:pPr>
        <w:spacing w:after="100"/>
      </w:pPr>
      <w:r>
        <w:rPr>
          <w:b/>
        </w:rPr>
        <w:t xml:space="preserve">El negocio.</w:t>
      </w:r>
      <w:r>
        <w:t xml:space="preserve"> Biscoff es una marca global que crece por volumen (más del 20 % en el 1S26) sin subir precios, con un margen EBITDA(u) del 20,9 % y un ROIC del 18,2 % frente a un WACC del 7,98 %: calidad Sí, con 10,2 puntos de diferencia [3]. Crece en EE. UU. (más del 10 % de los hogares y la marca que más crece en galletas y cremas) y en Asia, que ya es un 15 % de Biscoff y tiene fábrica propia en Tailandia desde 2025 [3]. La prueba de sostenibilidad da «Sí»: proyectamos un 7,3 % anual, la mitad de lo que hizo en 2021-2025, con una cuota que sube del 1,3 % al 1,7 %; solo una parte la financia la reinversión, el resto lo pone la marca y las licencias de Mondelez.</w:t>
      </w:r>
    </w:p>
    <w:p>
      <w:pPr>
        <w:spacing w:after="100"/>
      </w:pPr>
      <w:r>
        <w:rPr>
          <w:b/>
        </w:rPr>
        <w:t xml:space="preserve">Finanzas.</w:t>
      </w:r>
      <w:r>
        <w:t xml:space="preserve"> Ventas de 1.355,1 M en 2025 (+10 %) y 749,1 M en el 1S26 (+14 %); deuda financiera neta de 94,3 M (0,3 veces el EBITDA) pese a un capex récord: más de 250 M en 2026-2027 y al menos 500 M para Biscoff en 2026-2030 en EE. UU., Tailandia y Bélgica [2, 3]. Ese capex baja el flujo libre (0,8 % de rentabilidad) y sube la amortización hasta 2030.</w:t>
      </w:r>
    </w:p>
    <w:p>
      <w:pPr>
        <w:spacing w:after="100"/>
      </w:pPr>
      <w:r>
        <w:rPr>
          <w:b/>
        </w:rPr>
        <w:t xml:space="preserve">Equipo y gobierno.</w:t>
      </w:r>
      <w:r>
        <w:t xml:space="preserve"> La familia (Boone y Stevens, vía la Stichting) tiene el 50 % del capital y el 62,22 % de los votos por el voto doble [1]. Resta en independencia (tres independientes de diez) pero suma en lo que importa: reinversión a largo plazo, deuda casi nula y 25 años de dividendo creciente. Nadie puede opar a Lotus.</w:t>
      </w:r>
    </w:p>
    <w:p>
      <w:pPr>
        <w:spacing w:after="100"/>
      </w:pPr>
      <w:r>
        <w:rPr>
          <w:b/>
        </w:rPr>
        <w:t xml:space="preserve">Valoración.</w:t>
      </w:r>
      <w:r>
        <w:t xml:space="preserve"> El DCF da 5.342,04 EUR y el precio descuenta un crecimiento del 19,4 % anual hasta 2035 frente al 6,7 % de nuestro base; con la prima de mercado actual el valor sube a 6.540,63. A 45,8 veces el BPA de los próximos 12 meses, cotiza a más del doble que Mondelez, Hershey y Nestlé (16-19 veces) y que Lindt (23,4) [19]. Nuestro BPA coincide con el consenso en 2026 y va un 5,2 % por debajo en 2028 por la amortización del programa de capex.</w:t>
      </w:r>
    </w:p>
    <w:p>
      <w:pPr>
        <w:spacing w:after="100"/>
      </w:pPr>
      <w:r>
        <w:rPr>
          <w:b/>
        </w:rPr>
        <w:t xml:space="preserve">Riesgos y catalizadores.</w:t>
      </w:r>
      <w:r>
        <w:t xml:space="preserve"> El mayor riesgo es una desaceleración cuando pase la moda viral del «Japanese cheesecake», que la propia empresa no considera estructural: con el múltiplo en 31,4 veces, el bajista pierde un 34,2 % en un año, como ya pasó en 2025 (−42 %). El segundo, llenar la capacidad nueva. </w:t>
      </w:r>
      <w:r>
        <w:rPr>
          <w:b/>
        </w:rPr>
        <w:t xml:space="preserve">Riesgo de IA: bajo</w:t>
      </w:r>
      <w:r>
        <w:t xml:space="preserve">; es un producto físico de marca que la IA no sustituye, y el único efecto plausible es que los asistentes de compra empujen la marca blanca en el comercio electrónico. Catalizadores: resultados de 2026 el 5-feb-2027, plan de Brasil con Mondelez y nuevas co-marcas. Los foros coinciden: negocio excelente, acción cara.</w:t>
      </w:r>
    </w:p>
    <w:p>
      <w:pPr>
        <w:spacing w:after="100"/>
      </w:pPr>
      <w:r>
        <w:rPr>
          <w:b/>
        </w:rPr>
        <w:t xml:space="preserve">Qué cambiaría la decisión.</w:t>
      </w:r>
      <w:r>
        <w:t xml:space="preserve"> Comprar por debajo de 5.296,97 EUR (valor intrínseco); vender por encima de 14.293,25 EUR o si el crecimiento cae a un dígito con el múltiplo por encima de 40 veces.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12.773,93 EUR</w:t>
      </w:r>
      <w:r>
        <w:t xml:space="preserve"> (rentabilidad +0,5 % (base +8,6 %)) · Valor intrínseco: 5.296,97 EUR (-58,6 % sobre 12.800,00) · con la prima implícita del mercado: 6.540,63 (-48,9 %)</w:t>
      </w:r>
    </w:p>
    <w:p>
      <w:pPr>
        <w:spacing w:after="100"/>
      </w:pPr>
      <w:r>
        <w:t xml:space="preserve">Lotus Bakeries convirtió una galleta belga de café en una marca global: Biscoff vende 670 M EUR, crece por encima del 20 % en volumen y es la marca que más crece en galletas y cremas de EE. UU. [2, 3]. El grupo factura 1.446,9 M en doce meses con un margen EBITDA(u) del 20,9 %, un ROIC del 18,2 % y casi sin deuda [3].</w:t>
      </w:r>
    </w:p>
    <w:p>
      <w:pPr>
        <w:spacing w:after="100"/>
      </w:pPr>
      <w:r>
        <w:t xml:space="preserve">El precio, 12.800 EUR, descuenta un crecimiento del 19,4 % anual hasta 2035 y 45,8 veces el BPA de los próximos 12 meses, más del doble que cualquier alimentaria cotizada y en la parte alta de su propia historia (mediana adelantada de 43,9 veces) [19].</w:t>
      </w:r>
    </w:p>
    <w:p>
      <w:pPr>
        <w:spacing w:after="100"/>
      </w:pPr>
      <w:r>
        <w:t xml:space="preserve">El mercado acierta en la calidad y en que el crecimiento sigue; se excede en cuánto dura. Para ganar dinero desde aquí hay que creer que Biscoff crecerá a dos dígitos casi una década más y que la moda viral de 2026 se convierte en hábito. Lo creemos posible, no probable: la acción ya cayó un 42 % en 2025 con el negocio creciendo al 10 %.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12.773,93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 × 265,50 = 8.336,70 · 45,0x × 306,90 = 13.810,50 · 45,0x × 336,40 = 15.138,00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12.891,08 (nuestro base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5.296,97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 / -72,4 %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8,0 %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6.540,63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 frente a 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(7,3 % anual proyectado; financiable al ROIC actual: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5.296,97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5.296,97 y 14.293,25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14.293,25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14.293,25 EUR: Vender (ponderada a 12 meses ≤ −10 %).</w:t>
      </w:r>
    </w:p>
    <w:p>
      <w:pPr>
        <w:pStyle w:val="ListParagraph"/>
        <w:numPr>
          <w:ilvl w:val="0"/>
          <w:numId w:val="2"/>
        </w:numPr>
        <w:spacing w:after="60"/>
      </w:pPr>
      <w:r>
        <w:t xml:space="preserve">Crecimiento del grupo por debajo del 8 % en el 2S26 o el 1S27: rebajaríamos el BPA y el múltiplo y pasaríamos a Vender.</w:t>
      </w:r>
    </w:p>
    <w:p>
      <w:pPr>
        <w:pStyle w:val="ListParagraph"/>
        <w:numPr>
          <w:ilvl w:val="0"/>
          <w:numId w:val="2"/>
        </w:numPr>
        <w:spacing w:after="60"/>
      </w:pPr>
      <w:r>
        <w:t xml:space="preserve">Precio por debajo de 5.296,97 EUR: Comprar (las reglas y el valor intrínseco lo permiten).</w:t>
      </w:r>
    </w:p>
    <w:p>
      <w:pPr>
        <w:pStyle w:val="ListParagraph"/>
        <w:numPr>
          <w:ilvl w:val="0"/>
          <w:numId w:val="2"/>
        </w:numPr>
        <w:spacing w:after="60"/>
      </w:pPr>
      <w:r>
        <w:t xml:space="preserve">Margen EBIT(u) por debajo del 16,5 % en un semestre: revisaríamos el margen y el objetivo a la baja.</w:t>
      </w:r>
    </w:p>
    <w:p>
      <w:pPr>
        <w:pStyle w:val="ListParagraph"/>
        <w:numPr>
          <w:ilvl w:val="0"/>
          <w:numId w:val="2"/>
        </w:numPr>
        <w:spacing w:after="60"/>
      </w:pPr>
      <w:r>
        <w:t xml:space="preserve">Acuerdo con Mondelez en Brasil y crecimiento de Biscoff por encima del 15 % en 2027: subiríamos el BPA del alcista.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Biscoff es un compuesto de crecimiento de dos dígitos para muchos años, que merece 45 veces el beneficio, y que la capacidad nueva se llenará como se llenó Tailandia.</w:t>
      </w:r>
    </w:p>
    <w:p>
      <w:pPr>
        <w:keepNext/>
        <w:spacing w:after="100"/>
      </w:pPr>
      <w:r>
        <w:rPr>
          <w:b/>
          <w:bCs/>
        </w:rPr>
        <w:t xml:space="preserve">Lo que creemos nosotros.</w:t>
      </w:r>
    </w:p>
    <w:p>
      <w:pPr>
        <w:spacing w:after="100"/>
      </w:pPr>
      <w:r>
        <w:t xml:space="preserve">Coincidimos en el negocio y en el beneficio de 2026-2027 (BPA a menos de un 4 % del consenso); discrepamos en la duración: proyectamos un 7,3 % de crecimiento medio en diez años y un margen estable del 21,5 %.</w:t>
      </w:r>
    </w:p>
    <w:p>
      <w:pPr>
        <w:keepNext/>
        <w:spacing w:after="100"/>
      </w:pPr>
      <w:r>
        <w:rPr>
          <w:b/>
          <w:bCs/>
        </w:rPr>
        <w:t xml:space="preserve">Por qué podemos tener razón.</w:t>
      </w:r>
    </w:p>
    <w:p>
      <w:pPr>
        <w:spacing w:after="100"/>
      </w:pPr>
      <w:r>
        <w:t xml:space="preserve">La empresa ya vivió un 2025 con crecimiento del 10 % y la acción a 31 veces; parte del 2026 es una moda que la dirección no da por estructural [3]. A 45 veces, el precio necesita que todo salga bien.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Marca global que crece por volumen</w:t>
      </w:r>
      <w:r>
        <w:t xml:space="preserve">: Biscoff +20 % en el 1S26 y más del 10 % de los hogares de EE. UU. [3].</w:t>
      </w:r>
    </w:p>
    <w:p>
      <w:pPr>
        <w:pStyle w:val="ListParagraph"/>
        <w:numPr>
          <w:ilvl w:val="0"/>
          <w:numId w:val="2"/>
        </w:numPr>
        <w:spacing w:after="60"/>
      </w:pPr>
      <w:r>
        <w:rPr>
          <w:b/>
        </w:rPr>
        <w:t xml:space="preserve">Rentabilidad del capital alta y creciente</w:t>
      </w:r>
      <w:r>
        <w:t xml:space="preserve">: ROIC del 18,2 % e incremental del 24,5 %.</w:t>
      </w:r>
    </w:p>
    <w:p>
      <w:pPr>
        <w:pStyle w:val="ListParagraph"/>
        <w:numPr>
          <w:ilvl w:val="0"/>
          <w:numId w:val="2"/>
        </w:numPr>
        <w:spacing w:after="60"/>
      </w:pPr>
      <w:r>
        <w:rPr>
          <w:b/>
        </w:rPr>
        <w:t xml:space="preserve">Licencias sin capital</w:t>
      </w:r>
      <w:r>
        <w:t xml:space="preserve">: Mondelez (India, Cadbury, Milka, Toblerone) y Froneri suben el margen [3].</w:t>
      </w:r>
    </w:p>
    <w:p>
      <w:pPr>
        <w:pStyle w:val="ListParagraph"/>
        <w:numPr>
          <w:ilvl w:val="0"/>
          <w:numId w:val="2"/>
        </w:numPr>
        <w:spacing w:after="60"/>
      </w:pPr>
      <w:r>
        <w:rPr>
          <w:b/>
        </w:rPr>
        <w:t xml:space="preserve">Balance casi sin deuda</w:t>
      </w:r>
      <w:r>
        <w:t xml:space="preserve">: 0,3 veces el EBITDA pese al capex récord [3].</w:t>
      </w:r>
    </w:p>
    <w:p>
      <w:pPr>
        <w:pStyle w:val="ListParagraph"/>
        <w:numPr>
          <w:ilvl w:val="0"/>
          <w:numId w:val="2"/>
        </w:numPr>
        <w:spacing w:after="60"/>
      </w:pPr>
      <w:r>
        <w:rPr>
          <w:b/>
        </w:rPr>
        <w:t xml:space="preserve">Familia a largo plazo</w:t>
      </w:r>
      <w:r>
        <w:t xml:space="preserve">: 25 años de dividendo creciente (90 EUR sobre 2025) [2].</w:t>
      </w:r>
    </w:p>
    <w:p>
      <w:pPr>
        <w:pStyle w:val="Heading2"/>
      </w:pPr>
      <w:r>
        <w:t xml:space="preserve">En contra</w:t>
      </w:r>
    </w:p>
    <w:p>
      <w:pPr>
        <w:pStyle w:val="ListParagraph"/>
        <w:numPr>
          <w:ilvl w:val="0"/>
          <w:numId w:val="2"/>
        </w:numPr>
        <w:spacing w:after="60"/>
      </w:pPr>
      <w:r>
        <w:rPr>
          <w:b/>
        </w:rPr>
        <w:t xml:space="preserve">Valoración</w:t>
      </w:r>
      <w:r>
        <w:t xml:space="preserve">: 45,8 veces el BPA de los próximos 12 meses; valor intrínseco de 5.296,97 EUR, un 58,6 % por debajo.</w:t>
      </w:r>
    </w:p>
    <w:p>
      <w:pPr>
        <w:pStyle w:val="ListParagraph"/>
        <w:numPr>
          <w:ilvl w:val="0"/>
          <w:numId w:val="2"/>
        </w:numPr>
        <w:spacing w:after="60"/>
      </w:pPr>
      <w:r>
        <w:rPr>
          <w:b/>
        </w:rPr>
        <w:t xml:space="preserve">Asimetría desfavorable a 12 meses</w:t>
      </w:r>
      <w:r>
        <w:t xml:space="preserve">: −34,2 % en el bajista frente a +19,0 % en el alcista.</w:t>
      </w:r>
    </w:p>
    <w:p>
      <w:pPr>
        <w:pStyle w:val="ListParagraph"/>
        <w:numPr>
          <w:ilvl w:val="0"/>
          <w:numId w:val="2"/>
        </w:numPr>
        <w:spacing w:after="60"/>
      </w:pPr>
      <w:r>
        <w:rPr>
          <w:b/>
        </w:rPr>
        <w:t xml:space="preserve">Moda viral</w:t>
      </w:r>
      <w:r>
        <w:t xml:space="preserve">: la propia empresa dice que la receta del «Japanese cheesecake» no es un motor estructural [3].</w:t>
      </w:r>
    </w:p>
    <w:p>
      <w:pPr>
        <w:pStyle w:val="ListParagraph"/>
        <w:numPr>
          <w:ilvl w:val="0"/>
          <w:numId w:val="2"/>
        </w:numPr>
        <w:spacing w:after="60"/>
      </w:pPr>
      <w:r>
        <w:rPr>
          <w:b/>
        </w:rPr>
        <w:t xml:space="preserve">Capex de al menos 500 M</w:t>
      </w:r>
      <w:r>
        <w:t xml:space="preserve">: capacidad por adelantado que baja el flujo libre al 0,8 % de la capitalización.</w:t>
      </w:r>
    </w:p>
    <w:p>
      <w:pPr>
        <w:pStyle w:val="ListParagraph"/>
        <w:numPr>
          <w:ilvl w:val="0"/>
          <w:numId w:val="2"/>
        </w:numPr>
        <w:spacing w:after="60"/>
      </w:pPr>
      <w:r>
        <w:rPr>
          <w:b/>
        </w:rPr>
        <w:t xml:space="preserve">Gobierno</w:t>
      </w:r>
      <w:r>
        <w:t xml:space="preserve">: voto doble y tres independientes de diez [1].</w:t>
      </w:r>
    </w:p>
    <w:p>
      <w:pPr>
        <w:pStyle w:val="Heading2"/>
      </w:pPr>
      <w:r>
        <w:t xml:space="preserve">Qué tiene que pasar para que la tesis funcione</w:t>
      </w:r>
    </w:p>
    <w:p>
      <w:pPr>
        <w:spacing w:after="100"/>
      </w:pPr>
      <w:r>
        <w:t xml:space="preserve">La tesis depende de que Biscoff mantenga crecimientos de dos dígitos cuando se agote la moda viral y de que la capacidad nueva se llene. La señal de que no se cumple: crecimiento del grupo por debajo del 8 % en el 2S26 (5-feb-2027) o en el 1S27, o un capex de 2027 por encima de 150 M con las ventas frenando.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de 45 veces depende de dos dígitos.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Biscoff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moda viral se convierte en hábito.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costes avisada para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M con ventas &lt;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por adelantado y ROIC incremental.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Penetración de Biscoff en hogares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Estancada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mayor aumento absoluto del grupo.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35,4x / 30,2x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54,5x / 45,8x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Jan Boone sénior fundó Lotus en Lembeke (Bélgica) en 1932 con la galleta caramelizada de especulos [1]. La empresa cotiza en Bruselas desde 1988 y sigue controlada por las familias Boone y Stevens a través de la Stichting Aandelen Lotus Bakeries [1]. La tercera generación, con Jan Boone como consejero delegado desde 2011, convirtió una galleta de café en una marca global: el nombre Biscoff, la crema para untar, la fábrica de Mebane en EE. UU. (2019) y la de Chonburi en Tailandia (2025) [1, 2]. En 2015 entró en los snacks naturales (nākd., TREK, BEAR) y en 2024-2025 firmó con Mondelez la licencia de India y el chocolate co-marcado, y con Froneri el helado [2, 12]. En 2021 la fundación de control colocó un 10 % de sus acciones y el capital flotante ganó liquidez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 Boone sénior funda Lotus en Lembeke con la galleta de especulos caramelizada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Bruselas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 Boone (tercera generación)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Natural Balance Foods (nākd., TREK) y entrada en Urban Fresh Foods (BEAR): nace Lotus Natural Foods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línea de Biscoff en Mebane (Carolina del Norte, EE. UU.)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Stichting coloca un 10 % de sus acciones entre institucionales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Mondelez: Biscoff fabricada y distribuida por Mondelez en India y chocolate co-marcado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del helado a Froneri; arranque de Chonburi (Tailandia); exit de The Good Crisp Company [2, 12,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al menos 500 M EUR para Biscoff en EE. UU., Tailandia y Bélgica (2026-2030); acción +63 % en el año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Lotus Bakeries fabrica y vende galletas y snacks de marca en tres pilares [1]. Lotus Biscoff (57 % de las ventas de marca en 2025, 670 M EUR declarados): la galleta caramelizada de especulos y la crema para untar, vendidas en más de 70 países y licenciadas a Mondelez (galletas en India, chocolate Cadbury, Milka, Côte d'Or y desde 2026 Toblerone y otras) y a Froneri (helado) [2, 3]. Lotus Natural Foods (25 %, unos 300 M): snacks «mejores para ti» con BEAR (fruta para niños, fuerte en EE. UU.), TREK y nākd. (barritas, Reino Unido), Kiddylicious y Peter's Yard [2]. Lotus Local Heroes (18 %): gofres, pastelería, Dinosaurus, Peijnenburg (pan de especias) y Annas (Suecia) en sus mercados de origen [1]. Produce en Bélgica (Lembeke, la mayor fábrica de un solo tipo de galleta de Europa), Países Bajos, Francia, Suecia, Sudáfrica, EE. UU. (Mebane, desde 2019) y Tailandia (Chonburi, desde finales de 2025) [2, 3]. Vende a la gran distribución, a aerolíneas y cafeterías (el origen de la marca) y a través de socios en unos 50 países [2].</w:t>
      </w:r>
    </w:p>
    <w:p>
      <w:pPr>
        <w:pStyle w:val="Heading2"/>
      </w:pPr>
      <w:r>
        <w:t xml:space="preserve">Cómo gana dinero</w:t>
      </w:r>
    </w:p>
    <w:p>
      <w:pPr>
        <w:spacing w:after="100"/>
      </w:pPr>
      <w:r>
        <w:t xml:space="preserve">Margen alto de marca con un producto sencillo: tras materias primas, envases y producción subcontratada quedaba el 66,0 % de las ventas en 2025 (66,6 % en 2021) [1]. Harina, azúcar, aceites vegetales, cacao (en la crema y el chocolate co-marcado) y envases son el coste variable; la empresa crece casi solo por volumen (en 2025 «casi entero volumen», en el 1S25 el precio aportó un 1,5 %) [2, 4]. El apalancamiento operativo es real pero se reinvierte: servicios y otros gastos (59 % comercial y marketing) suben con las ventas [1]. Los ingresos por licencias de Mondelez y Froneri, sin capital, mejoran el margen [2]. El EBIT subyacente pasó del 16,5 % en 2021 al 17,2 % en 2025 y al 17,5 % en el 1S26 [1, 3]. La estacionalidad es baja; el segundo semestre pesa algo más.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grupo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grupo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atomizados en la gran distribución de Europa y EE. UU., más canales de aerolíneas y cafeterías y socios distribuidores en unos 50 países [1, 2]. Ningún país distinto de los cuatro mayores supera el 10 % de las ventas [1]. El poder de precios se ve en que crece casi solo con volumen y aun así sube margen: en 2025 la subida de precios fue mínima y el EBITDA(u) creció un 12,4 % con las ventas al 10 % [2]. La penetración de la galleta Biscoff en los hogares de EE. UU. pasó del 9 % (2025) a más del 10 % (1S26) [2, 3]; en EE. UU. es la marca que más crece en galletas y en cremas [3]. El límite del crecimiento ha sido la capacidad, no la demanda: en 2025 la capacidad de la galleta original solo permitía +10 % de volumen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(1S26; −2 pp de divisa)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Biscoff y Natural Foods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y ventas de Biscoff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orgánico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20 %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Tailandia disponible; tendencia viral «Japanese cheesecake»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Biscoff en hogares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más crece en galletas y cremas de EE. UU.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Tailandia y licencias de Mondelez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94,3 M sin arrendamientos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M (2024-2025)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250 M (2026-2027); al menos 500 M de Biscoff en 2026-2030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Tailandia y Bélgica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galletas dulces (sweet biscuits), en valor a precio de venta, que es donde compite Biscoff (57 % de las ventas de marca) y el perímetro de la ambición de la empresa («tercera marca de galletas del mundo») [1, 3]. Natural Foods compite en barritas y snacks de fruta, un mercado distinto que no sumamos para no mezclar perímetros. Usamos Global Market Insights (115.500 M USD en 2025, unos 103.700 M EUR al tipo del 14-oct) y lo contrastamos con IMARC (134.100 M USD para todas las galletas, con saladas y crackers) [8, 9]. Las dos fuentes son casas de estudios de pago con definiciones distintas: la cifra es orientativa.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103.700 M EUR en 2025 (115.500 M USD, Global Market Insights) [8]; 134.100 M USD para todas las galletas según IMARC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GMI convertido a 1,1141 USD/EUR; previsión con su TCAC del 4,7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marcas globales en mercados nuevos (EE. UU., Asia,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Biscoff pasó del 9 % a más del 10 % de los hogares de EE. UU. y Mondelez la llevó a más de 300.000 tiendas indias en cuatro semanas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sociales y modas virales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receta viral del «Japanese cheesecake» empujó la demanda en el 1S26; la empresa no la considera estructural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Co-marcado y licencias (chocolate, helado)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Milka, Cadbury, Côte d'Or, Toblerone con Biscoff y helado Froneri en 13 países [3,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materias primas (azúcar, aceites, cacao,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son el 34 % de las ventas de Lotus; aviso de presión de costes en 2026-2027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azúcar y fármacos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snack «mejor para ti» crece más que la galleta clásica; Natural Foods +17 %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cadenas copian el especulos; Biscoff sigue ganando cuota en EE. UU.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Mondelez (Oreo, LU, belVita), Ferrero, Pepperidge Farm (Campbell's), Arnott's y las marcas blancas; Lotus es socio de Mondelez y no rival frontal en India y chocolate [2,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distribución concentrada en Europa y EE. UU.; Lotus vende en más de 70 países y ningún país pequeño pasa del 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Harina, azúcar y aceites son materias primas abundantes; el cacao solo pesa en la crema y el chocolate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Hacer un especulos es fácil; hacer una marca global y la escala de Lembeke (la mayor fábrica de un solo tipo de galleta de Europa) no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dulces y snacks, y la presión por menos azúcar [1].</w:t>
            </w:r>
          </w:p>
        </w:tc>
      </w:tr>
    </w:tbl>
    <w:p>
      <w:pPr>
        <w:spacing w:after="160" w:before="0"/>
      </w:pPr>
    </w:p>
    <w:p>
      <w:pPr>
        <w:pStyle w:val="Heading2"/>
      </w:pPr>
      <w:r>
        <w:t xml:space="preserve">Ciclo</w:t>
      </w:r>
    </w:p>
    <w:p>
      <w:pPr>
        <w:spacing w:after="100"/>
      </w:pPr>
      <w:r>
        <w:t xml:space="preserve">Las galletas de marca son defensivas: en 2009 y 2020 el volumen aguantó (en 2020 Lotus creció pese a perder aerolíneas y cafeterías) [1]. En 2022-2023 el sector subió precios por la inflación de costes y perdió algo de volumen; Lotus creció un 17 % y un 21 % [1]. En 2026 la categoría crece poco en volumen en los mercados maduros (barritas del Reino Unido al «bajo dígito») mientras Biscoff sube más del 20 % [3]. La posición de la empresa es de expansión propia, más que del ciclo del sector.</w:t>
      </w:r>
    </w:p>
    <w:p>
      <w:pPr>
        <w:pStyle w:val="Heading2"/>
      </w:pPr>
      <w:r>
        <w:t xml:space="preserve">Regulación</w:t>
      </w:r>
    </w:p>
    <w:p>
      <w:pPr>
        <w:spacing w:after="100"/>
      </w:pPr>
      <w:r>
        <w:t xml:space="preserve">Reino Unido: restricciones de publicidad y de promociones a los productos con mucho azúcar, grasa y sal (HFSS), en vigor desde octubre de 2025-enero de 2026, que afectan a la galleta y no a la mayoría de los snacks de Natural Foods [1]. UE: reglamento de envases (PPWR) con reciclabilidad total en 2030 y reglamento de deforestación para el cacao y el aceite de palma [1]. EE. UU.: aranceles a las importaciones desde Europa en 2025, neutralizados con la producción de crema y galleta en Mebane [2].</w:t>
      </w:r>
    </w:p>
    <w:p>
      <w:pPr>
        <w:pStyle w:val="Heading2"/>
      </w:pPr>
      <w:r>
        <w:t xml:space="preserve">Tendencias y disrupción</w:t>
      </w:r>
    </w:p>
    <w:p>
      <w:pPr>
        <w:spacing w:after="100"/>
      </w:pPr>
      <w:r>
        <w:t xml:space="preserve">Tres tendencias favorecen a Lotus: las marcas globales ganan a las locales gracias a las redes sociales (TikTok y la generación Z, que la dirección cita como su público de más tracción) [3]; el co-marcado deja vender el sabor Biscoff en chocolate, helado y barritas sin capital propio [3, 14]; y el snack «mejor para ti» crece más que la galleta clásica, donde Natural Foods está bien colocada [1]. La tendencia en contra es la salud: menos azúcar, GLP-1 y regulación HFSS. La IA no cambia el producto; podría cambiar cómo se compra (asistentes de compra que eligen por precio) y abarata el marketing digital de todos.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Biscoff, entre las cinco primeras marcas de galletas del mundo y la que más crece del ranking; Lotus, alrededor del 1,3 % del mercado mundial de galletas dulces (estimación propia con el grupo entero); líder del especulos y número uno en crecimiento en galletas y cremas de EE. UU. [2,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galletas (Oreo, LU, belVita, Chips Ahoy); socio de Lotus en India, chocolate y posible Brasil [3,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Ferrero (con WK Kellogg y Kinder)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galletas Kinder y Nutella Biscuits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 (con Kellanova)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compró Kellanova (Pringles, Pop-Tarts) en 2025 por 35.900 M USD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Dulces y snacks salados en EE. UU.; rival en el pasillo de snacks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Lindt &amp; Sprüngli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Chocolate prémium; ventas de 2025 en EUR al tipo del 14-oct; referencia de marca prémium europea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recetas virales y el co-marcado crean una pequeña red de notoriedad, no un efecto de red económico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para el consumidor.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Sabor único y marca global: Mondelez paga licencia para usar Biscoff en Cadbury, Milka y Toblerone; crecimiento por volumen sin subir precio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Lembeke, la mayor fábrica de un solo tipo de galleta de Europa, y producción local en EE. UU. y Tailandia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fábricas para tres regiones y socios en unos 50 países [2].</w:t>
            </w:r>
          </w:p>
        </w:tc>
      </w:tr>
    </w:tbl>
    <w:p>
      <w:pPr>
        <w:spacing w:after="160" w:before="0"/>
      </w:pPr>
    </w:p>
    <w:p>
      <w:pPr>
        <w:pStyle w:val="Heading2"/>
      </w:pPr>
      <w:r>
        <w:t xml:space="preserve">Amenazas</w:t>
      </w:r>
    </w:p>
    <w:p>
      <w:pPr>
        <w:spacing w:after="100"/>
      </w:pPr>
      <w:r>
        <w:t xml:space="preserve">Lo que puede erosionar el foso es que Biscoff sea una moda: parte del crecimiento de 2026 vino de una receta viral que la propia empresa dice no ser estructural [3]. Probabilidad baja de que la marca pierda relevancia en cinco años (penetración de solo el 10 % en EE. UU. y en ascenso), media de que el crecimiento vuelva al 8-10 % cuando se agote la moda. La marca blanca copia el especulos pero no ha frenado a Biscoff [3]. La dependencia de Mondelez en India y chocolate concentra riesgo en un socio que también es el mayor competidor en galletas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15,9 %</w:t>
      </w:r>
      <w:r>
        <w:t xml:space="preserve">, EBITDA </w:t>
      </w:r>
      <w:r>
        <w:rPr>
          <w:b/>
          <w:bCs/>
        </w:rPr>
        <w:t xml:space="preserve">17,0 %</w:t>
      </w:r>
      <w:r>
        <w:t xml:space="preserve">, BPA </w:t>
      </w:r>
      <w:r>
        <w:rPr>
          <w:b/>
          <w:bCs/>
        </w:rPr>
        <w:t xml:space="preserve">17,4 %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750,3 M EUR en 2021 a 1.355,1 M en 2025 (+15,9 % anual compuesto) y a 1.446,9 M en los doce meses a junio de 2026 [1, 3]. Es crecimiento orgánico y de volumen: la última compra fue Peter's Yard (2022, 9,2 M) y en 2025 el precio apenas aportó [1, 2]. El margen EBIT publicado subió del 16,0 % (2021) al 16,8 % (2025): el coste de materias primas subió del 33,4 % de las ventas (2021) al 35,5 % en el pico de 2022 y volvió al 34,0 % en 2025, el personal pasó del 20,4 % al 19,2 % y la escala se reinvirtió en marketing y estructura comercial (servicios del 25,6 % al 26,3 %) [1]. En el 1S26 el EBIT(u) subió un 19,4 % con las ventas al 14 %: el margen llegó al 17,5 % pese a 8 M anuales de amortización nueva de Tailandia [3]. La divisa resta: −2,5 % en el 2S25 y −2 puntos en el 1S26 [2, 3].</w:t>
      </w:r>
    </w:p>
    <w:p>
      <w:pPr>
        <w:pStyle w:val="Heading2"/>
      </w:pPr>
      <w:r>
        <w:t xml:space="preserve">Ajustes y partidas no recurrentes</w:t>
      </w:r>
    </w:p>
    <w:p>
      <w:pPr>
        <w:spacing w:after="100"/>
      </w:pPr>
      <w:r>
        <w:t xml:space="preserve">Lotus publica un EBIT «subyacente» (EBIT(u)) que excluye partidas «no subyacentes»: 4,1 M (2021), 3,8 M (2022), 2,5 M (2023), 5,2 M (2024), 4,8 M (2025) y 0,9 M en el 1S26, sobre todo costes de arranque de Tailandia y de compras [1, 3]. Como se repiten casi todos los años, usamos el EBIT y el BPA publicados (sin ajustar); el BPA subyacente de 2025 fue de 218,0 EUR frente a 211,88 publicado [2]. El EBITDA del informe es EBIT + amortizaciones (267,8 M en 2025); el EBITDA(u) de la empresa (273,4 M) suma además provisiones y depreciaciones de circulante y las partidas no subyacentes [2]. Ninguna liberación fiscal ni plusvalía relevante en la cuenta: el tipo efectivo es estable en el 23-23,5 % [1]. La venta de la participación en The Good Crisp Company (2025) entró en caja (20,4 M) por otro resultado global, no por la cuenta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1S26 (7-ago-2026) la dirección cambió el discurso de la capacidad como freno al de la capacidad como apuesta: Tailandia está plenamente operativa y «en la parte alta de lo esperado», y anunció el mayor programa de inversión de su historia, al menos 500 M EUR para Biscoff en EE. UU., Tailandia y Bélgica entre 2026 y 2030, con más de 250 M de capex del grupo en 2026-2027 [3]. Frente a febrero, cuando hablaba de unos 250 M en dos años y de riesgos comerciales [2], ahora sube la ambición: hacer de Biscoff la tercera marca de galletas del mundo y negociar con Mondelez un modelo como el de India para Brasil [3]. Avisó de presión de costes por Oriente Medio y el clima que puede seguir en 2027 y calificó la moda viral del «Japanese cheesecake» de acelerador de notoriedad, no de motor estructural [3]. No publica guía numérica de ventas ni de margen; no hay transcripción pública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casi de deuda cero pese a invertir 113-123 M al año: deuda financiera neta de 67,5 M a cierre de 2025 (0,25 veces el EBITDA(u)) y de 94,3 M en junio de 2026 tras pagar 73,1 M de dividendo en mayo [1, 3]. El circulante comercial (existencias + clientes − proveedores) es bajo, del 3,7 % de las ventas en 2025, porque los proveedores financian casi todo el inventario [1]. El inmovilizado material se dobló de 307,7 M (2021) a 648,1 M (2025) con Tailandia y Mebane [1]. Ojo con el dato del XBRL: el campo de deuda solo recogía la parte a largo plazo; aquí sumamos corto y largo (312,3 M con arrendamientos en 2025) [5]. Los arrendamientos de 2021-2022 se aproximan por los derechos de uso (12,7 M y 16,1 M)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257</w:t>
      </w:r>
      <w:r>
        <w:t xml:space="preserve">, conversión </w:t>
      </w:r>
      <w:r>
        <w:rPr>
          <w:b/>
          <w:bCs/>
        </w:rPr>
        <w:t xml:space="preserve">40 %</w:t>
      </w:r>
      <w:r>
        <w:t xml:space="preserve"> del beneficio neto; adquisiciones 10, dividendos 207, recompras 15.</w:t>
      </w:r>
    </w:p>
    <w:p>
      <w:pPr>
        <w:spacing w:after="100"/>
      </w:pPr>
      <w:r>
        <w:t xml:space="preserve">El flujo de explotación creció de 110,9 M (2021) a 205,9 M (2025), en torno al 75-80 % del EBITDA tras impuestos pagados (41,5 M en 2025) [1, 5]. El capex se come buena parte: 42,0 M en 2021 y 113-123 M en 2022, 2024 y 2025 (8-14 % de las ventas), por la fábrica de Tailandia, las ampliaciones de Mebane y Lembeke [1, 5]. El flujo libre tras capex, arrendamientos e intereses fue de 80,9 M en 2025 (6,0 % de las ventas). Estimación propia del reparto: el mantenimiento ronda la amortización (40 M, el 3 % de las ventas) y el resto, 70-80 M al año, es crecimiento. Con al menos 500 M de Biscoff en 2026-2030 y más de 250 M de capex del grupo en 2026-2027, el capex seguirá en el 7-9 % de las ventas hasta 2028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Bedrijfsrevisoren BV (socio Kurt Dehoorne)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NIIF-UE auditadas por Deloitte (opinión favorable) con informes ESEF sin errores de validación [1, 5]. El motor da un Altman Z de 11,57 (zona segura, por la deuda casi nula), un Piotroski F de 7 sobre 9 (falla en la subida de la deuda sobre el activo en 2025) y un Beneish M de −2,51, por debajo del umbral de manipulación. No capitaliza I+D; los pagos en acciones son mínimos (2,1 M) y la dilución de las opciones, un 0,2 % [1]. Las partidas «no subyacentes» (2,5-5,2 M al año) se repiten, por eso no las excluimos. Marcas y fondo de comercio suman 370,8 M sin deterioros. Ojo con el extracto automático del XBRL: la deuda solo recogía la parte a largo plazo y el dividendo, el pagado en el año; están corregidos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subyacentes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 y 5,2 M al año desde 2021; usamos el beneficio publicado sin excluirlas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 de deuda del XBRL incompleto (solo largo plazo)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Corregido con la nota 22 del informe anual: 312,3 M de deuda con arrendamientos en 2025 [1,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24,5 % · </w:t>
      </w:r>
      <w:r>
        <w:rPr>
          <w:b/>
          <w:bCs/>
        </w:rPr>
        <w:t xml:space="preserve">WACC</w:t>
      </w:r>
      <w:r>
        <w:t xml:space="preserve">: 8,0 %.</w:t>
      </w:r>
    </w:p>
    <w:p>
      <w:pPr>
        <w:spacing w:after="100"/>
      </w:pPr>
      <w:r>
        <w:t xml:space="preserve">Lotus crea valor y cada vez más: el ROIC del motor sube del 14,8 % en 2021 al 18,2 % en 2025 frente a un WACC del 7,98 %, unos 10,2 puntos de diferencia, aunque el capital invertido incluye 370,8 M de marcas y fondo de comercio comprados (TREK, nākd., BEAR, Kiddylicious) [1]. Lo mueve la rotación del capital (de 0,76 a 0,93 veces) más que el margen, que subió poco: el inmovilizado se dobló con Tailandia y Mebane, pero las ventas crecieron más rápido. El ROIC incremental de 2021-2025 es del 24,5 %: el capital nuevo rinde más que el viejo, señal de crecimiento de calidad. El ROE es del 20,9 % con casi nada de deuda. Frente a Lindt (ROIC del 13,2 %) y a las grandes alimentarias, la rentabilidad del capital es alta [19]. El riesgo es el programa de 500 M: si la demanda no llena la capacidad, el ROIC incremental bajará.</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121,9 M y depósitos a plazo de 78,2 M a cierre de 2025 (200,1 M en total) frente a 291,0 M de préstamos bancarios y 21,3 M de arrendamientos [1]. En 2024 firmó 225 M de financiación bilateral con KBC, BNP Paribas Fortis y Belfius, la mayoría préstamos a vencimiento con tipo fijo hasta 2033; dispuso 125 M en 2025 [1]. Deuda financiera neta de 94,3 M (sin arrendamientos) a junio de 2026, 0,3 veces el EBITDA(u)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(solo préstamos bilaterales de bancos belgas)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pensiones de 7,8 M (2025) [1]. Opciones de venta de los minoritarios de Natural Balance Foods (2,1 %) [1]. Pasivos por impuestos diferidos de 78,4 M, sobre todo por las marcas compradas (BEAR, nākd., TREK) [1]. Sin covenants relevantes informados ni factoring. La empresa resta además su autocartera (23,5 M a coste) en su definición de deuda neta; nosotros no, porque las acciones ya se cuentan sin autocartera [1].</w:t>
      </w:r>
    </w:p>
    <w:p>
      <w:pPr>
        <w:pStyle w:val="Heading1"/>
      </w:pPr>
      <w:r>
        <w:t xml:space="preserve">12. Asignación de capital</w:t>
      </w:r>
    </w:p>
    <w:p>
      <w:pPr>
        <w:pStyle w:val="Confianza"/>
        <w:spacing w:after="100"/>
      </w:pPr>
      <w:r>
        <w:t xml:space="preserve">Confianza: Alta</w:t>
      </w:r>
    </w:p>
    <w:p>
      <w:pPr>
        <w:spacing w:after="100"/>
      </w:pPr>
      <w:r>
        <w:t xml:space="preserve">Dividendo creciente 25 años seguidos: 90 EUR brutos por acción sobre 2025 (73,1 M, el 42 % del beneficio), frente a 76 EUR en 2024, 58 en 2023, 45 en 2022 y 40 en 2021 [1, 2]. Sin recompras para amortizar: la autocartera (3.960 acciones) solo cubre los planes de opciones [1]. Prioridad declarada: capacidad para Biscoff (más de 250 M en 2026-2027 y al menos 500 M de Biscoff en 2026-2030), inversión en marca y equipos comerciales, y compras pequeñas de marcas «mejores para ti»; el fondo FF2032 invierte en marcas emergentes y salió de The Good Crisp Company en 2025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Natural Balance Foods (nākd., TREK) y participación en Urban Fresh Foods (BEAR)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pilar Natural Foods, que factura unos 300 M y creció más de un 15 % en 2025; sin deterioros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Kiddylicious (snacks infantiles,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Natural Foods;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Peter's Yard (crackers,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sin deterioros [1, 5].</w:t>
            </w:r>
          </w:p>
        </w:tc>
      </w:tr>
    </w:tbl>
    <w:p>
      <w:pPr>
        <w:spacing w:after="160" w:before="0"/>
      </w:pPr>
    </w:p>
    <w:p>
      <w:pPr>
        <w:spacing w:after="100"/>
      </w:pPr>
      <w:r>
        <w:t xml:space="preserve">Asignación de capital de crecimiento orgánico: entre 2021 y 2025 invirtió unos 461 M en capex (el 31 % del flujo de explotación acumulado de 764 M) y pagó 207 M en dividendos, sin ampliaciones de capital ni recompras relevantes [5]. El ROIC se mantiene alto pese a doblar el inmovilizado, porque la capacidad nueva se llena enseguida (Tailandia ya rinde «en la parte alta de lo esperado») [3]. Las compras han sido pocas y pequeñas y han creado un segundo motor (Natural Foods). El riesgo es el de construir capacidad por adelantado en un programa de al menos 500 M: si la demanda de Biscoff se frena, el ROIC incremental cae. La dirección se ha guardado flexibilidad para ajustar el alcance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Boone (Stephenson NV)</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Nieto del fundador; antes en PwC y director financiero de Lotus. Desde 2011 llevó las ventas de unos 300 M a 1.355 M EUR (2025), creó la marca global Biscoff, abrió Mebane y Chonburi y firmó las alianzas con Mondelez y Froneri [1, 2]. Su participación es indirecta, vía la Stichting familiar.</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Cuvelier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auditor en PwC (1996-2000) y en puestos financieros de otros grupos (2000-2013); con él la deuda neta bajó a 0,25 veces el EBITDA pese al capex récord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Isabelle Maes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Natural Foods y directora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auditora en PwC y en Barry Callebaut; lleva el pilar que pasó a 300 M de ventas con +17 % en 2025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 Vander Stichele (Vasticom BV)</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reelegido en 2025 hasta la junta de 2029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Biscoff: volumen limitado a +10 % por capacidad de la galleta original; Tailandia operativa a finales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Biscoff +13 % orgánico; primeras galletas de Chonburi antes de fin de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Tailandia plenamente operativa al final del 1S26 «como muy tarde»; capex de unos 250 M en 2026-2027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Operativa en el 1S26 y en la parte alta de lo esperado; capex elevado a más de 250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familiar en la cabeza: Jan Boone lleva quince años de consejero delegado y el director financiero trece [1]. La empresa no publica guía numérica de ventas ni de margen, así que el historial se mide por los hitos operativos, que ha cumplido o adelantado (Tailandia) [2, 3]. La sucesión no es un asunto inmediato (Boone es de la tercera generación y su mandato llega a 2029), pero no hay plan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Vasticom BV (Jan Vander Stichele)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Stephenson NV (Jan Boone)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Beneconsult BV (Benedikte Boone)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PMF NV (Emanuel Boone)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Concellent NV (Sofie Boone)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 Stevens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Benoit Graulich BV (Benoit Graulich)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Palumi BV (Peter Bossaert)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Lema BV (Michel Moortgat)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Eagli BV (Noelle Goris)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Stichting Aandelen Lotus Bakeries (familias Boone y Stevens)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(62,22 % de los votos por el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en 2025; colocó un 10 % en 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(voto suspendido)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3.960 acciones a dic-25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y minorista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del flotante superior al 40 % anual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(a través de Stephenson NV) cobró 3,13 M EUR en 2025: 1,39 M de fijo, 0,23 M de pensión, 0,05 M de otros beneficios, 0,73 M de variable anual y 0,73 M de variable plurianual (53 % fijo / 47 % variable) [1]. El resto del comité de dirección, 5,78 M [1]. La ratio frente a la mediana de la plantilla es de 47 a 1 (49 en 2024) [1]. Los consejeros no ejecutivos cobran un fijo y reciben acciones [1]. El informe no detalla métricas de rentabilidad del capital (ROIC o TSR) en el variable; hay planes de opciones para directivos (1.885 pendientes) [1]. No hemos encontrado el resultado de la votación del informe de remuneraciones.</w:t>
      </w:r>
    </w:p>
    <w:p>
      <w:pPr>
        <w:pStyle w:val="Heading2"/>
      </w:pPr>
      <w:r>
        <w:t xml:space="preserve">Operaciones vinculadas, estructura de control y defensas</w:t>
      </w:r>
    </w:p>
    <w:p>
      <w:pPr>
        <w:spacing w:after="100"/>
      </w:pPr>
      <w:r>
        <w:t xml:space="preserve">La Stichting Aandelen Lotus Bakeries tiene el 50 % de las acciones y el 62,22 % de los votos gracias al voto doble de las acciones nominativas inscritas a nombre del mismo titular más de dos años [1]. Ninguna persona controla la Stichting, que agrupa a las familias Boone y Stevens [1]. Cuatro consejeros de las familias, más el consejero delegado, en un consejo de diez; tres independientes, que tienen mayoría en las comisiones de auditoría y de remuneraciones [1]. Una opa hostil es imposible. A favor del minoritario: el control familiar ha mantenido la empresa sin deuda, con dividendo creciente y reinversión a largo plazo; en contra: el voto doble rompe «una acción, un voto» y la familia decide el consejo [1].</w:t>
      </w:r>
    </w:p>
    <w:p>
      <w:pPr>
        <w:pStyle w:val="Heading2"/>
      </w:pPr>
      <w:r>
        <w:t xml:space="preserve">Señales de alerta</w:t>
      </w:r>
    </w:p>
    <w:p>
      <w:pPr>
        <w:pStyle w:val="ListParagraph"/>
        <w:numPr>
          <w:ilvl w:val="0"/>
          <w:numId w:val="2"/>
        </w:numPr>
        <w:spacing w:after="60"/>
      </w:pPr>
      <w:r>
        <w:t xml:space="preserve">Voto doble para las acciones nominativas de más de dos años: la Stichting tiene el 62,22 % de los votos con el 50 % del capital [1].</w:t>
      </w:r>
    </w:p>
    <w:p>
      <w:pPr>
        <w:pStyle w:val="ListParagraph"/>
        <w:numPr>
          <w:ilvl w:val="0"/>
          <w:numId w:val="2"/>
        </w:numPr>
        <w:spacing w:after="60"/>
      </w:pPr>
      <w:r>
        <w:t xml:space="preserve">Consejo dominado por la familia: tres independientes de diez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Lotus no da guía numérica de ventas ni de margen. En los resultados del 1S26 (7-ago-2026) dijo que la divisa pesará menos en el 2S26 que en el 1S26, que la presión de costes (Oriente Medio, clima) puede seguir en 2027, que el capex del grupo superará los 250 M en 2026-2027 y que invertirá al menos 500 M en Biscoff en 2026-2030 [3]. La ambición a largo plazo es hacer de Biscoff la tercera marca de galletas del mundo [3]. Resultados anuales el 5-feb-2027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12.891,08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9.000,00 – 15.000,00</w:t>
            </w:r>
          </w:p>
        </w:tc>
      </w:tr>
    </w:tbl>
    <w:p>
      <w:pPr>
        <w:spacing w:after="160" w:before="0"/>
      </w:pPr>
    </w:p>
    <w:p>
      <w:pPr>
        <w:pStyle w:val="Heading2"/>
      </w:pPr>
      <w:r>
        <w:t xml:space="preserve">Revisiones de estimaciones</w:t>
      </w:r>
    </w:p>
    <w:p>
      <w:pPr>
        <w:spacing w:after="100"/>
      </w:pPr>
      <w:r>
        <w:t xml:space="preserve">Los objetivos subieron tras los resultados de 2025 (BofA, Berenberg y Kepler en febrero) y del 1S26 (Berenberg el 17-ago, Bernstein el 2-sep), pero las recomendaciones bajan: Kepler y Degroof Petercam pasaron a Mantener en febrero y Bernstein a Market Perform en septiembre [18]. La lectura es que el beneficio sube y el precio sube más: el objetivo medio (12.891,08 EUR) queda solo un 0,7 % por encima de la cotización [18]. El EBITDA de MarketScreener (322,1 M en 2026) está en la base subyacente de la empresa (EBITDA(u)), unos 4-5 M por encima del EBIT + amortización publicado; su BPA de 2025 (211,9) es el publicado [17]. Una sola fuente con estimaciones completas; el objetivo y las recomendaciones se contrastan con las notas de los brókeres citadas en prensa.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63,1 % en 2026 (de 7.850 a 12.800 EUR) frente al +9,2 % del BEL 20 y el +4,6 % del sector europeo de alimentación [16]. Viene de perder un 41,7 % entre octubre de 2024 y noviembre de 2025 (mínimo de 7.270 EUR el 18-nov-2025), cuando el mercado dudó de la capacidad y del crecimiento de Biscoff [16]. La subida tiene tres tramos: enero (de 8.220 a 10.560 EUR antes y después de los resultados de 2025), mayo-junio (11.700) y agosto (de 11.140 a 12.820 con el 1S26 y el plan de 500 M) [3, 16]. En diez años ha subido un 18,7 % anual frente al 4,5 % del índice. Bélgica no publica un registro de posiciones cortas en abierto que hayamos encontrado.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cierre de cada año y el BPA del mismo año, Lotus cotizó a 50,1 veces en 2021, 49,7 en 2022, 51,7 en 2023, 57,5 en 2024 y 37,0 en 2025 [1, 16]. Con el BPA del año siguiente (base adelantada), a 44,0, 39,7, 43,9, 50,9 y 31,3 veces. Hoy cotiza a 54,5 veces el BPA de los últimos doce meses y a unas 45 veces el de 2027: vuelve a la parte alta de su historia tras el desplome de 2025. Lo que ha cambiado es el crecimiento, que se aceleró al 14 % en el 1S26 con Biscoff por encima del 20 %, y la confianza en la capacidad (Tailandia) [3]. La prima frente a los grandes de alimentación (16-19 veces) se ha ensanchado.</w:t>
      </w:r>
    </w:p>
    <w:p>
      <w:pPr>
        <w:pStyle w:val="Heading1"/>
      </w:pPr>
      <w:r>
        <w:t xml:space="preserve">18. Comparables cotizados</w:t>
      </w:r>
    </w:p>
    <w:p>
      <w:pPr>
        <w:pStyle w:val="Confianza"/>
        <w:spacing w:after="100"/>
      </w:pPr>
      <w:r>
        <w:t xml:space="preserve">Confianza: Media</w:t>
      </w:r>
    </w:p>
    <w:p>
      <w:pPr>
        <w:spacing w:after="100"/>
      </w:pPr>
      <w:r>
        <w:t xml:space="preserve">Grupos cotizados de galletas, chocolate y snacks de marca: Mondelez (líder mundial de galletas y socio de Lotus), Hershey, Lindt (marca prémium europea), Nestlé, Barry Callebaut (proveedor industrial, termómetro de costes) y, por Asia, Meiji y Ezaki Glico (galletas Pocky). Kellanova ya no cotiza (Mars la compró en diciembre de 2025): queda como transacción. Datos de la ficha sectorial del chocolate del mismo día, con Yahoo del 14-oct-2026, pasados de CHF a EUR (0,9313) [19, 20]. Ninguno crece como Lotus: son comparables de negocio, no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Lotus Bakeries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Lindt &amp; Sprüngli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Callebaut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Meiji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Ezaki Glico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13,5x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13,9x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5.479,57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19,0x / 24,6x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2,5x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4.289,40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5.196,26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12,5 + 0,00 × crecimiento; R² = 0,00. El crecimiento explica poco los múltiplos de estos comparables (R² &lt; 0,3): la regresión no se usa en la valoración.</w:t>
      </w:r>
    </w:p>
    <w:p>
      <w:pPr>
        <w:spacing w:after="100"/>
      </w:pPr>
      <w:r>
        <w:t xml:space="preserve">Lotus cotiza a unas 45 veces el BPA de 2027 y a más de 30 veces el EBITDA de los próximos doce meses, el doble o el triple que el grupo (mediana del PER de 19,0 veces) [19]. La prima tiene base: crece al 10-14 % frente al 3-4 % de los grandes, sin deuda (frente a 1,9-3,4 veces de Hershey, Mondelez y Nestlé) y con un margen EBITDA del 20 %, a la par de Hershey y Lindt [19]. Pero ningún comparable cotizado crece así, de modo que la tabla solo dice cuánto caería el múltiplo si Lotus pasara a crecer como una alimentaria normal: a 19-23 veces, la acción valdría menos de la mitad.</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(Pringles, Cheez-It, Pop-Tarts)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35.900 M USD con la deuda (al tipo de hoy); 16,4 veces el EBITDA ajustado LTM; cerró en diciembre de 2025 [21].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única gran operación del sector con múltiplo publicado es Kellanova, a 16,4 veces el EBITDA con un 44 % de prima [21]. Lotus no es opable: la Stichting familiar tiene el 50 % del capital y el 62 % de los votos [1]. Una venta solo ocurriría por decisión de la familia y el precio de mercado ya duplica cualquier múltiplo de transacción del sector, así que no damos peso a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+12,5 % en 2026e: el 1S26 creció un 14,0 % con −2 puntos de divisa y la empresa espera menos efecto divisa en el 2S26, pero el 2S25 es una base más alta [3]. Bajamos a 11 % en 2027e y 10 % en 2028e (consenso: 11,4 % y 10,5 %) [17] y de forma gradual hasta el 3 % en 2035e. La media de la proyección es del 7,3 % frente al 15,9 % anual de 2021-2025 [1]. El mercado de galletas dulces crece un 4,7 % [11]; Lotus gana cuota con Biscoff en EE. UU. (más del 10 % de los hogares), Asia (unos 15 % de las ventas de Biscoff) e India (Mondelez), y con Natural Foods fuera del Reino Unido [3].</w:t>
      </w:r>
    </w:p>
    <w:p>
      <w:pPr>
        <w:keepNext/>
        <w:spacing w:after="100"/>
      </w:pPr>
      <w:r>
        <w:rPr>
          <w:b/>
          <w:bCs/>
        </w:rPr>
        <w:t xml:space="preserve">Márgenes.</w:t>
      </w:r>
    </w:p>
    <w:p>
      <w:pPr>
        <w:spacing w:after="100"/>
      </w:pPr>
      <w:r>
        <w:t xml:space="preserve">Margen EBITDA (EBIT + amortización) del 20,9 % en 2026e (1S26: EBITDA(u) del 20,9 %) [3], que sube al 21,5 % en 2030e y se queda ahí. Lo empujan el volumen sobre fábricas con costes fijos, Tailandia (a pleno rendimiento) y las licencias de Mondelez y Froneri, que no consumen capital [3]. Lo frena la reinversión en marketing y equipos comerciales que la empresa dice que mantendrá, y la presión de costes que avisa para 2027 [3]. No llevamos el margen más arriba porque la dirección reinvierte el apalancamiento operativo.</w:t>
      </w:r>
    </w:p>
    <w:p>
      <w:pPr>
        <w:keepNext/>
        <w:spacing w:after="100"/>
      </w:pPr>
      <w:r>
        <w:rPr>
          <w:b/>
          <w:bCs/>
        </w:rPr>
        <w:t xml:space="preserve">Inversión y circulante.</w:t>
      </w:r>
    </w:p>
    <w:p>
      <w:pPr>
        <w:spacing w:after="100"/>
      </w:pPr>
      <w:r>
        <w:t xml:space="preserve">Capex del 8,5 % de las ventas en 2026e (unos 130 M), del 8,0 % en 2027e y bajando al 6,5 % en 2030e y al 5,5 % al final: es el programa anunciado (más de 250 M en 2026-2027 y al menos 500 M para Biscoff en 2026-2030) más el mantenimiento del resto del grupo [3]. La amortización sube del 3,0 % de las ventas (2025) al 4,2 %, porque las fábricas nuevas se amortizan (Tailandia añade 8 M al año) [3]. Tuvimos que subir el capex de los años finales del 4,3 % al 5,5 % para que el rendimiento del capital nuevo no superase 1,25 veces el histórico. Circulante del 4,0 % de las ventas (3,7 % en 2025) [1].</w:t>
      </w:r>
    </w:p>
    <w:p>
      <w:pPr>
        <w:keepNext/>
        <w:spacing w:after="100"/>
      </w:pPr>
      <w:r>
        <w:rPr>
          <w:b/>
          <w:bCs/>
        </w:rPr>
        <w:t xml:space="preserve">Coste del capital.</w:t>
      </w:r>
    </w:p>
    <w:p>
      <w:pPr>
        <w:spacing w:after="100"/>
      </w:pPr>
      <w:r>
        <w:t xml:space="preserve">Tasa libre del 3,51 % (Bund a 10 años del 14-oct-2026) [27]. Beta de 0,85: la mensual de 5 años frente al BEL 20 es 0,84 y la semanal de 2 años 0,81 [16]. Prima de mercado del 5,5 % y sin prima adicional (vende en mercados desarrollados y en Asia). Coste de la deuda del 2,0 % (préstamos bancarios a tipo fijo, medio del 1,90 % en 2025) [1] y peso de la deuda del 3 %. WACC del 7,98 %. Con la prima implícita del mercado (4,2 %) el WACC baja al 6,91 % y el DCF sube a 6.750,37 EUR.</w:t>
      </w:r>
    </w:p>
    <w:p>
      <w:pPr>
        <w:keepNext/>
        <w:spacing w:after="100"/>
      </w:pPr>
      <w:r>
        <w:rPr>
          <w:b/>
          <w:bCs/>
        </w:rPr>
        <w:t xml:space="preserve">Valor terminal.</w:t>
      </w:r>
    </w:p>
    <w:p>
      <w:pPr>
        <w:spacing w:after="100"/>
      </w:pPr>
      <w:r>
        <w:t xml:space="preserve">Gordon con un 2,5 % de crecimiento: crecimiento real de 0,5-1 punto más la inflación de su mezcla de divisas (euro, libra, dólar), por debajo de la tasa libre menos medio punto (3,0 %). El valor terminal pesa un 66 %. El múltiplo de salida de 20 veces el EBITDA, por encima de las transacciones (Kellanova, 16,4) y de los comparables (EV/EBITDA NTM de 7,8 a 15,7 veces), queda solo de contraste [19, 21].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6.518,67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6.991,02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(ROIC 18,2 %)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 (histórico: 24,5 %)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(hoy: 1,3 %)</w:t>
            </w:r>
          </w:p>
        </w:tc>
      </w:tr>
    </w:tbl>
    <w:p>
      <w:pPr>
        <w:spacing w:after="160" w:before="0"/>
      </w:pPr>
    </w:p>
    <w:p>
      <w:pPr>
        <w:spacing w:after="100"/>
      </w:pPr>
      <w:r>
        <w:t xml:space="preserve">La proyección reinvierte el 22 % del NOPAT. Con el ROIC del último ejercicio (18,2 %), eso financia un crecimiento del 3,9 % anual, frente al 7,3 % de ingresos proyectado. Supone que el capital nuevo rinde un 29,2 %, frente a un ROIC incremental histórico del 24,5 %; la cuota de mercado pasaría al 1,7 % desde el 1,3 %.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Biscoff por encima del 20 % en el 1S26 y de dos dígitos en Natural Foods; precio limitado; divisa de unos −2 puntos (libra y dólar)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Tailandia a pleno rendimiento y segunda línea antes de fin de 2027; co-marcas de Mondelez y helado Froneri en Australia; menos moda viral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nueva de Mebane a mediados de 2028; EE. UU. sigue ganando hogares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en Asia e India; crecimiento algo más lento a medida que la base sube.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ampliación de Lembeke completa el programa de 500 M; cuota implícita del 1,7 % del mercado de galletas dulces frente al 1,3 % de hoy [11].</w:t>
            </w:r>
          </w:p>
        </w:tc>
      </w:tr>
    </w:tbl>
    <w:p>
      <w:pPr>
        <w:spacing w:after="160" w:before="0"/>
      </w:pPr>
    </w:p>
    <w:p>
      <w:pPr>
        <w:spacing w:after="100"/>
      </w:pPr>
      <w:r>
        <w:t xml:space="preserve">Sí, con una salvedad. El crecimiento medio proyectado (7,3 %) es menos de la mitad del de 2021-2025 (15,9 %), la cuota de mercado implícita en 2030 sube del 1,3 % al 1,7 % (por debajo del límite de 1,5 veces) y, tras subir el capex de los años finales, el capital nuevo rinde un 29,2 % frente a un ROIC incremental histórico del 24,5 % (límite 30,6 %). La salvedad: al ROIC actual del 18,2 % (que incluye 370,8 M de marcas y fondo de comercio comprados) la reinversión del 22 % del NOPAT solo financia un 3,9 % de crecimiento; el resto sale de la marca (volumen en fábricas existentes, licencias de Mondelez y Froneri sin capital), que es justo lo que la empresa ha demostrado en 2021-2025 con un ROIC creciente [1,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 (base: 6,7 %)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(WACC: 8,0 %)</w:t>
            </w:r>
          </w:p>
        </w:tc>
      </w:tr>
    </w:tbl>
    <w:p>
      <w:pPr>
        <w:spacing w:after="160" w:before="0"/>
      </w:pPr>
    </w:p>
    <w:p>
      <w:pPr>
        <w:spacing w:after="100"/>
      </w:pPr>
      <w:r>
        <w:t xml:space="preserve">El DCF da 5.342,04 EUR por acción, un 58,3 % por debajo del precio, con un WACC del 7,98 % y el valor terminal pesando un 66 %. El DCF inverso dice que el precio de 12.800 EUR descuenta un crecimiento de las ventas del 19,4 % anual entre 2027 y 2035 frente al 6,7 % de nuestro base, o una rentabilidad implícita del 4,9 %, por debajo del 8,0 % de nuestro WACC y del 6,9 % que pide el mercado con su prima actual. Ninguna variante razonable cierra la distancia: con la prima del mercado el DCF sube a 6.750,37 EUR y el escenario alcista (crecimiento 2 puntos mayor y margen 1 punto más) vale 6.568,22. Para justificar el precio harían falta casi diez años más de crecimiento del 15-20 %, el ritmo de 2021-2026, sobre una base que ya es tres veces mayor que la de 2019. Es una exigencia muy alta.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moda viral se agota, Biscoff vuelve al 8-9 % y la presión de costes de 2027 se come el apalancamiento: crecimiento 3 puntos por debajo del base, margen 1,5 puntos menor y WACC medio punto más alto, como en 2025, cuando la acción perdió un 42 %.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dígitos hasta 2028 con la capacidad nueva y desaceleración gradual hasta el 3 % en 2035; margen EBITDA del 21,5 %.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6.568,22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 con Mondelez, más co-marcas y EE. UU. acelerando: crecimiento 2 puntos mayor cada año y margen 1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2.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5.196,43 EUR (-59,4 %).</w:t>
      </w:r>
    </w:p>
    <w:p>
      <w:pPr>
        <w:spacing w:after="100"/>
      </w:pPr>
      <w:r>
        <w:t xml:space="preserve">Todos los escenarios del DCF quedan por debajo del precio: el bajista vale 3.533,43 EUR (−72,4 %), el base 5.342,04 (−58,3 %) y el alcista 6.568,22 (−48,7 %). La asimetría del DCF no tiene sentido como ratio (pierde en los tres). A 12 meses, la regla común da 8.336,70 EUR en el bajista (−34,2 %), 13.810,50 en el base (+8,6 %) y 15.138,00 en el alcista (+19,0 %): una asimetría de 0,52 veces. Se pierde más en el bajista de lo que se gana en el alcista, porque el múltiplo de hoy ya está en la parte alta de su historia y solo puede bajar.</w:t>
      </w:r>
    </w:p>
    <w:p>
      <w:pPr>
        <w:pStyle w:val="Heading1"/>
      </w:pPr>
      <w:r>
        <w:t xml:space="preserve">22. Suma de partes</w:t>
      </w:r>
    </w:p>
    <w:p>
      <w:pPr>
        <w:pStyle w:val="Confianza"/>
        <w:spacing w:after="100"/>
      </w:pPr>
      <w:r>
        <w:t xml:space="preserve">Confianza: Alta</w:t>
      </w:r>
    </w:p>
    <w:p>
      <w:pPr>
        <w:spacing w:after="100"/>
      </w:pPr>
      <w:r>
        <w:t xml:space="preserve">No aplica: Biscoff, Natural Foods y Local Heroes comparten fábricas, red comercial y estructura, y la empresa solo publica resultados por región; no hay negocios separables con comparables propios.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2.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12.891,08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6.410,84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12.864,00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5.296,97 EUR (-58,6 % sobre 12.800,00).</w:t>
      </w:r>
    </w:p>
    <w:p>
      <w:pPr>
        <w:spacing w:after="100"/>
      </w:pPr>
      <w:r>
        <w:t xml:space="preserve">Pesos: DCF 50 %, escenarios 40 % y comparables 10 %. El DCF es el método que mejor recoge lo que vale una empresa sin deuda y con crecimiento visible, pero depende de cuánto dura el crecimiento: con el valor terminal en un 66 %, cada punto de crecimiento perpetuo mueve mucho. Los comparables pesan poco porque ninguno crece como Lotus: a 19 veces el BPA (mediana del PER) la acción valdría unos 5.300 EUR; por EV/EBITDA de los próximos 12 meses, 4.335,74-6.176,72. Las transacciones no pesan: la familia controla el 62 % de los votos. El valor objetivo ponderado (5.296,97 EUR) queda un 58,6 % por debajo del precio. Todos los métodos de valor, incluidos los de la prima de mercado (6.540,63), quedan muy por debajo; el precio solo se sostiene con la regla de múltiplos a 12 meses, que supone que el mercado sigue pagando 45 veces.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(46.2x) a mitad de camino hacia abajo, hacia la mediana de 5 años (43.9x)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15.138,00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bl>
    <w:p>
      <w:pPr>
        <w:spacing w:after="160" w:before="0"/>
      </w:pPr>
    </w:p>
    <w:p>
      <w:pPr>
        <w:spacing w:after="100"/>
      </w:pPr>
      <w:r>
        <w:rPr>
          <w:b/>
          <w:bCs/>
        </w:rPr>
        <w:t xml:space="preserve">Objetivo a 12 meses (ponderado):</w:t>
      </w:r>
      <w:r>
        <w:t xml:space="preserve"> 12.773,93 EUR · rentabilidad +0,5 % (base +8,6 %) · señal Mantener.</w:t>
      </w:r>
    </w:p>
    <w:p>
      <w:pPr>
        <w:spacing w:after="100"/>
      </w:pPr>
      <w:r>
        <w:t xml:space="preserve">Para comparar, con la regla v2 (historia al cierre, mismo precio): 37,0x / 46,2x / 47,0x, 6,2 %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(249,9 EUR) coincide con el consenso (251,9) [17]; el de 2027e (277,2) va un 3,3 % por debajo (286,7) y el de 2028e (306,9) un 5,2 % (323,8). La diferencia está en las ventas (1.861 M en 2028 frente a 1.887) y en la amortización: el programa de al menos 500 M sube la amortización al 3,6 % de las ventas en 2028 frente al 3,0 % de 2025, y el consenso parece no recogerla entera. Nuestro objetivo ponderado (12.773,93 EUR) queda un 0,9 % por debajo del objetivo medio de los analistas (12.891,08, 12 analistas, en subida en los últimos tres meses); nuestro base (13.810,5) queda un 7,1 % por encima. El objetivo medio cae dentro de nuestro rango (8.336,70-15.138,00).</w:t>
      </w:r>
    </w:p>
    <w:p>
      <w:pPr>
        <w:keepNext/>
        <w:spacing w:after="100"/>
      </w:pPr>
      <w:r>
        <w:rPr>
          <w:b/>
          <w:bCs/>
        </w:rPr>
        <w:t xml:space="preserve">Del valor intrínseco al objetivo a 12 meses.</w:t>
      </w:r>
    </w:p>
    <w:p>
      <w:pPr>
        <w:spacing w:after="100"/>
      </w:pPr>
      <w:r>
        <w:t xml:space="preserve">La distancia entre el valor intrínseco (5.296,97 EUR) y el objetivo a 12 meses (12.773,93) es del 59 %: el DCF dice que el precio descuenta un crecimiento anual del 19,4 % en 2027-2035, y la regla de múltiplos dice que el mercado seguirá pagando unas 45 veces el beneficio mientras Biscoff crezca a dos dígitos. Las dos cosas pueden ser ciertas a la vez: a un año, el precio depende de que el crecimiento no se frene; a largo plazo, el valor depende de cuántos años más dura. Para cerrar la distancia por arriba haría falta que el crecimiento de dos dígitos dure hasta 2035; por abajo basta con un semestre de crecimiento de un dígito. La tesis de valor es a más de un año y no favorece a la acción.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2S26 sin la base fácil; primera señal de si la moda viral se agota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2026-2H</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Helado Froneri en Australia y Nueva Zelanda; nuevas co-marcas de Mondelez (Toblerone, Suchard, Freia, Marabou)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licencia sin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Brasil con Mondelez (modelo de India)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el mayor mercado de Latinoamérica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(26.º año de subida; consenso 102,4 EUR)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línea de la segunda nave de Chonburi (Tailandia)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Asia-Pacífico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 nueva de Mebane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para EE. UU. desde 2029; más amortización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Biscoff cuando pase la moda viral (múltiplo de 45 veces muy sensible al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y 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a 12 meses (bajista de la regla, PER 31,4x)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aún del 10 % en EE. UU.; India y Asia en fase inicial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grupo por debajo del 8 %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construida por adelantado (≥ 500 M en 2026-2030)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(amortización y ROIC incremental)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por fases con flexibilidad de alcance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por encima de 150 M al año con ventas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Mondelez (India, chocolate, Brasil) que también es su mayor rival en galletas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licencia a largo plazo; Biscoff es un activo valioso para Mondelez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alianza o en la dirección de Mondelez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materias primas y energía (Oriente Medio, clima)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 de la marca; compras a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EBIT(u) del 2S26 por debajo del 17 %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regulación del azúcar (HFSS en el Reino Unido, GLP-1)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Natural Foods (25 % de las ventas de marca) en «mejor para ti»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volumen de galletas en el Reino Unido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que la IA se coma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físico de marca; la IA no fabrica ni sustituye una galleta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Asistentes de compra con IA que desvían la cesta hacia la marca blanca en el comercio electrónico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(libra y dólar: 36 %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del BPA por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 y Tailandia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familiar y voto doble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 alineada a largo plazo;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partes vinculadas o colocaciones de la Stichting</w:t>
            </w:r>
          </w:p>
        </w:tc>
      </w:tr>
    </w:tbl>
    <w:p>
      <w:pPr>
        <w:spacing w:after="160" w:before="0"/>
      </w:pPr>
    </w:p>
    <w:p>
      <w:pPr>
        <w:pStyle w:val="Heading2"/>
      </w:pPr>
      <w:r>
        <w:t xml:space="preserve">Pre-mortem</w:t>
      </w:r>
    </w:p>
    <w:p>
      <w:pPr>
        <w:spacing w:after="100"/>
      </w:pPr>
      <w:r>
        <w:t xml:space="preserve">Es octubre de 2029 y la acción ha perdido un 40 %, hasta unos 7.700 EUR, aunque la empresa sigue creciendo. Lo que pasó: la moda del «Japanese cheesecake» se apagó en 2027, el crecimiento del grupo bajó del 14 % al 8-9 % y el segundo semestre de 2027 llegó con más coste de materias primas y la amortización de Tailandia y Mebane. El BPA siguió subiendo, pero un 8 % al año y no un 13 %. El mercado dejó de pagar 45 veces y volvió a las 30-31 veces de finales de 2025, como ya ocurrió entre octubre de 2024 y noviembre de 2025 (−42 %). Las fábricas nuevas quedaron medio vacías un par de años y el ROIC bajó del 18 % al 15 %. La señal que lo habría anticipado: el crecimiento de Biscoff en el 2S26 y el 1S27 por debajo del 10 % y el capex de 2027 por encima de 150 M. La IA no tuvo nada que ver.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que mueve las cifras: (1) salud y nutrición, por la regulación HFSS del Reino Unido y la presión sobre el azúcar; Natural Foods (25 % de las ventas) es la cobertura [1]; (2) emisiones y energía de los hornos, con objetivos de reducción de intensidad energética y el informe CSRD de 2025 con revisión limitada de Deloitte [1]; (3) envases reciclables antes de 2030 por el reglamento PPWR [1]. El abastecimiento de aceite de palma y cacao entra en el reglamento europeo de deforestación [1].</w:t>
      </w:r>
    </w:p>
    <w:p>
      <w:pPr>
        <w:pStyle w:val="Heading2"/>
      </w:pPr>
      <w:r>
        <w:t xml:space="preserve">Controversias</w:t>
      </w:r>
    </w:p>
    <w:p>
      <w:pPr>
        <w:spacing w:after="100"/>
      </w:pPr>
      <w:r>
        <w:t xml:space="preserve">No constan sanciones, litigios relevantes ni retiradas de producto en 2023-2026 en los documentos de la empresa ni en la prensa revisada [1,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viral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+20 % de Biscoff en el 1S26 atribuye la empresa a la receta viral, y cómo fue julio-septiembre?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2027 crece a dos dígitos o a uno, y con ello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utilización tiene cada fábrica de Biscoff hoy y qué capacidad añade cada fase del programa de 500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depende de llenar la capacidad nueva.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deja la licencia de India y del chocolate frente a la venta propia, y qué duración tienen los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explican parte de la mejora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las ventas de Biscoff en EE. UU. y cuánto gasta en medios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aumento absoluto y el motor de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Natural Foods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Natural Foods frente a Biscoff?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crece más con menos margen, diluye el margen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la Stichting algún plan de venta o colocación como el de 2021?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colocación aumentaría el flotante y presionaría el precio.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Testaankoop Invest (revista de inversores particulares, Bélgica)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Reconoce resultados excelentes, pero aconseja no comprar y recoger beneficios: la subida viene del múltiplo y un pequeño tropiezo provocaría una corrección fuerte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Belegger (web de inversores neerlandesa)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 piezas en 2026 con el mismo hilo: el negocio crece fuerte, pero la acción sube más rápido que el beneficio y la pregunta es si está demasiado cara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(titulares y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especulos más caro de la bolsa europea»; rebajas de Bernstein y antes de Kepler y Degroof Petercam con objetivos al alza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Tradingsat / BFM 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sube dos sesiones seguidas por la caja de Toblerone con crema Biscoff: el mercado premia cada nueva licencia de Mondelez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extrema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la cifra: unas 45 veces el BPA de 2027 frente a 16-23 de los comparables, y el DCF queda muy por debajo del precio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Biscoff y moda viral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Biscoff crece más del 20 % en el 1S26; la propia empresa dice que la moda del «Japanese cheesecake» acelera la notoriedad, pero no es estructural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Alianzas con Mondelez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chocolate y helado aportan ingresos de licencia sin capital; Brasil en negociación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de 500 M</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Financiable con el flujo (deuda neta 0,3 veces el EBITDA) pero eleva el riesgo si la demanda se frena [22].</w:t>
            </w:r>
          </w:p>
        </w:tc>
      </w:tr>
    </w:tbl>
    <w:p>
      <w:pPr>
        <w:spacing w:after="160" w:before="0"/>
      </w:pPr>
    </w:p>
    <w:p>
      <w:pPr>
        <w:spacing w:after="100"/>
      </w:pPr>
      <w:r>
        <w:t xml:space="preserve">El sentimiento de particulares y prensa de inversión es dividido: nadie discute el negocio y casi todos dudan del precio. Coincide con la tesis del informe (empresa excelente, acción cara) y con el movimiento de los analistas, que suben objetivos pero rebajan recomendaciones. No hay euforia minorista visible ni capitulación; el riesgo que señalan (corrección por un tropiezo pequeño con el múltiplo tan alto) ya está en nuestros escenarios. Los foros abiertos (Beursduivel, IEX, Reddit) no fueron accesibles: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27 (10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29,2 % frente a un ROIC de 18,2 % y un incremental histórico de 24,5 %: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1,7 % en 2030e frente al 1,3 %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3,7 % real: genera una variación de circulante de 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144 M de flujo libre medio en sus tres primeros años, frente a 71 M de media real en los tres últimos: justifica el salto (circulante, inversión, márgenes) o ajusta los supuestos. Explicación: El flujo libre real de 2023-2025 (71 M de media) está deprimido por un capex del 6-10 % de las ventas para Tailandia y Mebane; la proyección mantiene un capex del 7,5-8,5 % en 2026-2028 pero sobre unas ventas y un EBITDA un 25-35 % mayores (EBITDA de 318 M en 2026e frente a 268 M en 2025). El consenso espera 122 M de flujo libre en 2026 y 148 M en 2027 [17].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R² de 0,00: los comparables crecen todos al 3-4 % y ninguno como Lotus;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1S24 y 2S24 con margen y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1S25 (solo el crecimiento del 1S25); 2) web de inversores (solo publica los dos últimos semestres); 3) ESEF (solo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ESEF 2022 (solo derechos de uso: 12,7 M y 16,1 M); 2) informe anual 2025 (solo 2024-2025); 3) aproximado por los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1S26 (solo totales y deuda neta); 2) web de inversores (sin informe semestral completo enlazado); 3) ESEF (no hay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las cita); 2) web de sostenibilidad; 3) páginas públicas de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 las galletas dulces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Lotus (solo ranking de marcas); 2) GMI e IMARC (resúmenes sin cuotas); 3) Mondelez (solo su cuota de galletas en sus mercados)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del informe de remuneraciones en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publica); 2) convocatoria de la junta de 2026 (solo propuestas); 3) actas de la junta en la web (no enlazadas)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saldos de opciones y acciones de los consejeros); 2) registro de la FSMA (no accesible sin navegador); 3) prensa belga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otras compras de galletas (Hostess por Smucker, Clif Bar por Mondelez, WK Kellogg por Ferrero)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(EBITDA no comparable); 2) prensa sectorial (solo importes); 3) notas públicas de analistas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gráfico); 2) Investing (bloqueado); 3) prensa (solo cambios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volumen (Beursduivel, IEX, Reddit BEFire)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Beursduivel e IEX (sin contenido sin navegador); 2) Reddit (bloqueado); 3) Seeking Alpha y Stocktwits (sin símbolo de Lotus)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notas 3, 4, 21, 22 y medidas alternativas; resumen de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https://www.lotusbakeries.com/sites/default/files/documents-en/2025_Annual_Report_Lotus_Bakeries_Group_1.pdf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2025 Annual Results (ventas 1.355,1 M, EBIT(u) 232,4 M, dividendo 90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https://www.lotusbakeries.com/sites/default/files/documents-en/PR_2025_Annual_Results_Lotus_Bakeries_EN_1.pdf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2026 Half-Year Results (ventas 749,1 M, +14,0 %; programa de capex de al menos 500 M en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https://www.lotusbakeries.com/sites/default/files/documents-en/260807_PR_HY2026_EN.pdf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2025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https://www.lotusbakeries.com/sites/default/files/documents-en/Press_Release_HY_Results_2025.pdf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2021-2025 en xBRL-JSON (LEI 5493004C0K34IFI67I03)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https://filings.xbrl.org/5493004C0K34IFI67I03/2025-12-31/ESEF/BE/0/5493004C0K34IFI67I03-2025-12-31-1-nl.json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inicio de la ampliación de la fábrica de Lembeke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https://www.lotusbakeries.com/sites/default/files/documents-en/260512_Press_Release_Lembeke_expansion_Lotus%20Bakeries.pdf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ESEF 2022 (nota de arrendamientos: derechos de uso de 16,1 M en 2022 y 12,7 M en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https://filings.xbrl.org/5493004C0K34IFI67I03/2022-12-31/ESEF/BE/0/5493004C0K34IFI67I03-2022-12-31-nl/reports/5493004C0K34IFI67I03-2022-12-31-nl.xhtml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Sweet Biscuits Market Size (110.500 M USD en 2024; 115.500 M en 2025; 175.100 M en 2034; TCAC 4,7 %)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https://www.gminsights.com/industry-analysis/sweet-biscuits-market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Biscuits Market (134.100 M USD en 2025; 191.400 M en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https://www.imarcgroup.com/global-biscuits-market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«Chocolate y confitería prémium» (comparables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sectores/chocolate-2026-10-14.md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«Galletas y snacks de marca»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sectores/galletas-snacks-2026-10-14.md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Lotus Bakeries, Froneri to Expand Biscoff Ice Cream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Manufacturing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https://www.foodmanufacturing.com/supply-chain/news/22936388/mondelez-lotus-bakeries-froneri-to-expand-biscoff-ice-cream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Mondelez y Lotus Bakeries amplían su alianza al helado con Froneri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https://lotusbakeries.com/sites/default/files/documents-en/2025%2003%2012_Press%20Release%20cooperation%20MDLZ_Froneri.pdf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toujours bien orienté, nouvelle collaboration avec Mondelez (Toblerone con crema Biscoff)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https://www.optionfinance.fr/info-financiere-en-continu/d/2026-09-22-lotus-bakeries-toujours-bien-oriente-nouvelle-collaboration-avec-mondelez.html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Ordinary and Extraordinary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https://www.lotusbakeries.com/sites/default/files/documents-en/260331_Notice_of_AGM_and_publication_25AR_Lotus_Bakeries.pdf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LOTB.BR, ^BFX y EXH3.DE (precio, rango, volumen, betas,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https://finance.yahoo.com/quote/LOTB.BR/history/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(LOTB): estimaciones 2026-2028 (ventas, EBITDA, EBIT, BPA, DPA,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https://www.marketscreener.com/quote/stock/LOTUS-BAKERIES-NV-3732293/finances/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(LOTB): consenso (12 analistas, Outperform, objetivo medio 12.891,08 EUR)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https://www.marketscreener.com/quote/stock/LOTUS-BAKERIES-NV-3732293/consensus/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chocolate y confitería (HSY, MDLZ, NESN, BARN, 2269.T, 2206.T y Lindt) a 14-oct-2026,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con Yahoo Finance (ficha 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sectores/chocolate-2026-10-14-comparables.json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EUR/CHF (0,9313) y EUR/USD (1,1141)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https://finance.yahoo.com/quote/EURCHF%3DX/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in $35.9 billion deal (16,4 veces el EBITDA ajustado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Bakery Production / Mars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https://bakeryproduction.co.uk/mars-to-acquire-kellanova-in-35-9-billion-deal/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noticias (Bernstein rebaja a Market Perform, 2-sep-2026; Berenberg sube objetivo, 17-ago-2026)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https://www.marketscreener.com/quote/stock/LOTUS-BAKERIES-NV-3732293/news/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resultados y valoración («Blijf af van dit aandeel»)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Testaankoop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https://www.test-aankoop.be/invest/beleggen/aandelen/artikels/2026/08/lotus-bakeries-resultaten-waardering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aandeel groeit hard: te duur geworden?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Belegger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https://www.debelegger.nl/post/lotus-bakeries-blijft-maar-groeien-maar-is-het-aandeel-niet-te-duur-geworden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Lotus Bakeries toujours bien orienté, nouvelle collaboration avec Mondelez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https://www.tradingsat.com/lotus-bakeries-BE0003604155/actualites/lotus-bakeries-lotus-bakeries-toujours-bien-oriente-nouvelle-collaboration-avec-mondelez-1170557.html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3,51 % el 14-oct-2026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86,6 %</w:t>
      </w:r>
      <w:r>
        <w:t xml:space="preserve"> · Secciones con menos del 60 % de campos cubiertos: </w:t>
      </w:r>
      <w:r>
        <w:rPr>
          <w:b/>
          <w:bCs/>
        </w:rPr>
        <w:t xml:space="preserve">ninguna</w:t>
      </w:r>
      <w:r>
        <w:t xml:space="preserve"> · Generado el 14 oct 2026.</w:t>
      </w:r>
    </w:p>
    <w:p>
      <w:pPr>
        <w:pStyle w:val="Nota"/>
        <w:spacing w:after="100"/>
      </w:pPr>
      <w:r>
        <w:t xml:space="preserve">Cuentas de 2021-2025 del XBRL ESEF del regulador comprobadas contra el informe anual 2025 (resumen de cinco años y notas 3, 4, 21 y 22). Dos correcciones al extracto automático: la deuda financiera incluye ahora corto y largo plazo (el XBRL solo traía la de largo plazo: 249,9 M en lugar de 291,0 M de préstamos en 2025) y el dividendo por acción es el del ejercicio (90 EUR sobre 2025, 73,1 M en total) y no el pagado en el año (76 EUR). La caja suma los depósitos a plazo (78,2 M en 2025), que la empresa resta en su deuda neta. Arrendamientos de 2021-2022 aproximados por los derechos de uso. El balance de junio de 2026 no está publicado entero: el puente usa los préstamos de diciembre (291,0 M) y una caja derivada de la deuda financiera neta de junio (94,3 M) más la autocartera de diciembre (23,5 M), marcada como estimación. El EBITDA del informe es EBIT publicado + amortizaciones (267,8 M en 2025); el de la empresa (EBITDA(u), 273,4 M) es mayor. Comparables de la ficha sectorial del chocolate del mismo día (Yahoo, 14-oct), pasados de CHF a EUR. Una sola acción cotizada (LOTB, Euronext Bruselas).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Lotus Bakeries NV (LOTB)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(7.270,00 – 13.200,00)</c:v>
                </c:pt>
                <c:pt idx="1">
                  <c:v>Precio objetivo de los analistas (9.000,00 – 15.000,00)</c:v>
                </c:pt>
                <c:pt idx="2">
                  <c:v>Comparables: EV/EBITDA NTM (4.335,74 – 6.176,72)</c:v>
                </c:pt>
                <c:pt idx="3">
                  <c:v>Comparables: PER NTM (4.719,64 – 6.870,00)</c:v>
                </c:pt>
                <c:pt idx="4">
                  <c:v>DCF (WACC y g ± 0,5) (4.598,95 – 6.410,84)</c:v>
                </c:pt>
                <c:pt idx="5">
                  <c:v>Escenarios (bajista – alcista) (3.533,43 – 6.568,22)</c:v>
                </c:pt>
                <c:pt idx="6">
                  <c:v>DCF con la prima implícita del mercado (4,2 %)</c:v>
                </c:pt>
                <c:pt idx="7">
                  <c:v>Precio actual (12.800,00)</c:v>
                </c:pt>
              </c:strCache>
            </c:strRef>
          </c:cat>
          <c:val>
            <c:numRef>
              <c:f>Hoja1!$B$2:$B$9</c:f>
              <c:numCache>
                <c:formatCode>#,##0</c:formatCode>
                <c:ptCount val="8"/>
                <c:pt idx="0">
                  <c:v>7270</c:v>
                </c:pt>
                <c:pt idx="1">
                  <c:v>9000</c:v>
                </c:pt>
                <c:pt idx="2">
                  <c:v>4335.74</c:v>
                </c:pt>
                <c:pt idx="3">
                  <c:v>4719.64</c:v>
                </c:pt>
                <c:pt idx="4">
                  <c:v>4598.95</c:v>
                </c:pt>
                <c:pt idx="5">
                  <c:v>3533.43</c:v>
                </c:pt>
                <c:pt idx="6">
                  <c:v>6016.08</c:v>
                </c:pt>
                <c:pt idx="7">
                  <c:v>12736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(7.270,00 – 13.200,00)</c:v>
                </c:pt>
                <c:pt idx="1">
                  <c:v>Precio objetivo de los analistas (9.000,00 – 15.000,00)</c:v>
                </c:pt>
                <c:pt idx="2">
                  <c:v>Comparables: EV/EBITDA NTM (4.335,74 – 6.176,72)</c:v>
                </c:pt>
                <c:pt idx="3">
                  <c:v>Comparables: PER NTM (4.719,64 – 6.870,00)</c:v>
                </c:pt>
                <c:pt idx="4">
                  <c:v>DCF (WACC y g ± 0,5) (4.598,95 – 6.410,84)</c:v>
                </c:pt>
                <c:pt idx="5">
                  <c:v>Escenarios (bajista – alcista) (3.533,43 – 6.568,22)</c:v>
                </c:pt>
                <c:pt idx="6">
                  <c:v>DCF con la prima implícita del mercado (4,2 %)</c:v>
                </c:pt>
                <c:pt idx="7">
                  <c:v>Precio actual (12.800,00)</c:v>
                </c:pt>
              </c:strCache>
            </c:strRef>
          </c:cat>
          <c:val>
            <c:numRef>
              <c:f>Hoja1!$C$2:$C$9</c:f>
              <c:numCache>
                <c:formatCode>#,##0</c:formatCode>
                <c:ptCount val="8"/>
                <c:pt idx="0">
                  <c:v>5930</c:v>
                </c:pt>
                <c:pt idx="1">
                  <c:v>6000</c:v>
                </c:pt>
                <c:pt idx="2">
                  <c:v>1840.9800000000005</c:v>
                </c:pt>
                <c:pt idx="3">
                  <c:v>2150.3599999999997</c:v>
                </c:pt>
                <c:pt idx="4">
                  <c:v>1811.8900000000003</c:v>
                </c:pt>
                <c:pt idx="5">
                  <c:v>3034.7900000000004</c:v>
                </c:pt>
                <c:pt idx="6">
                  <c:v>1658.2200000000003</c:v>
                </c:pt>
                <c:pt idx="7">
                  <c:v>128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 continental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606.3</c:v>
                </c:pt>
                <c:pt idx="1">
                  <c:v>660.6</c:v>
                </c:pt>
              </c:numCache>
            </c:numRef>
          </c:val>
        </c:ser>
        <c:ser>
          <c:idx val="1"/>
          <c:order val="1"/>
          <c:tx>
            <c:strRef>
              <c:f>Hoja1!$C$1</c:f>
              <c:strCache>
                <c:ptCount val="1"/>
                <c:pt idx="0">
                  <c:v>Reino Unido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265</c:v>
                </c:pt>
                <c:pt idx="1">
                  <c:v>269.8</c:v>
                </c:pt>
              </c:numCache>
            </c:numRef>
          </c:val>
        </c:ser>
        <c:ser>
          <c:idx val="2"/>
          <c:order val="2"/>
          <c:tx>
            <c:strRef>
              <c:f>Hoja1!$D$1</c:f>
              <c:strCache>
                <c:ptCount val="1"/>
                <c:pt idx="0">
                  <c:v>Américas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182.5</c:v>
                </c:pt>
                <c:pt idx="1">
                  <c:v>217.3</c:v>
                </c:pt>
              </c:numCache>
            </c:numRef>
          </c:val>
        </c:ser>
        <c:ser>
          <c:idx val="3"/>
          <c:order val="3"/>
          <c:tx>
            <c:strRef>
              <c:f>Hoja1!$E$1</c:f>
              <c:strCache>
                <c:ptCount val="1"/>
                <c:pt idx="0">
                  <c:v>Resto del mundo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178.2</c:v>
                </c:pt>
                <c:pt idx="1">
                  <c:v>207.3</c:v>
                </c:pt>
              </c:numCache>
            </c:numRef>
          </c:val>
        </c:ser>
        <c:ser>
          <c:idx val="4"/>
          <c:order val="4"/>
          <c:tx>
            <c:strRef>
              <c:f>Hoja1!$F$1</c:f>
              <c:strCache>
                <c:ptCount val="1"/>
                <c:pt idx="0">
                  <c:v>Eliminaciones y grupo</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Europa continental</c:v>
                </c:pt>
                <c:pt idx="1">
                  <c:v>Reino Unido</c:v>
                </c:pt>
                <c:pt idx="2">
                  <c:v>Américas</c:v>
                </c:pt>
                <c:pt idx="3">
                  <c:v>Resto del mundo</c:v>
                </c:pt>
                <c:pt idx="4">
                  <c:v>Eliminaciones y grupo</c:v>
                </c:pt>
              </c:strCache>
            </c:strRef>
          </c:cat>
          <c:val>
            <c:numRef>
              <c:f>Hoja1!$B$2:$B$6</c:f>
              <c:numCache>
                <c:formatCode>General</c:formatCode>
                <c:ptCount val="5"/>
                <c:pt idx="0">
                  <c:v>48.8</c:v>
                </c:pt>
                <c:pt idx="1">
                  <c:v>19.9</c:v>
                </c:pt>
                <c:pt idx="2">
                  <c:v>16</c:v>
                </c:pt>
                <c:pt idx="3">
                  <c:v>15.3</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Reino Unido</c:v>
                </c:pt>
                <c:pt idx="1">
                  <c:v>EE. UU.</c:v>
                </c:pt>
                <c:pt idx="2">
                  <c:v>Francia</c:v>
                </c:pt>
                <c:pt idx="3">
                  <c:v>Bélgica</c:v>
                </c:pt>
                <c:pt idx="4">
                  <c:v>Otros</c:v>
                </c:pt>
              </c:strCache>
            </c:strRef>
          </c:cat>
          <c:val>
            <c:numRef>
              <c:f>Hoja1!$B$2:$B$6</c:f>
              <c:numCache>
                <c:formatCode>0"%"</c:formatCode>
                <c:ptCount val="5"/>
                <c:pt idx="0">
                  <c:v>19.7</c:v>
                </c:pt>
                <c:pt idx="1">
                  <c:v>16.3</c:v>
                </c:pt>
                <c:pt idx="2">
                  <c:v>13.3</c:v>
                </c:pt>
                <c:pt idx="3">
                  <c:v>12.7</c:v>
                </c:pt>
                <c:pt idx="4">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(GMI convertido a 1,1141 USD/EUR; previsión con su TCAC del 4,7 %))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c:v>
                </c:pt>
                <c:pt idx="2">
                  <c:v>2026e</c:v>
                </c:pt>
                <c:pt idx="3">
                  <c:v>2027e</c:v>
                </c:pt>
                <c:pt idx="4">
                  <c:v>2028e</c:v>
                </c:pt>
                <c:pt idx="5">
                  <c:v>2029e</c:v>
                </c:pt>
                <c:pt idx="6">
                  <c:v>2030e</c:v>
                </c:pt>
              </c:strCache>
            </c:strRef>
          </c:cat>
          <c:val>
            <c:numRef>
              <c:f>Hoja1!$B$2:$B$8</c:f>
              <c:numCache>
                <c:formatCode>#,##0</c:formatCode>
                <c:ptCount val="7"/>
                <c:pt idx="0">
                  <c:v>99200</c:v>
                </c:pt>
                <c:pt idx="1">
                  <c:v>103700</c:v>
                </c:pt>
                <c:pt idx="2">
                  <c:v>108500</c:v>
                </c:pt>
                <c:pt idx="3">
                  <c:v>113600</c:v>
                </c:pt>
                <c:pt idx="4">
                  <c:v>119000</c:v>
                </c:pt>
                <c:pt idx="5">
                  <c:v>124600</c:v>
                </c:pt>
                <c:pt idx="6">
                  <c:v>130400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Lotus Bakeries</c:v>
                </c:pt>
                <c:pt idx="1">
                  <c:v>Mondelez</c:v>
                </c:pt>
                <c:pt idx="2">
                  <c:v>Ferrero (con WK Kellogg y Kinder)</c:v>
                </c:pt>
                <c:pt idx="3">
                  <c:v>Mars (con Kellanova)</c:v>
                </c:pt>
                <c:pt idx="4">
                  <c:v>Hershey</c:v>
                </c:pt>
                <c:pt idx="5">
                  <c:v>Lindt &amp; Sprüngli</c:v>
                </c:pt>
              </c:strCache>
            </c:strRef>
          </c:cat>
          <c:val>
            <c:numRef>
              <c:f>Hoja1!$B$2:$B$7</c:f>
              <c:numCache>
                <c:formatCode>0.0"%"</c:formatCode>
                <c:ptCount val="6"/>
                <c:pt idx="0">
                  <c:v>16.8</c:v>
                </c:pt>
                <c:pt idx="1">
                  <c:v>22</c:v>
                </c:pt>
                <c:pt idx="4">
                  <c:v>23.1</c:v>
                </c:pt>
                <c:pt idx="5">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750.3</c:v>
                </c:pt>
                <c:pt idx="1">
                  <c:v>877.5</c:v>
                </c:pt>
                <c:pt idx="2">
                  <c:v>1063</c:v>
                </c:pt>
                <c:pt idx="3">
                  <c:v>1231.9</c:v>
                </c:pt>
                <c:pt idx="4">
                  <c:v>1355.1</c:v>
                </c:pt>
                <c:pt idx="5">
                  <c:v>1524</c:v>
                </c:pt>
                <c:pt idx="6">
                  <c:v>1692</c:v>
                </c:pt>
                <c:pt idx="7">
                  <c:v>1861</c:v>
                </c:pt>
                <c:pt idx="8">
                  <c:v>2020</c:v>
                </c:pt>
                <c:pt idx="9">
                  <c:v>2171</c:v>
                </c:pt>
                <c:pt idx="10">
                  <c:v>2312</c:v>
                </c:pt>
                <c:pt idx="11">
                  <c:v>2439</c:v>
                </c:pt>
                <c:pt idx="12">
                  <c:v>2549</c:v>
                </c:pt>
                <c:pt idx="13">
                  <c:v>2638</c:v>
                </c:pt>
                <c:pt idx="14">
                  <c:v>2718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142.8</c:v>
                </c:pt>
                <c:pt idx="1">
                  <c:v>161.6</c:v>
                </c:pt>
                <c:pt idx="2">
                  <c:v>203.3</c:v>
                </c:pt>
                <c:pt idx="3">
                  <c:v>238.1</c:v>
                </c:pt>
                <c:pt idx="4">
                  <c:v>267.8</c:v>
                </c:pt>
                <c:pt idx="5">
                  <c:v>319</c:v>
                </c:pt>
                <c:pt idx="6">
                  <c:v>357</c:v>
                </c:pt>
                <c:pt idx="7">
                  <c:v>396</c:v>
                </c:pt>
                <c:pt idx="8">
                  <c:v>432</c:v>
                </c:pt>
                <c:pt idx="9">
                  <c:v>467</c:v>
                </c:pt>
                <c:pt idx="10">
                  <c:v>497</c:v>
                </c:pt>
                <c:pt idx="11">
                  <c:v>524</c:v>
                </c:pt>
                <c:pt idx="12">
                  <c:v>548</c:v>
                </c:pt>
                <c:pt idx="13">
                  <c:v>567</c:v>
                </c:pt>
                <c:pt idx="14">
                  <c:v>584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66.6</c:v>
                </c:pt>
                <c:pt idx="1">
                  <c:v>64.5</c:v>
                </c:pt>
                <c:pt idx="2">
                  <c:v>65.3</c:v>
                </c:pt>
                <c:pt idx="3">
                  <c:v>65.9</c:v>
                </c:pt>
                <c:pt idx="4">
                  <c:v>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18.4</c:v>
                </c:pt>
                <c:pt idx="2">
                  <c:v>19.1</c:v>
                </c:pt>
                <c:pt idx="3">
                  <c:v>19.3</c:v>
                </c:pt>
                <c:pt idx="4">
                  <c:v>19.8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c:v>
                </c:pt>
                <c:pt idx="1">
                  <c:v>15.5</c:v>
                </c:pt>
                <c:pt idx="2">
                  <c:v>16</c:v>
                </c:pt>
                <c:pt idx="3">
                  <c:v>16.4</c:v>
                </c:pt>
                <c:pt idx="4">
                  <c:v>16.8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12.1</c:v>
                </c:pt>
                <c:pt idx="1">
                  <c:v>11.8</c:v>
                </c:pt>
                <c:pt idx="2">
                  <c:v>12.2</c:v>
                </c:pt>
                <c:pt idx="3">
                  <c:v>12.4</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0">
                  <c:v>9.8</c:v>
                </c:pt>
                <c:pt idx="1">
                  <c:v>10.2</c:v>
                </c:pt>
                <c:pt idx="2">
                  <c:v>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50</c:v>
                </c:pt>
                <c:pt idx="2">
                  <c:v>52</c:v>
                </c:pt>
                <c:pt idx="3">
                  <c:v>49</c:v>
                </c:pt>
                <c:pt idx="4">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35</c:v>
                </c:pt>
                <c:pt idx="1">
                  <c:v>36</c:v>
                </c:pt>
                <c:pt idx="2">
                  <c:v>33</c:v>
                </c:pt>
                <c:pt idx="3">
                  <c:v>33</c:v>
                </c:pt>
                <c:pt idx="4">
                  <c:v>35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93</c:v>
                </c:pt>
                <c:pt idx="1">
                  <c:v>88</c:v>
                </c:pt>
                <c:pt idx="2">
                  <c:v>87</c:v>
                </c:pt>
                <c:pt idx="3">
                  <c:v>79</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61.80000000000001</c:v>
                </c:pt>
                <c:pt idx="1">
                  <c:v>-19.099999999999998</c:v>
                </c:pt>
                <c:pt idx="2">
                  <c:v>79.60000000000001</c:v>
                </c:pt>
                <c:pt idx="3">
                  <c:v>53.900000000000006</c:v>
                </c:pt>
                <c:pt idx="4">
                  <c:v>80.9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90.8</c:v>
                </c:pt>
                <c:pt idx="1">
                  <c:v>103.2</c:v>
                </c:pt>
                <c:pt idx="2">
                  <c:v>129.3</c:v>
                </c:pt>
                <c:pt idx="3">
                  <c:v>152.6</c:v>
                </c:pt>
                <c:pt idx="4">
                  <c:v>172.3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14.8</c:v>
                </c:pt>
                <c:pt idx="1">
                  <c:v>15.2</c:v>
                </c:pt>
                <c:pt idx="2">
                  <c:v>16.6</c:v>
                </c:pt>
                <c:pt idx="3">
                  <c:v>17.6</c:v>
                </c:pt>
                <c:pt idx="4">
                  <c:v>18.2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18.9</c:v>
                </c:pt>
                <c:pt idx="2">
                  <c:v>21.1</c:v>
                </c:pt>
                <c:pt idx="3">
                  <c:v>21.1</c:v>
                </c:pt>
                <c:pt idx="4">
                  <c:v>20.9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0.73</c:v>
                </c:pt>
                <c:pt idx="1">
                  <c:v>1.17</c:v>
                </c:pt>
                <c:pt idx="2">
                  <c:v>0.78</c:v>
                </c:pt>
                <c:pt idx="3">
                  <c:v>0.62</c:v>
                </c:pt>
                <c:pt idx="4">
                  <c:v>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2031-2033</c:v>
                </c:pt>
              </c:strCache>
            </c:strRef>
          </c:cat>
          <c:val>
            <c:numRef>
              <c:f>Hoja1!$B$2:$B$4</c:f>
              <c:numCache>
                <c:formatCode>#,##0</c:formatCode>
                <c:ptCount val="3"/>
                <c:pt idx="0">
                  <c:v>55</c:v>
                </c:pt>
                <c:pt idx="1">
                  <c:v>111</c:v>
                </c:pt>
                <c:pt idx="2">
                  <c:v>125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0.3</c:v>
                </c:pt>
                <c:pt idx="1">
                  <c:v>9.2</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28.8</c:v>
                </c:pt>
                <c:pt idx="1">
                  <c:v>32.8</c:v>
                </c:pt>
                <c:pt idx="2">
                  <c:v>36.5</c:v>
                </c:pt>
                <c:pt idx="3">
                  <c:v>47</c:v>
                </c:pt>
                <c:pt idx="4">
                  <c:v>61.7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8.8</c:v>
                </c:pt>
                <c:pt idx="2">
                  <c:v>0</c:v>
                </c:pt>
                <c:pt idx="3">
                  <c:v>0</c:v>
                </c:pt>
                <c:pt idx="4">
                  <c:v>5.9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2</c:v>
                </c:pt>
                <c:pt idx="1">
                  <c:v>1</c:v>
                </c:pt>
                <c:pt idx="2">
                  <c:v>4</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Stichting Aandelen Lotus Bakeries (familias Boone y Stevens)</c:v>
                </c:pt>
                <c:pt idx="1">
                  <c:v>Autocartera</c:v>
                </c:pt>
                <c:pt idx="2">
                  <c:v>Capital flotante</c:v>
                </c:pt>
              </c:strCache>
            </c:strRef>
          </c:cat>
          <c:val>
            <c:numRef>
              <c:f>Hoja1!$B$2:$B$4</c:f>
              <c:numCache>
                <c:formatCode>0.0"%"</c:formatCode>
                <c:ptCount val="3"/>
                <c:pt idx="0">
                  <c:v>50</c:v>
                </c:pt>
                <c:pt idx="1">
                  <c:v>0.49</c:v>
                </c:pt>
                <c:pt idx="2">
                  <c:v>49.51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41</c:v>
                </c:pt>
                <c:pt idx="1">
                  <c:v>-15.3</c:v>
                </c:pt>
                <c:pt idx="2">
                  <c:v>1.6</c:v>
                </c:pt>
                <c:pt idx="3">
                  <c:v>20.5</c:v>
                </c:pt>
                <c:pt idx="4">
                  <c:v>42.1</c:v>
                </c:pt>
                <c:pt idx="5">
                  <c:v>51.9</c:v>
                </c:pt>
                <c:pt idx="6">
                  <c:v>13.1</c:v>
                </c:pt>
                <c:pt idx="7">
                  <c:v>30.2</c:v>
                </c:pt>
                <c:pt idx="8">
                  <c:v>31</c:v>
                </c:pt>
                <c:pt idx="9">
                  <c:v>-27.2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-3.4</c:v>
                </c:pt>
                <c:pt idx="1">
                  <c:v>10.3</c:v>
                </c:pt>
                <c:pt idx="2">
                  <c:v>-18.5</c:v>
                </c:pt>
                <c:pt idx="3">
                  <c:v>22</c:v>
                </c:pt>
                <c:pt idx="4">
                  <c:v>-8.5</c:v>
                </c:pt>
                <c:pt idx="5">
                  <c:v>19</c:v>
                </c:pt>
                <c:pt idx="6">
                  <c:v>-14.1</c:v>
                </c:pt>
                <c:pt idx="7">
                  <c:v>0.2</c:v>
                </c:pt>
                <c:pt idx="8">
                  <c:v>15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32.6</c:v>
                </c:pt>
                <c:pt idx="1">
                  <c:v>32.9</c:v>
                </c:pt>
                <c:pt idx="2">
                  <c:v>33.7</c:v>
                </c:pt>
                <c:pt idx="3">
                  <c:v>37.4</c:v>
                </c:pt>
                <c:pt idx="4">
                  <c:v>24.3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32.9</c:v>
                </c:pt>
                <c:pt idx="1">
                  <c:v>32.9</c:v>
                </c:pt>
                <c:pt idx="2">
                  <c:v>32.9</c:v>
                </c:pt>
                <c:pt idx="3">
                  <c:v>32.9</c:v>
                </c:pt>
                <c:pt idx="4">
                  <c:v>32.9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Lotus Bakeries</c:v>
                </c:pt>
                <c:pt idx="1">
                  <c:v>Mondelez</c:v>
                </c:pt>
                <c:pt idx="2">
                  <c:v>Hershey</c:v>
                </c:pt>
                <c:pt idx="3">
                  <c:v>Lindt &amp; Sprüngli</c:v>
                </c:pt>
                <c:pt idx="4">
                  <c:v>Nestlé</c:v>
                </c:pt>
                <c:pt idx="5">
                  <c:v>Barry Callebaut</c:v>
                </c:pt>
                <c:pt idx="6">
                  <c:v>Meiji Holdings</c:v>
                </c:pt>
                <c:pt idx="7">
                  <c:v>Ezaki Glico</c:v>
                </c:pt>
              </c:strCache>
            </c:strRef>
          </c:cat>
          <c:val>
            <c:numRef>
              <c:f>Hoja1!$B$2:$B$9</c:f>
              <c:numCache>
                <c:formatCode>0.0"x"</c:formatCode>
                <c:ptCount val="8"/>
                <c:pt idx="0">
                  <c:v>30.2</c:v>
                </c:pt>
                <c:pt idx="1">
                  <c:v>15.7</c:v>
                </c:pt>
                <c:pt idx="2">
                  <c:v>13.5</c:v>
                </c:pt>
                <c:pt idx="3">
                  <c:v>14.5</c:v>
                </c:pt>
                <c:pt idx="4">
                  <c:v>15</c:v>
                </c:pt>
                <c:pt idx="5">
                  <c:v>12.4</c:v>
                </c:pt>
                <c:pt idx="6">
                  <c:v>7.8</c:v>
                </c:pt>
                <c:pt idx="7">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Lotus Bakeries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11.7</c:v>
                </c:pt>
              </c:numCache>
            </c:numRef>
          </c:xVal>
          <c:yVal>
            <c:numRef>
              <c:f>Hoja1!$C$2</c:f>
              <c:numCache>
                <c:formatCode>0.0"x"</c:formatCode>
                <c:ptCount val="1"/>
                <c:pt idx="0">
                  <c:v>30.2</c:v>
                </c:pt>
              </c:numCache>
            </c:numRef>
          </c:yVal>
          <c:smooth val="0"/>
        </c:ser>
        <c:ser>
          <c:idx val="1"/>
          <c:order val="1"/>
          <c:tx>
            <c:strRef>
              <c:f>Hoja1!$A$3</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3.4</c:v>
                </c:pt>
              </c:numCache>
            </c:numRef>
          </c:xVal>
          <c:yVal>
            <c:numRef>
              <c:f>Hoja1!$C$3</c:f>
              <c:numCache>
                <c:formatCode>0.0"x"</c:formatCode>
                <c:ptCount val="1"/>
                <c:pt idx="0">
                  <c:v>15.7</c:v>
                </c:pt>
              </c:numCache>
            </c:numRef>
          </c:yVal>
          <c:smooth val="0"/>
        </c:ser>
        <c:ser>
          <c:idx val="2"/>
          <c:order val="2"/>
          <c:tx>
            <c:strRef>
              <c:f>Hoja1!$A$4</c:f>
              <c:strCache>
                <c:ptCount val="1"/>
                <c:pt idx="0">
                  <c:v>Hershey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c:v>
                </c:pt>
              </c:numCache>
            </c:numRef>
          </c:xVal>
          <c:yVal>
            <c:numRef>
              <c:f>Hoja1!$C$4</c:f>
              <c:numCache>
                <c:formatCode>0.0"x"</c:formatCode>
                <c:ptCount val="1"/>
                <c:pt idx="0">
                  <c:v>13.5</c:v>
                </c:pt>
              </c:numCache>
            </c:numRef>
          </c:yVal>
          <c:smooth val="0"/>
        </c:ser>
        <c:ser>
          <c:idx val="3"/>
          <c:order val="3"/>
          <c:tx>
            <c:strRef>
              <c:f>Hoja1!$A$5</c:f>
              <c:strCache>
                <c:ptCount val="1"/>
                <c:pt idx="0">
                  <c:v>Lindt &amp; Sprüngli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4.1</c:v>
                </c:pt>
              </c:numCache>
            </c:numRef>
          </c:xVal>
          <c:yVal>
            <c:numRef>
              <c:f>Hoja1!$C$5</c:f>
              <c:numCache>
                <c:formatCode>0.0"x"</c:formatCode>
                <c:ptCount val="1"/>
                <c:pt idx="0">
                  <c:v>14.5</c:v>
                </c:pt>
              </c:numCache>
            </c:numRef>
          </c:yVal>
          <c:smooth val="0"/>
        </c:ser>
        <c:ser>
          <c:idx val="4"/>
          <c:order val="4"/>
          <c:tx>
            <c:strRef>
              <c:f>Hoja1!$A$6</c:f>
              <c:strCache>
                <c:ptCount val="1"/>
                <c:pt idx="0">
                  <c:v>Nestlé</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3.8</c:v>
                </c:pt>
              </c:numCache>
            </c:numRef>
          </c:xVal>
          <c:yVal>
            <c:numRef>
              <c:f>Hoja1!$C$6</c:f>
              <c:numCache>
                <c:formatCode>0.0"x"</c:formatCode>
                <c:ptCount val="1"/>
                <c:pt idx="0">
                  <c:v>15</c:v>
                </c:pt>
              </c:numCache>
            </c:numRef>
          </c:yVal>
          <c:smooth val="0"/>
        </c:ser>
        <c:ser>
          <c:idx val="5"/>
          <c:order val="5"/>
          <c:tx>
            <c:strRef>
              <c:f>Hoja1!$A$7</c:f>
              <c:strCache>
                <c:ptCount val="1"/>
                <c:pt idx="0">
                  <c:v>Barry Callebaut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-13.7</c:v>
                </c:pt>
              </c:numCache>
            </c:numRef>
          </c:xVal>
          <c:yVal>
            <c:numRef>
              <c:f>Hoja1!$C$7</c:f>
              <c:numCache>
                <c:formatCode>0.0"x"</c:formatCode>
                <c:ptCount val="1"/>
                <c:pt idx="0">
                  <c:v>12.4</c:v>
                </c:pt>
              </c:numCache>
            </c:numRef>
          </c:yVal>
          <c:smooth val="0"/>
        </c:ser>
        <c:ser>
          <c:idx val="6"/>
          <c:order val="6"/>
          <c:tx>
            <c:strRef>
              <c:f>Hoja1!$A$8</c:f>
              <c:strCache>
                <c:ptCount val="1"/>
                <c:pt idx="0">
                  <c:v>Meiji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c:v>
                </c:pt>
              </c:numCache>
            </c:numRef>
          </c:xVal>
          <c:yVal>
            <c:numRef>
              <c:f>Hoja1!$C$8</c:f>
              <c:numCache>
                <c:formatCode>0.0"x"</c:formatCode>
                <c:ptCount val="1"/>
                <c:pt idx="0">
                  <c:v>7.8</c:v>
                </c:pt>
              </c:numCache>
            </c:numRef>
          </c:yVal>
          <c:smooth val="0"/>
        </c:ser>
        <c:ser>
          <c:idx val="7"/>
          <c:order val="7"/>
          <c:tx>
            <c:strRef>
              <c:f>Hoja1!$A$9</c:f>
              <c:strCache>
                <c:ptCount val="1"/>
                <c:pt idx="0">
                  <c:v>Ezaki Glico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8.5</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Kellanova (Pringles, Cheez-It, Pop-Tarts)</c:v>
                </c:pt>
              </c:strCache>
            </c:strRef>
          </c:cat>
          <c:val>
            <c:numRef>
              <c:f>Hoja1!$B$2</c:f>
              <c:numCache>
                <c:formatCode>0.0"x"</c:formatCode>
                <c:ptCount val="1"/>
                <c:pt idx="0">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c:v>
                </c:pt>
                <c:pt idx="1">
                  <c:v>145</c:v>
                </c:pt>
                <c:pt idx="2">
                  <c:v>173</c:v>
                </c:pt>
                <c:pt idx="3">
                  <c:v>200</c:v>
                </c:pt>
                <c:pt idx="4">
                  <c:v>229</c:v>
                </c:pt>
                <c:pt idx="5">
                  <c:v>246</c:v>
                </c:pt>
                <c:pt idx="6">
                  <c:v>273</c:v>
                </c:pt>
                <c:pt idx="7">
                  <c:v>286</c:v>
                </c:pt>
                <c:pt idx="8">
                  <c:v>311</c:v>
                </c:pt>
                <c:pt idx="9">
                  <c:v>321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1502</c:v>
                </c:pt>
                <c:pt idx="1">
                  <c:v>2958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12.800,00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3533.43</c:v>
                </c:pt>
                <c:pt idx="1">
                  <c:v>5342.04</c:v>
                </c:pt>
                <c:pt idx="2">
                  <c:v>6568.22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12.800,00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(7.270,00 – 13.200,00)</c:v>
                </c:pt>
                <c:pt idx="1">
                  <c:v>Precio objetivo de los analistas (9.000,00 – 15.000,00)</c:v>
                </c:pt>
                <c:pt idx="2">
                  <c:v>Comparables: EV/EBITDA NTM (4.335,74 – 6.176,72)</c:v>
                </c:pt>
                <c:pt idx="3">
                  <c:v>Comparables: PER NTM (4.719,64 – 6.870,00)</c:v>
                </c:pt>
                <c:pt idx="4">
                  <c:v>DCF (WACC y g ± 0,5) (4.598,95 – 6.410,84)</c:v>
                </c:pt>
                <c:pt idx="5">
                  <c:v>Escenarios (bajista – alcista) (3.533,43 – 6.568,22)</c:v>
                </c:pt>
                <c:pt idx="6">
                  <c:v>DCF con la prima implícita del mercado (4,2 %)</c:v>
                </c:pt>
                <c:pt idx="7">
                  <c:v>Precio actual (12.800,00)</c:v>
                </c:pt>
              </c:strCache>
            </c:strRef>
          </c:cat>
          <c:val>
            <c:numRef>
              <c:f>Hoja1!$B$2:$B$9</c:f>
              <c:numCache>
                <c:formatCode>#,##0</c:formatCode>
                <c:ptCount val="8"/>
                <c:pt idx="0">
                  <c:v>7270</c:v>
                </c:pt>
                <c:pt idx="1">
                  <c:v>9000</c:v>
                </c:pt>
                <c:pt idx="2">
                  <c:v>4335.74</c:v>
                </c:pt>
                <c:pt idx="3">
                  <c:v>4719.64</c:v>
                </c:pt>
                <c:pt idx="4">
                  <c:v>4598.95</c:v>
                </c:pt>
                <c:pt idx="5">
                  <c:v>3533.43</c:v>
                </c:pt>
                <c:pt idx="6">
                  <c:v>6016.08</c:v>
                </c:pt>
                <c:pt idx="7">
                  <c:v>12736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(7.270,00 – 13.200,00)</c:v>
                </c:pt>
                <c:pt idx="1">
                  <c:v>Precio objetivo de los analistas (9.000,00 – 15.000,00)</c:v>
                </c:pt>
                <c:pt idx="2">
                  <c:v>Comparables: EV/EBITDA NTM (4.335,74 – 6.176,72)</c:v>
                </c:pt>
                <c:pt idx="3">
                  <c:v>Comparables: PER NTM (4.719,64 – 6.870,00)</c:v>
                </c:pt>
                <c:pt idx="4">
                  <c:v>DCF (WACC y g ± 0,5) (4.598,95 – 6.410,84)</c:v>
                </c:pt>
                <c:pt idx="5">
                  <c:v>Escenarios (bajista – alcista) (3.533,43 – 6.568,22)</c:v>
                </c:pt>
                <c:pt idx="6">
                  <c:v>DCF con la prima implícita del mercado (4,2 %)</c:v>
                </c:pt>
                <c:pt idx="7">
                  <c:v>Precio actual (12.800,00)</c:v>
                </c:pt>
              </c:strCache>
            </c:strRef>
          </c:cat>
          <c:val>
            <c:numRef>
              <c:f>Hoja1!$C$2:$C$9</c:f>
              <c:numCache>
                <c:formatCode>#,##0</c:formatCode>
                <c:ptCount val="8"/>
                <c:pt idx="0">
                  <c:v>5930</c:v>
                </c:pt>
                <c:pt idx="1">
                  <c:v>6000</c:v>
                </c:pt>
                <c:pt idx="2">
                  <c:v>1840.9800000000005</c:v>
                </c:pt>
                <c:pt idx="3">
                  <c:v>2150.3599999999997</c:v>
                </c:pt>
                <c:pt idx="4">
                  <c:v>1811.8900000000003</c:v>
                </c:pt>
                <c:pt idx="5">
                  <c:v>3034.7900000000004</c:v>
                </c:pt>
                <c:pt idx="6">
                  <c:v>1658.2200000000003</c:v>
                </c:pt>
                <c:pt idx="7">
                  <c:v>128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