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Watches of Switzerland Group PLC</w:t>
      </w:r>
    </w:p>
    <w:p>
      <w:pPr>
        <w:spacing w:after="60"/>
        <w:rPr>
          <w:color w:val="52514E"/>
          <w:sz w:val="22"/>
          <w:szCs w:val="22"/>
        </w:rPr>
      </w:pPr>
      <w:r>
        <w:rPr>
          <w:color w:val="52514E"/>
          <w:sz w:val="22"/>
          <w:szCs w:val="22"/>
        </w:rPr>
        <w:t xml:space="preserve">WOSG · London Stock Exchange (Main Market) · ISIN GB00BJDQQ870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6,74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6,47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-4,0 % (base -1,4 %)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6,20 GBP · mercado 6,96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Watches of Switzerland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WOSG / GB00BJDQQ870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1924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https://www.thewosgroupplc.com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6,74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 8,02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1.573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 M GBP</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6,47 GBP</w:t>
      </w:r>
      <w:r>
        <w:t xml:space="preserve"> frente a 6,74 · Rentabilidad a 12 meses </w:t>
      </w:r>
      <w:r>
        <w:rPr>
          <w:b/>
          <w:bCs/>
        </w:rPr>
        <w:t xml:space="preserve">-4,0 % (base -1,4 %)</w:t>
      </w:r>
      <w:r>
        <w:t xml:space="preserve"> · Valor intrínseco 6,20 GBP · con la prima implícita del mercado: 6,96 (+3,3 %) · Alcista / bajista -0,5 % / -43,0 %</w:t>
      </w:r>
    </w:p>
    <w:p>
      <w:pPr>
        <w:spacing w:after="100"/>
      </w:pPr>
      <w:r>
        <w:rPr>
          <w:b/>
        </w:rPr>
        <w:t xml:space="preserve">La recomendación y por qué.</w:t>
      </w:r>
      <w:r>
        <w:t xml:space="preserve"> Mantener, con convicción baja. Con nuestro BPA y la regla común de múltiplos, el objetivo a 12 meses es de 6,47 GBP frente a 6,735 GBP de cierre del 13 de octubre: −4,0 % ponderado y −1,4 % en el caso base (no paga dividendo). El valor intrínseco es de 6,20 GBP (−7,9 %) y el objetivo medio de los analistas, de unos 7,00 GBP, queda dentro de nuestro rango (3,58-9,00 GBP) pero por encima del base. La asimetría es mala: el bajista pierde un 47 % a 12 meses y el alcista gana un 34 %. La razón principal: la acción ha doblado en un año, ya cotiza a 13,1x nuestro BPA de FY27e, por encima de su mediana de cinco años (≈11,5x), y descuenta un crecimiento del 8,6 % anual, más que la guía. La convicción es baja porque las reglas discrepan (Vender con nuestro WACC del 12,1 %, Mantener con la prima del mercado) y las cifras salen de extractos de búsqueda; subiría si el precio bajara de 5,6 GBP o si hubiera una oferta formal.</w:t>
      </w:r>
    </w:p>
    <w:p>
      <w:pPr>
        <w:spacing w:after="100"/>
      </w:pPr>
      <w:r>
        <w:rPr>
          <w:b/>
        </w:rPr>
        <w:t xml:space="preserve">El negocio.</w:t>
      </w:r>
      <w:r>
        <w:t xml:space="preserve"> Mayor distribuidor de Rolex del Reino Unido y uno de los mayores de EE. UU., con 1.827,9 M GBP de ventas en FY26 (EE. UU. 51 %) y un 82 % en relojes de lujo [1, 17]. Su ventaja son las autorizaciones de las marcas de asignación limitada, que no se compran, pero el margen y el volumen los decide Rolex, que desde 2023 es también competidor con Bucherer. El ROCE publicado (18 %) supera al WACC por unos 6 puntos [7]. Sostenibilidad del crecimiento: «En parte»: el 5 % anual proyectado es financiable porque sale sobre todo de precio, pero el volumen depende de la asignación de Rolex.</w:t>
      </w:r>
    </w:p>
    <w:p>
      <w:pPr>
        <w:spacing w:after="100"/>
      </w:pPr>
      <w:r>
        <w:rPr>
          <w:b/>
        </w:rPr>
        <w:t xml:space="preserve">Finanzas.</w:t>
      </w:r>
      <w:r>
        <w:t xml:space="preserve"> El EBIT ajustado subió de 150 a 155 M (+3 %), con el margen del 9,1 % al 8,5 % por los aranceles y la mezcla; el BPA ajustado, de 41,6 a 45,2 p [1, 4]. La caja libre fue de 161,7 M (80 % de conversión) y la deuda neta antes de NIIF 16 cayó a 57 M (con NIIF 16, 483 M) [1]. Los ajustes fueron grandes en FY24-FY25 (deterioros en el Reino Unido).</w:t>
      </w:r>
    </w:p>
    <w:p>
      <w:pPr>
        <w:spacing w:after="100"/>
      </w:pPr>
      <w:r>
        <w:rPr>
          <w:b/>
        </w:rPr>
        <w:t xml:space="preserve">Equipo y gobierno.</w:t>
      </w:r>
      <w:r>
        <w:t xml:space="preserve"> Mismo consejero delegado desde 2014; cumplió la guía de FY26 tras fallar la de FY25 y abandonar el objetivo de duplicar el negocio para 2028 [16]. Un consejero independiente compró acciones en septiembre [24]. Reuters publicó en julio conversaciones con fondos y compradores estratégicos, con una petición «bastante superior a 7,50 GBP» [16]; no hay oferta.</w:t>
      </w:r>
    </w:p>
    <w:p>
      <w:pPr>
        <w:spacing w:after="100"/>
      </w:pPr>
      <w:r>
        <w:rPr>
          <w:b/>
        </w:rPr>
        <w:t xml:space="preserve">Valoración.</w:t>
      </w:r>
      <w:r>
        <w:t xml:space="preserve"> El DCF da 5,76 GBP (−14,5 %) y los comparables, 6,09-9,18 GBP según el PER; la síntesis, 6,20 GBP. El precio pide un crecimiento del 8,6 % anual frente al 5,0 % de nuestro base. Discrepamos del mercado en el múltiplo, no en el beneficio: nuestro BPA de FY28e (57,7 p) está un 5 % por encima del consenso, pero no damos el PER de hoy por normal en un minorista que cotizó a 8x en 2024-2025.</w:t>
      </w:r>
    </w:p>
    <w:p>
      <w:pPr>
        <w:spacing w:after="100"/>
      </w:pPr>
      <w:r>
        <w:rPr>
          <w:b/>
        </w:rPr>
        <w:t xml:space="preserve">Riesgos y catalizadores.</w:t>
      </w:r>
      <w:r>
        <w:t xml:space="preserve"> Un recorte de asignación de Rolex (−43 % en el bajista), una desaceleración en EE. UU. y que la posible oferta no llegue. Catalizadores: ventas del 1S el 10 de noviembre y resultados el 10 de diciembre. Los foros son positivos y en parte descuentan la oferta: riesgo si no llega.</w:t>
      </w:r>
    </w:p>
    <w:p>
      <w:pPr>
        <w:spacing w:after="100"/>
      </w:pPr>
      <w:r>
        <w:rPr>
          <w:b/>
        </w:rPr>
        <w:t xml:space="preserve">Qué cambiaría la decisión.</w:t>
      </w:r>
      <w:r>
        <w:t xml:space="preserve"> Compraríamos por debajo de 5,62 GBP (ahí se cumplen la ponderada ≥ 15 %, el base ≥ 12 % y el valor intrínseco ≥ precio) o con una oferta formal; venderíamos por encima de 7,18 GBP o si el crecimiento de EE. UU. del 1S baja del 10 %.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6,47 GBP</w:t>
      </w:r>
      <w:r>
        <w:t xml:space="preserve"> (rentabilidad -4,0 % (base -1,4 %)) · Valor intrínseco: 6,20 GBP (-7,9 % sobre 6,74) · con la prima implícita del mercado: 6,96 (+3,3 %)</w:t>
      </w:r>
    </w:p>
    <w:p>
      <w:pPr>
        <w:spacing w:after="100"/>
      </w:pPr>
      <w:r>
        <w:t xml:space="preserve">Watches of Switzerland es el mayor distribuidor de Rolex del Reino Unido y ha hecho de EE. UU. su primer mercado (51 % de 1.827,9 M GBP de ventas en FY26), con una caja libre de 161,7 M y una deuda neta antes de NIIF 16 de solo 57 M [1].</w:t>
      </w:r>
    </w:p>
    <w:p>
      <w:pPr>
        <w:spacing w:after="100"/>
      </w:pPr>
      <w:r>
        <w:t xml:space="preserve">A 6,735 GBP cotiza a 13,1x nuestro BPA de FY27e y a 8,1x EV/EBITDA; el DCF inverso dice que descuenta un crecimiento del 8,6 % anual durante ocho años, por encima de la guía (5-10 % en FY27) y de la historia reciente.</w:t>
      </w:r>
    </w:p>
    <w:p>
      <w:pPr>
        <w:spacing w:after="100"/>
      </w:pPr>
      <w:r>
        <w:t xml:space="preserve">El mercado acierta en que el negocio va mejor y en que la opción de una oferta existe, pero paga ya un año más de crecimiento y un múltiplo por encima de su mediana. Para invertir hay que creer que Rolex mantendrá su apoyo y que llegará una oferta: lo primero es probable, lo segundo, no.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0,44 = 3,58 · 11,5x × 0,58 = 6,64 · 14,2x × 0,63 = 9,00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 / -1,4 %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(nuestro base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 -43,0 %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 frente a 12,1 % y 10,6 %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(5,0 % anual proyectado; financiable al ROIC actual: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5,62 y 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7,18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5,62 GBP: pasaríamos a Comprar.</w:t>
      </w:r>
    </w:p>
    <w:p>
      <w:pPr>
        <w:pStyle w:val="ListParagraph"/>
        <w:numPr>
          <w:ilvl w:val="0"/>
          <w:numId w:val="2"/>
        </w:numPr>
        <w:spacing w:after="60"/>
      </w:pPr>
      <w:r>
        <w:t xml:space="preserve">Oferta formal de compra por encima de 7,50 GBP: revisaríamos.</w:t>
      </w:r>
    </w:p>
    <w:p>
      <w:pPr>
        <w:pStyle w:val="ListParagraph"/>
        <w:numPr>
          <w:ilvl w:val="0"/>
          <w:numId w:val="2"/>
        </w:numPr>
        <w:spacing w:after="60"/>
      </w:pPr>
      <w:r>
        <w:t xml:space="preserve">Crecimiento de EE. UU. del 1S FY27 por debajo del 10 %: rebajaríamos el base.</w:t>
      </w:r>
    </w:p>
    <w:p>
      <w:pPr>
        <w:pStyle w:val="ListParagraph"/>
        <w:numPr>
          <w:ilvl w:val="0"/>
          <w:numId w:val="2"/>
        </w:numPr>
        <w:spacing w:after="60"/>
      </w:pPr>
      <w:r>
        <w:t xml:space="preserve">Margen EBIT del 1S por debajo del 8 %: rebajaríamos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Crecimiento sostenido en EE. UU., recuperación del margen y una posible oferta de compra por encima de 7,50 GBP.</w:t>
      </w:r>
    </w:p>
    <w:p>
      <w:pPr>
        <w:keepNext/>
        <w:spacing w:after="100"/>
      </w:pPr>
      <w:r>
        <w:rPr>
          <w:b/>
          <w:bCs/>
        </w:rPr>
        <w:t xml:space="preserve">Lo que creemos nosotros.</w:t>
      </w:r>
    </w:p>
    <w:p>
      <w:pPr>
        <w:spacing w:after="100"/>
      </w:pPr>
      <w:r>
        <w:t xml:space="preserve">El beneficio crecerá como dice la guía (BPA de 57,7 p en FY28e, un 5 % más que el consenso), pero el múltiplo de un distribuidor que depende de Rolex no debe estar por encima de su mediana (≈11,5x).</w:t>
      </w:r>
    </w:p>
    <w:p>
      <w:pPr>
        <w:keepNext/>
        <w:spacing w:after="100"/>
      </w:pPr>
      <w:r>
        <w:rPr>
          <w:b/>
          <w:bCs/>
        </w:rPr>
        <w:t xml:space="preserve">Por qué podemos tener razón.</w:t>
      </w:r>
    </w:p>
    <w:p>
      <w:pPr>
        <w:spacing w:after="100"/>
      </w:pPr>
      <w:r>
        <w:t xml:space="preserve">En 2024-2025 el mercado pagó 8x por el mismo negocio cuando el margen bajó; nada en el modelo ha cambiado, salvo el peso de EE. UU.</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6,7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EE. UU. crece con fuerza</w:t>
      </w:r>
      <w:r>
        <w:t xml:space="preserve">: +24 % a tipo constante en FY26 y ya es el 51 % de las ventas [11].</w:t>
      </w:r>
    </w:p>
    <w:p>
      <w:pPr>
        <w:pStyle w:val="ListParagraph"/>
        <w:numPr>
          <w:ilvl w:val="0"/>
          <w:numId w:val="2"/>
        </w:numPr>
        <w:spacing w:after="60"/>
      </w:pPr>
      <w:r>
        <w:rPr>
          <w:b/>
        </w:rPr>
        <w:t xml:space="preserve">Caja libre alta</w:t>
      </w:r>
      <w:r>
        <w:t xml:space="preserve">: 161,7 M en FY26, 10,3 % sobre la capitalización.</w:t>
      </w:r>
    </w:p>
    <w:p>
      <w:pPr>
        <w:pStyle w:val="ListParagraph"/>
        <w:numPr>
          <w:ilvl w:val="0"/>
          <w:numId w:val="2"/>
        </w:numPr>
        <w:spacing w:after="60"/>
      </w:pPr>
      <w:r>
        <w:rPr>
          <w:b/>
        </w:rPr>
        <w:t xml:space="preserve">Balance limpio</w:t>
      </w:r>
      <w:r>
        <w:t xml:space="preserve">: deuda neta antes de NIIF 16 de 57 M [1].</w:t>
      </w:r>
    </w:p>
    <w:p>
      <w:pPr>
        <w:pStyle w:val="ListParagraph"/>
        <w:numPr>
          <w:ilvl w:val="0"/>
          <w:numId w:val="2"/>
        </w:numPr>
        <w:spacing w:after="60"/>
      </w:pPr>
      <w:r>
        <w:rPr>
          <w:b/>
        </w:rPr>
        <w:t xml:space="preserve">Opción de compra</w:t>
      </w:r>
      <w:r>
        <w:t xml:space="preserve">: conversaciones con posibles compradores a más de 7,50 GBP [16].</w:t>
      </w:r>
    </w:p>
    <w:p>
      <w:pPr>
        <w:pStyle w:val="Heading2"/>
      </w:pPr>
      <w:r>
        <w:t xml:space="preserve">En contra</w:t>
      </w:r>
    </w:p>
    <w:p>
      <w:pPr>
        <w:pStyle w:val="ListParagraph"/>
        <w:numPr>
          <w:ilvl w:val="0"/>
          <w:numId w:val="2"/>
        </w:numPr>
        <w:spacing w:after="60"/>
      </w:pPr>
      <w:r>
        <w:rPr>
          <w:b/>
        </w:rPr>
        <w:t xml:space="preserve">Dependencia de Rolex</w:t>
      </w:r>
      <w:r>
        <w:t xml:space="preserve">, que es también competidor desde 2023.</w:t>
      </w:r>
    </w:p>
    <w:p>
      <w:pPr>
        <w:pStyle w:val="ListParagraph"/>
        <w:numPr>
          <w:ilvl w:val="0"/>
          <w:numId w:val="2"/>
        </w:numPr>
        <w:spacing w:after="60"/>
      </w:pPr>
      <w:r>
        <w:rPr>
          <w:b/>
        </w:rPr>
        <w:t xml:space="preserve">Precio exigente</w:t>
      </w:r>
      <w:r>
        <w:t xml:space="preserve">: descuenta un 8,6 % anual frente al 5,0 % de nuestro base.</w:t>
      </w:r>
    </w:p>
    <w:p>
      <w:pPr>
        <w:pStyle w:val="ListParagraph"/>
        <w:numPr>
          <w:ilvl w:val="0"/>
          <w:numId w:val="2"/>
        </w:numPr>
        <w:spacing w:after="60"/>
      </w:pPr>
      <w:r>
        <w:rPr>
          <w:b/>
        </w:rPr>
        <w:t xml:space="preserve">Asimetría negativa</w:t>
      </w:r>
      <w:r>
        <w:t xml:space="preserve">: −47 % en el bajista frente a +34 % en el alcista a 12 meses.</w:t>
      </w:r>
    </w:p>
    <w:p>
      <w:pPr>
        <w:pStyle w:val="ListParagraph"/>
        <w:numPr>
          <w:ilvl w:val="0"/>
          <w:numId w:val="2"/>
        </w:numPr>
        <w:spacing w:after="60"/>
      </w:pPr>
      <w:r>
        <w:rPr>
          <w:b/>
        </w:rPr>
        <w:t xml:space="preserve">Margen a la baja</w:t>
      </w:r>
      <w:r>
        <w:t xml:space="preserve">: EBIT del 10,7 % en FY23 al 8,5 % en FY26 [1, 5].</w:t>
      </w:r>
    </w:p>
    <w:p>
      <w:pPr>
        <w:pStyle w:val="Heading2"/>
      </w:pPr>
      <w:r>
        <w:t xml:space="preserve">Qué tiene que pasar para que la tesis funcione</w:t>
      </w:r>
    </w:p>
    <w:p>
      <w:pPr>
        <w:spacing w:after="100"/>
      </w:pPr>
      <w:r>
        <w:t xml:space="preserve">La tesis depende de que Rolex mantenga la asignación y de que EE. UU. siga creciendo a doble dígito. La señal de alarma sería un crecimiento de EE. UU. por debajo del 10 % en el 1S FY27 (10 de noviembre) o el cierre de boutiques Rolex.</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EE. UU.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mezcla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en 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Boutiques monomarca Rolex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cierre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la relación con Rolex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Watches of Switzerland Group nace del grupo Aurum, dueño de Goldsmiths, Mappin &amp; Webb y Watches of Switzerland en el Reino Unido, que compró el fondo Apollo en 2013. Con Brian Duffy como consejero delegado desde 2014 se centró en relojes de lujo de marcas de asignación limitada (Rolex, Patek Philippe, Audemars Piguet), entró en EE. UU. con la compra de Mayors en 2017 y salió a bolsa en Londres en 2019. Entre 2021 y 2023 vivió el auge del reloj de lujo; desde 2024 la normalización del mercado, la compra de Bucherer por Rolex y los aranceles de EE. UU. a Suiza la han puesto a prueba [19,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Apollo compra el grupo Aurum.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Mayors (Florida): entrada en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histórico en bolsa (≈1.440 p en enero) [D13].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compra Bucherer, competidor en distribución.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del 39 % a los productos suizos desde agosto [20,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supera al Reino Unido en ventas; Reuters publica conversaciones con posibles compradores (13-jul)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Minorista de relojes de lujo y joyería con unos 186 showrooms en el Reino Unido y EE. UU. a septiembre de 2026, de ellos 75 boutiques monomarca, y venta en línea. Marcas: Watches of Switzerland, Mappin &amp; Webb, Goldsmiths (Reino Unido); Mayors, Betteridge y Analog:Shift (EE. UU.). Los relojes de lujo son el 82 % de las ventas, con Rolex como primer proveedor; el resto es joyería (propia y de terceros, como Roberto Coin) y servicios [17].</w:t>
      </w:r>
    </w:p>
    <w:p>
      <w:pPr>
        <w:pStyle w:val="Heading2"/>
      </w:pPr>
      <w:r>
        <w:t xml:space="preserve">Cómo gana dinero</w:t>
      </w:r>
    </w:p>
    <w:p>
      <w:pPr>
        <w:spacing w:after="100"/>
      </w:pPr>
      <w:r>
        <w:t xml:space="preserve">Compra relojes a las marcas con un margen de distribución fijado por ellas y los vende a precio de catálogo: no hay descuentos en las marcas de asignación limitada, que tienen listas de espera. El margen bruto depende de la mezcla (relojes frente a joyería) y el EBIT, del apalancamiento sobre alquileres y personal de tiendas caras. La asignación de producto la decide cada marca, sobre todo Rolex: es el factor de volumen principal. Las aperturas y reformas de showrooms exigen 60-70 M GBP de capex al año. El negocio no es recurrente, pero las listas de espera dan visibilidad.</w:t>
      </w:r>
    </w:p>
    <w:p>
      <w:pPr>
        <w:keepNext w:val="false"/>
        <w:spacing w:after="160" w:before="120"/>
        <w:jc w:val="center"/>
      </w:pPr>
      <w:r>
        <w:drawing>
          <wp:inline xmlns:wp="http://schemas.openxmlformats.org/drawingml/2006/wordprocessingDrawing" distT="0" distB="0" distL="0" distR="0">
            <wp:extent cx="5760000" cy="2160000"/>
            <wp:effectExtent l="0" t="0" r="0" b="0"/>
            <wp:docPr id="1002" name="Gráfico 2"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Clientes, recurrencia y poder de precios</w:t>
      </w:r>
    </w:p>
    <w:p>
      <w:pPr>
        <w:spacing w:after="100"/>
      </w:pPr>
      <w:r>
        <w:t xml:space="preserve">Clientes particulares de renta alta: sin concentración de clientes. La concentración está en los proveedores: Rolex (incluido Tudor) supera, según la prensa, la mitad de las ventas, y Rolex es a la vez competidor desde que compró Bucherer en 2023 [18]. Poder de precios: las marcas suben precios cada año (Rolex subió en 2025 en EE. UU. para cubrir parte del arancel) y el minorista mantiene su margen porcentual; la empresa no fija el precio [20].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grupo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1.651,5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1.827,9 (FY26, 53 semanas)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(+13 %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EE. UU. pasa a ser el primer mercado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la mitad de las ventas del grupo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EE. UU. y aranceles; guía FY27 de +40 a +80 pb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en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FY27 de ≈70 % [1,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los relojes de lujo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Rolex, Patek Philippe, Audemars Piguet, Cartier, Omega, Tudor [14].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Distribución minorista de relojes suizos de lujo en el Reino Unido y EE. UU. No hay una estadística pública del mercado minorista; se usa como referencia la exportación de relojes suizos (Federación de la Industria Relojera, FH), que mide el mercado mayorista. No se encontró una segunda fuente con cifras en el entorno de esta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EE. UU. de relojes de lujo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empresa en EE. UU. +24 % a tipo constante en FY26 [A11].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Suiza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desde el 1-ago-2025; las marcas subieron precios y el margen EBIT bajó 60 pb en FY26 [20,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vertical de las marcas (Rolex-Bucherer, boutiques propias)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compró Bucherer en 2023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segunda mano certificado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ve como área de crecimiento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del Reino Unido (fin del tax-free para turistas)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citado por interactive investor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distribuidores autorizados por ciudad; compiten Bucherer (Rolex), boutiques propias de las marcas y joyeros independientes.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descuentos en las marcas con lista de espera.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decide asignación, margen, ubicaciones y formato de tienda, y es competidor.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la autorización de las marcas, que es escasa.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 las marcas y segunda mano.</w:t>
            </w:r>
          </w:p>
        </w:tc>
      </w:tr>
    </w:tbl>
    <w:p>
      <w:pPr>
        <w:spacing w:after="160" w:before="0"/>
      </w:pPr>
    </w:p>
    <w:p>
      <w:pPr>
        <w:pStyle w:val="Heading2"/>
      </w:pPr>
      <w:r>
        <w:t xml:space="preserve">Ciclo</w:t>
      </w:r>
    </w:p>
    <w:p>
      <w:pPr>
        <w:spacing w:after="100"/>
      </w:pPr>
      <w:r>
        <w:t xml:space="preserve">Tras el auge de 2021-2022 y la normalización de 2023-2024 (exportaciones suizas a la baja, precios de segunda mano hundidos), FY25-FY26 muestran recuperación en EE. UU. y estabilización en el Reino Unido [A12]. En 2008-09 y 2020 el sector cayó con fuerza y se recuperó en uno-dos años.</w:t>
      </w:r>
    </w:p>
    <w:p>
      <w:pPr>
        <w:pStyle w:val="Heading2"/>
      </w:pPr>
      <w:r>
        <w:t xml:space="preserve">Regulación</w:t>
      </w:r>
    </w:p>
    <w:p>
      <w:pPr>
        <w:spacing w:after="100"/>
      </w:pPr>
      <w:r>
        <w:t xml:space="preserve">Aranceles de EE. UU. a Suiza (39 % desde agosto de 2025) y fin del IVA reembolsable para turistas en el Reino Unido desde 2021, que restó ventas de turistas en Londres [17, 20].</w:t>
      </w:r>
    </w:p>
    <w:p>
      <w:pPr>
        <w:pStyle w:val="Heading2"/>
      </w:pPr>
      <w:r>
        <w:t xml:space="preserve">Tendencias y disrupción</w:t>
      </w:r>
    </w:p>
    <w:p>
      <w:pPr>
        <w:spacing w:after="100"/>
      </w:pPr>
      <w:r>
        <w:t xml:space="preserve">Más venta directa de las marcas, mayor peso del segunda mano certificado y desplazamiento de la demanda hacia EE. UU. La empresa gana con EE. UU. y con el preowned; pierde si Rolex amplía su red propia (Bucherer).</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distribuidor de Rolex del Reino Unido y uno de los mayores de EE. UU.</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Bucherer (Rolex)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Rolex desde 2023; red en Europa y EE. UU. (Tourneau).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Signet Jewelers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Joyería de gama media; poco peso en relojes de lujo.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Chow Tai Fook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Hong Kong</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1929.HK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Joyería y relojes en Asia.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Boutiques propias de las marcas (Richemont, Swatch)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CFR / UHR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vertical creciente.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Listas de espera y relación con el cliente, pero transferibles.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autorizaciones de distribución de Rolex, Patek y AP son escasas y no se compran.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fijado por las marcas.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red de showrooms del Reino Unido; ROCE del 18 % en FY26 [A7].</w:t>
            </w:r>
          </w:p>
        </w:tc>
      </w:tr>
    </w:tbl>
    <w:p>
      <w:pPr>
        <w:spacing w:after="160" w:before="0"/>
      </w:pPr>
    </w:p>
    <w:p>
      <w:pPr>
        <w:pStyle w:val="Heading2"/>
      </w:pPr>
      <w:r>
        <w:t xml:space="preserve">Amenazas</w:t>
      </w:r>
    </w:p>
    <w:p>
      <w:pPr>
        <w:spacing w:after="100"/>
      </w:pPr>
      <w:r>
        <w:t xml:space="preserve">La mayor es que Rolex (o Patek/AP) reduzca la asignación o abra más tiendas propias tras comprar Bucherer: probabilidad media a cinco años. Le siguen una caída de la demanda en EE. UU. y los aranceles.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FY2022-FY2026: ingresos </w:t>
      </w:r>
      <w:r>
        <w:rPr>
          <w:b/>
          <w:bCs/>
        </w:rPr>
        <w:t xml:space="preserve">10,3 %</w:t>
      </w:r>
      <w:r>
        <w:t xml:space="preserve">, EBITDA </w:t>
      </w:r>
      <w:r>
        <w:rPr>
          <w:b/>
          <w:bCs/>
        </w:rPr>
        <w:t xml:space="preserve">n.d.</w:t>
      </w:r>
      <w:r>
        <w:t xml:space="preserve">, BPA </w:t>
      </w:r>
      <w:r>
        <w:rPr>
          <w:b/>
          <w:bCs/>
        </w:rPr>
        <w:t xml:space="preserve">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pasaron de 1.234 M GBP en FY2022 a 1.827,9 M en FY2026 (53 semanas), con un FY2024 plano (1.538 M) por la normalización del mercado de relojes de lujo tras la pandemia y un repunte desde FY2025 apoyado en EE. UU., que ya es más de la mitad de las ventas (1.240 M USD, +24 % a tipo constante en FY26) [1, 6, 11]. El margen EBIT ajustado tocó máximo en FY2023 (10,7 %), cayó al 8,8 % en FY2024 por menor apalancamiento operativo y aperturas, subió al 9,1 % en FY2025 y bajó al 8,5 % en FY2026 por la mezcla (más EE. UU. y joyería de menor margen) y los aranceles a los relojes suizos [4, 5, 6, 13]. La guía FY27 pide +40 a +80 pb de margen y un 5-10 % de crecimiento a tipo constante [1, 12].</w:t>
      </w:r>
    </w:p>
    <w:p>
      <w:pPr>
        <w:pStyle w:val="Heading2"/>
      </w:pPr>
      <w:r>
        <w:t xml:space="preserve">Ajustes y partidas no recurrentes</w:t>
      </w:r>
    </w:p>
    <w:p>
      <w:pPr>
        <w:spacing w:after="100"/>
      </w:pPr>
      <w:r>
        <w:t xml:space="preserve">Se usan las cifras ajustadas y antes de NIIF 16 que la empresa publica como indicadores (EBITDA, EBIT y BPA ajustados), porque la guía, la deuda neta y la conversión en caja se dan en esa base. Las ajustadas excluyen partidas excepcionales (deterioros de tiendas y de fondo de comercio en el Reino Unido, costes de adquisiciones), que hundieron el BPA estatutario a 25,0 p en FY24 y 22,8 p en FY25 frente a 38,0 p y 41,6 p ajustados; en FY26 el estatutario (42,6 p) casi converge con el ajustado (45,2 p) [1, 4]. El beneficio neto ajustado es estimación propia: BPA ajustado × acciones medias deducidas del beneficio y el BPA estatutarios.</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54"/>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los resultados de FY26 (14 de julio de 2026) la dirección destacó un año récord, con EE. UU. como motor (+24 % a tipo constante) y el Reino Unido de nuevo en crecimiento (+5 %), y mantuvo la guía de FY27: crecimiento del 5-10 % a tipo constante, +40 a +80 pb de margen EBIT ajustado, capex de 60-70 M GBP y conversión de caja de ≈70 % [1, 11, 13]. El EBIT ajustado (155 M) superó la guía de 152-155 M que se dio en mayo y el consenso previo de 148,4 M que citaba Jefferies [11, 15]. Los analistas preguntaron por el efecto de los aranceles de EE. UU. a los relojes suizos (39 % desde agosto de 2025), por la asignación de Rolex y por el preowned certificado; la dirección no comentó las conversaciones con posibles compradores que Reuters publicó la víspera [13, 16]. En la actualización de la junta (3 de septiembre de 2026) dijo que las 17 semanas hasta el 30 de agosto siguieron la tendencia y reiteró la guía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Compras de Roberto Coin Inc. (distribución en EE. UU.) y de joyerías en EE. UU. (Hodinkee, Deutsch &amp; Deutsch) en FY25-FY26: la deuda neta subió a 96 M GBP en FY25 [1, 4].). Los ratios de balance de ese año (días, circulante, deuda neta / EBITDA, ROIC) y los indicadores de calidad contable no son comparables con los anteriores.</w:t>
      </w:r>
    </w:p>
    <w:p>
      <w:pPr>
        <w:spacing w:after="100"/>
      </w:pPr>
      <w:r>
        <w:t xml:space="preserve">Las existencias (458,1 M GBP, 25 % de las ventas) son el gran activo de circulante y subieron solo 10,7 M en FY26 pese al +11 % de ventas, por la compra de Deutsch &amp; Deutsch y la joyería de diamante de laboratorio [1]. Los proveedores bajaron a 251,2 M. La deuda neta antes de NIIF 16 cayó de 96,2 a 57,0 M por una caja libre de 161,7 M, después de 13 M de recompras [1, 3].</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FY2026-FY2026: FCF </w:t>
      </w:r>
      <w:r>
        <w:rPr>
          <w:b/>
          <w:bCs/>
        </w:rPr>
        <w:t xml:space="preserve">162</w:t>
      </w:r>
      <w:r>
        <w:t xml:space="preserve">, conversión </w:t>
      </w:r>
      <w:r>
        <w:rPr>
          <w:b/>
          <w:bCs/>
        </w:rPr>
        <w:t xml:space="preserve">154 %</w:t>
      </w:r>
      <w:r>
        <w:t xml:space="preserve"> del beneficio neto; adquisiciones 0, dividendos 0, recompras 13.</w:t>
      </w:r>
    </w:p>
    <w:p>
      <w:pPr>
        <w:spacing w:after="100"/>
      </w:pPr>
      <w:r>
        <w:t xml:space="preserve">La caja libre (definición de la empresa, después de alquileres y capex) fue de 112 M GBP en FY22, 146 M en FY23, 118 M en FY24, 98 M en FY25 y 161,7 M en FY26, con una conversión sobre el EBITDA ajustado del 80 % en FY26 frente al 51 % de FY25 [1, 4, 5]. El flujo operativo de FY26 (227,7 M) es estimación propia: caja libre + capex (≈66 M, que la empresa describe como de expansión dentro de una guía de 60-70 M anuales) [1, 7]. La empresa no separa capex de mantenimiento; con amortizaciones de 47 M, la parte de crecimiento sería de unos 20 M (estimación propia).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(informe anual 2026 publicado el 3-ago-2026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distancia entre el BPA estatutario y el ajustado fue grande en FY24 (25,0 p frente a 38,0 p) y FY25 (22,8 p frente a 41,6 p) por deterioros de tiendas y fondo de comercio en el Reino Unido y costes de compras, y casi desaparece en FY26 (42,6 p frente a 45,2 p) [1, 4]. Que los ajustes se concentren en años malos es una señal a vigilar, pero son deterioros sin caja. Con un balance incompleto (solo FY25-FY26), el motor no puede calcular Altman, Piotroski ni Beneish con fiabilidad: no se interpretan.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Excepcionales recurrentes en FY24-FY25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en el Reino Unido y costes de adquisiciones: el BPA ajustado casi duplicó el estatutario dos años seguidos [1, 4].</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3,8 % · </w:t>
      </w:r>
      <w:r>
        <w:rPr>
          <w:b/>
          <w:bCs/>
        </w:rPr>
        <w:t xml:space="preserve">WACC</w:t>
      </w:r>
      <w:r>
        <w:t xml:space="preserve">: 12,1 %.</w:t>
      </w:r>
    </w:p>
    <w:p>
      <w:pPr>
        <w:spacing w:after="100"/>
      </w:pPr>
      <w:r>
        <w:t xml:space="preserve">La empresa publica un ROCE del 18 % en FY26 [7], por encima del WACC del 12,1 % por unos 6 puntos; el ROIC del motor (29 %) sale de un capital invertido incompleto (sin balance anterior a FY25) y no se usa para decidir. El ROIC lo mueve la rotación: el margen EBIT es bajo (8,5 %) pero el capital es sobre todo existencias que rotan. La caída del margen de FY23 (10,7 %) a FY26 (8,5 %) recortó el ROCE desde el récord de FY23 [5].</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 may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antes de NIIF 16 de 57,0 M GBP a 3-may-2026 (96,2 M un año antes); préstamos de 120,5 M; caja ≈63,5 M (estimación: préstamos − deuda neta)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Pasivos por arrendamiento de 427,6 M GBP a 3-may-2026 (454,6 M en FY25), con 83,9 M de pagos e intereses de 25,5 M en FY26; derechos de uso de 338,2 M [1]. Con NIIF 16 la deuda neta es de 483,0 M [1]. En este informe el alquiler se trata como gasto de explotación (base antes de NIIF 16), igual que la guía y la deuda neta de la empresa, y por eso los arrendamientos no entran en el puente: sumarlos y no quitar el alquiler del EBITDA los contaría dos veces.</w:t>
      </w:r>
    </w:p>
    <w:p>
      <w:pPr>
        <w:pStyle w:val="Heading1"/>
      </w:pPr>
      <w:r>
        <w:t xml:space="preserve">12. Asignación de capital</w:t>
      </w:r>
    </w:p>
    <w:p>
      <w:pPr>
        <w:pStyle w:val="Confianza"/>
        <w:spacing w:after="100"/>
      </w:pPr>
      <w:r>
        <w:t xml:space="preserve">Confianza: Baja</w:t>
      </w:r>
    </w:p>
    <w:p>
      <w:pPr>
        <w:spacing w:after="100"/>
      </w:pPr>
      <w:r>
        <w:t xml:space="preserve">No paga dividendo: la caja va a aperturas y reformas de showrooms (capex de 60-70 M GBP al año), a compras en EE. UU. y a recompras. Completó un programa de recompra de 25 M GBP en junio de 2025 (13 M dentro de FY26) [1, 14]. No hay un programa nuevo anunciado a la fecha de corte.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Roberto Coin Inc. (distribuidor en EE. UU. de la marca de joyería)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la deuda neta subió a 96 M en FY25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 &amp; Deutsch (joyero de Texas)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parte de la subida de existencias [1].</w:t>
            </w:r>
          </w:p>
        </w:tc>
      </w:tr>
    </w:tbl>
    <w:p>
      <w:pPr>
        <w:spacing w:after="160" w:before="0"/>
      </w:pPr>
    </w:p>
    <w:p>
      <w:pPr>
        <w:spacing w:after="100"/>
      </w:pPr>
      <w:r>
        <w:t xml:space="preserve">La empresa ha crecido con caja propia y sin dividendos; sus compras son pequeñas y en EE. UU. Los deterioros de FY24-FY25 en el Reino Unido indican que parte del capex de expansión de 2021-2023 rindió menos de lo previsto. La recompra de 25 M en 2025 se hizo a 355-453 p, muy por debajo del precio actual [14].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grupo desde antes de la salida a bolsa; llevó la entrada en EE. UU. y la apuesta por las marcas de asignación limitada. Según Reuters atendió a los posibles compradores porque cree que la bolsa infravalora la empresa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Romberg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la actualización de la junta de septiembre de 2026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Edgecliffe-Johnson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el 19-feb-2026; miembro de auditoría, remuneración, nombramientos y ESG [23]. Compró 7.450 acciones en septiembre de 2026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6-10 % a tipo constante (jul-2025); EBIT ajustado de 152-155 M (may-2026)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 a tipo constante; EBIT ajustado de 155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1.670-1.730 M GBP (jul-2024)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1.651,5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FY2028 (plan a largo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ventas y beneficio para 2028 (plan de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planea abandonar el objetivo, según Bloomberg</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con el mismo consejero delegado desde 2014. Cumplió la guía de FY26 tras fallar la de ventas de FY25 y abandonar el objetivo a largo plazo de duplicar el negocio para 2028. Que el consejero delegado haya atendido a posibles compradores es una señal de que la dirección ve la acción barata, y también de que no descarta una venta.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Edgecliffe-Johnson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Remuneración, Nombramientos, ESG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(informe anual 2026 publicado el 3-ago-2026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Edgecliffe-Johnson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informe de remuneraciones del informe anual 2026 (publicado el 3-ago-2026) [22].</w:t>
      </w:r>
    </w:p>
    <w:p>
      <w:pPr>
        <w:pStyle w:val="Heading2"/>
      </w:pPr>
      <w:r>
        <w:t xml:space="preserve">Operaciones vinculadas, estructura de control y defensas</w:t>
      </w:r>
    </w:p>
    <w:p>
      <w:pPr>
        <w:spacing w:after="100"/>
      </w:pPr>
      <w:r>
        <w:t xml:space="preserve">Sin accionista de control conocido desde que Apollo vendió su participación; una acción, un voto (sociedad anónima inglesa sujeta al Takeover Code). Reuters informó el 13-jul-2026 de conversaciones con fondos de capital riesgo y compradores estratégicos para excluirla de bolsa, y de que la empresa pedía bastante más de 7,50 GBP por acción; no hubo oferta formal [16].</w:t>
      </w:r>
    </w:p>
    <w:p>
      <w:pPr>
        <w:pStyle w:val="Heading2"/>
      </w:pPr>
      <w:r>
        <w:t xml:space="preserve">Señales de alerta</w:t>
      </w:r>
    </w:p>
    <w:p>
      <w:pPr>
        <w:pStyle w:val="ListParagraph"/>
        <w:numPr>
          <w:ilvl w:val="0"/>
          <w:numId w:val="2"/>
        </w:numPr>
        <w:spacing w:after="60"/>
      </w:pPr>
      <w:r>
        <w:t xml:space="preserve">Conversaciones de exclusión de bolsa publicadas por Reuters (jul-2026) sin anuncio formal bajo el Takeover Code [16].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FY27 (52 semanas, antes de NIIF 16, orgánica), dada el 14-jul-2026 y reiterada el 3-sep-2026: crecimiento de ventas del 5-10 % a tipo constante, margen EBIT ajustado +40 a +80 pb sobre el 8,5 % de FY26, capex de 60-70 M GBP y conversión de caja libre de ≈70 % [A1, A12]. El objetivo de largo plazo de duplicar ventas y beneficio para 2028 se va a abandonar, según Bloomberg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116,3 M ÷ 233,5 M acciones, estimación propia del BPA) y Stockopedia (51 p) [26,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(beneficio neto 128,5 M ÷ 233,5 M acciones); Stocksguide da 50 p [30,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8,50</w:t>
            </w:r>
          </w:p>
        </w:tc>
      </w:tr>
    </w:tbl>
    <w:p>
      <w:pPr>
        <w:spacing w:after="160" w:before="0"/>
      </w:pPr>
    </w:p>
    <w:p>
      <w:pPr>
        <w:pStyle w:val="Heading2"/>
      </w:pPr>
      <w:r>
        <w:t xml:space="preserve">Revisiones de estimaciones</w:t>
      </w:r>
    </w:p>
    <w:p>
      <w:pPr>
        <w:spacing w:after="100"/>
      </w:pPr>
      <w:r>
        <w:t xml:space="preserve">Los objetivos subieron con fuerza en 2026: Jefferies pasó de 440 a 740 p (rebajando a Mantener por valoración), RBC a 800 p, UBS a 850 p y Barclays mantiene Comprar [28, 29, 33]. El objetivo medio ronda los 697-709 p según el proveedor [29]. Solo hay una fuente con estimaciones de beneficio de los dos ejercicios (MarketScreener, en beneficio neto); Stocksguide da un BPA de FY28 menor (50 p).</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Los precios de cierre de ejercicio son aproximados (no hay histórico accesible en este entorno): FY23, cota inferior por el máximo de julio de 2026 (778,5 p, «el más alto desde mayo de 2023») [16]; FY24, mínimo de cinco años del verano de 2024 (332 p) [20]; FY25, ≈340 p tras la caída de abril de 2025 [35]; FY26, cierre previo a la actualización del 14-may-2026 (644,5 p) [32]. PER sobre BPA ajustado: ≈14,8x, 8,7x, 8,2x y 14,3x.</w:t>
      </w:r>
    </w:p>
    <w:p>
      <w:pPr>
        <w:pStyle w:val="Heading1"/>
      </w:pPr>
      <w:r>
        <w:t xml:space="preserve">18. Comparables cotizados</w:t>
      </w:r>
    </w:p>
    <w:p>
      <w:pPr>
        <w:pStyle w:val="Confianza"/>
        <w:spacing w:after="100"/>
      </w:pPr>
      <w:r>
        <w:t xml:space="preserve">Confianza: Baja</w:t>
      </w:r>
    </w:p>
    <w:p>
      <w:pPr>
        <w:spacing w:after="100"/>
      </w:pPr>
      <w:r>
        <w:t xml:space="preserve">Grupos cotizados de relojería y joyería de lujo: Richemont y Movado (marcas), Signet y Chow Tai Fook (minoristas de joyería). Swatch y Pandora no tienen PER fiable en esta sesión. No hay un minorista de relojes de lujo cotizado comparable: Bucherer es de Rolex.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Watches of Switzerland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Signet Jewelers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Movado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Chow Tai Fook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 / 14,2x / 17,6x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bl>
    <w:p>
      <w:pPr>
        <w:spacing w:after="160" w:before="0"/>
      </w:pPr>
    </w:p>
    <w:p>
      <w:pPr>
        <w:spacing w:after="100"/>
      </w:pPr>
      <w:r>
        <w:t xml:space="preserve">Mediana del PER de los próximos 12 meses: 14,2x (Richemont 22,2x, Movado 16,0x, Chow Tai Fook 12,3x, Signet 9,7x) [37, 38, 39]. Watches of Switzerland cotiza a ≈13x nuestro BPA de FY27e: en línea con los minoristas y muy por debajo de las marcas, lo lógico para un distribuidor cuyo margen fijan sus proveedores. Fechas y proveedores distintos: confianza baja.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crecen un 7 % en FY27e y FY28e, en el centro de la guía de 5-10 % a tipo constante [1, 12], y bajan al 3 % en FY34e. La historia es irregular: +25 % en FY23, plano en FY24, +7 % en FY25 y +11 % en FY26 (53 semanas) [1, 4, 5, 6]. El consenso de ventas de FY27e (≈1.996 M) supone un 9 %, algo más que nosotros [31].</w:t>
      </w:r>
    </w:p>
    <w:p>
      <w:pPr>
        <w:keepNext/>
        <w:spacing w:after="100"/>
      </w:pPr>
      <w:r>
        <w:rPr>
          <w:b/>
          <w:bCs/>
        </w:rPr>
        <w:t xml:space="preserve">Márgenes.</w:t>
      </w:r>
    </w:p>
    <w:p>
      <w:pPr>
        <w:spacing w:after="100"/>
      </w:pPr>
      <w:r>
        <w:t xml:space="preserve">Margen EBITDA antes de NIIF 16 del 11,6 % en FY27e y del 11,9-12,0 % después: el EBIT recupera la guía (+40 a +80 pb sobre el 8,5 % de FY26) hasta un ≈9,3 %, por debajo del 10,7 % de FY23 [1, 5]. Rolex fija el margen del distribuidor: no proyectamos más.</w:t>
      </w:r>
    </w:p>
    <w:p>
      <w:pPr>
        <w:keepNext/>
        <w:spacing w:after="100"/>
      </w:pPr>
      <w:r>
        <w:rPr>
          <w:b/>
          <w:bCs/>
        </w:rPr>
        <w:t xml:space="preserve">Inversión y circulante.</w:t>
      </w:r>
    </w:p>
    <w:p>
      <w:pPr>
        <w:spacing w:after="100"/>
      </w:pPr>
      <w:r>
        <w:t xml:space="preserve">Capex del 3,5 % de las ventas hasta FY29e (60-70 M al año, la guía) y del 3,0 % después, por encima de la amortización (2,7 %) [3]. Circulante del 12,5 % de las ventas: existencias de 458 M menos proveedores de 251 M en FY26 [1].</w:t>
      </w:r>
    </w:p>
    <w:p>
      <w:pPr>
        <w:keepNext/>
        <w:spacing w:after="100"/>
      </w:pPr>
      <w:r>
        <w:rPr>
          <w:b/>
          <w:bCs/>
        </w:rPr>
        <w:t xml:space="preserve">Coste del capital.</w:t>
      </w:r>
    </w:p>
    <w:p>
      <w:pPr>
        <w:spacing w:after="100"/>
      </w:pPr>
      <w:r>
        <w:t xml:space="preserve">Tasa libre del 5,1 % (gilt a 10 años, agosto de 2026) [34], beta de 1,2 (minorista de lujo discrecional y volátil: la acción cayó de 1.440 p a 332 p y volvió a 800 p en cuatro años; estimación propia, sin beta descargada), prima de mercado del 5,5 % y 1 punto adicional por la dependencia de un solo proveedor (Rolex). WACC del 12,07 %. Con la prima implícita del mercado (4,2 %) baja al 10,64 %.</w:t>
      </w:r>
    </w:p>
    <w:p>
      <w:pPr>
        <w:keepNext/>
        <w:spacing w:after="100"/>
      </w:pPr>
      <w:r>
        <w:rPr>
          <w:b/>
          <w:bCs/>
        </w:rPr>
        <w:t xml:space="preserve">Valor terminal.</w:t>
      </w:r>
    </w:p>
    <w:p>
      <w:pPr>
        <w:spacing w:after="100"/>
      </w:pPr>
      <w:r>
        <w:t xml:space="preserve">Gordon con un 2,5 % nominal en GBP, entre la inflación esperada y la tasa libre menos medio punto. El múltiplo de salida de referencia (8x EBITDA) queda en línea con el EV/EBITDA actual (8,1x).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M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(ROIC 29,0 %)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 (histórico: 3,8 %)</w:t>
            </w:r>
          </w:p>
        </w:tc>
      </w:tr>
    </w:tbl>
    <w:p>
      <w:pPr>
        <w:spacing w:after="160" w:before="0"/>
      </w:pPr>
    </w:p>
    <w:p>
      <w:pPr>
        <w:spacing w:after="100"/>
      </w:pPr>
      <w:r>
        <w:t xml:space="preserve">La proyección reinvierte el 17 % del NOPAT. Con el ROIC del último ejercicio (29,0 %), eso financia un crecimiento del 5,0 % anual, frente al 5,0 % de ingresos proyectado. Supone que el capital nuevo rinde un 32,1 %, frente a un ROIC incremental histórico del 3,8 %.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(aperturas en EE. UU., más asignación de Rolex y joyería) y precio +4 % (subidas de catálogo de las marcas, en parte por los aranceles) [1,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por la maduración de las aperturas de FY26-FY27 y precio +3,5 %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+3 % y precio +3 %: vuelta a subidas de precio normales.</w:t>
            </w:r>
          </w:p>
        </w:tc>
      </w:tr>
    </w:tbl>
    <w:p>
      <w:pPr>
        <w:spacing w:after="160" w:before="0"/>
      </w:pPr>
    </w:p>
    <w:p>
      <w:pPr>
        <w:spacing w:after="100"/>
      </w:pPr>
      <w:r>
        <w:t xml:space="preserve">La reinversión de la proyección (17 % del NOPAT) financia al ROIC actual el 5,0 % anual que proyectamos, así que el crecimiento es financiable. Pero el capital nuevo tendría que rendir un 32 %, frente a un ROCE publicado del 18 % [7]; la diferencia se explica porque el crecimiento sale sobre todo de precio (subidas de las marcas), que no exige capital. Lo que no controla la empresa es el volumen: la asignación de Rolex. Por eso «En parte»: el crecimiento es alcanzable con poca inversión, pero depende de un proveedor que también es competidor. No rebajamos el caso base porque el fallo de la prueba de capital nuevo procede de un ROIC incremental histórico sin sentido (balance incompleto).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 (base: 12,0 %)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 (WACC: 12,1 %)</w:t>
            </w:r>
          </w:p>
        </w:tc>
      </w:tr>
    </w:tbl>
    <w:p>
      <w:pPr>
        <w:spacing w:after="160" w:before="0"/>
      </w:pPr>
    </w:p>
    <w:p>
      <w:pPr>
        <w:spacing w:after="100"/>
      </w:pPr>
      <w:r>
        <w:t xml:space="preserve">El DCF da 5,76 GBP por acción, un 14,5 % por debajo del precio (6,735 GBP), con un WACC del 12,07 % y un valor terminal del 53 % del total. El DCF inverso dice que el precio descuenta un crecimiento anual del 8,6 % en los años no fijos, frente al 5,0 % de nuestro caso base, o una rentabilidad anual implícita del 10,8 %, por debajo de nuestro WACC (12,1 %) y algo por encima de lo que pide el mercado con su prima implícita (10,6 %). Es exigente: el 8,6 % durante ocho años supera la guía de FY27 y la historia de los últimos cinco años, salvo el auge de FY23. Con la prima del mercado el valor sube a 6,85 GBP (+1,7 %). El precio ya recoge la recuperación de EE. UU. y parte de la opción de una oferta de compra (Reuters habló de una petición «bastante superior a 7,50 GBP») [16].</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amplía su red propia (Bucherer, Tourneau) y recorta la asignación, o EE. UU. entra en recesión: las ventas crecen un 3 % y el margen EBITDA vuelve al 10,4 %, como en FY24, cuando el EBIT cayó un 18 % con ventas planas [6].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FY27 (7 % de crecimiento, +60 pb de margen EBIT) y FY28 sigue igual; no hay oferta de compra.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sigue a +15-20 %, el Reino Unido se recupera y el margen se acerca al máximo de FY23 (10,7 % de 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alor por acción por escenario (GBP) · precio actual 6,7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rPr>
          <w:b/>
          <w:bCs/>
        </w:rPr>
        <w:t xml:space="preserve">Valor ponderado por probabilidad:</w:t>
      </w:r>
      <w:r>
        <w:t xml:space="preserve"> 5,52 GBP (-18,0 %).</w:t>
      </w:r>
    </w:p>
    <w:p>
      <w:pPr>
        <w:spacing w:after="100"/>
      </w:pPr>
      <w:r>
        <w:t xml:space="preserve">La asimetría es mala: el bajista pierde un 43 % y el alcista se queda en −0,5 % sobre el DCF con nuestro WACC. A 12 meses, con PER × BPA, la horquilla es de 3,58 a 9,00 GBP alrededor de un base de 6,64 GBP: pierde más en el bajista (−47 %) de lo que gana en el alcista (+34 %). La única fuente de subida rápida que no recogen los escenarios es una oferta de compra.</w:t>
      </w:r>
    </w:p>
    <w:p>
      <w:pPr>
        <w:pStyle w:val="Heading1"/>
      </w:pPr>
      <w:r>
        <w:t xml:space="preserve">22. Suma de partes</w:t>
      </w:r>
    </w:p>
    <w:p>
      <w:pPr>
        <w:pStyle w:val="Confianza"/>
        <w:spacing w:after="100"/>
      </w:pPr>
      <w:r>
        <w:t xml:space="preserve">Confianza: Media</w:t>
      </w:r>
    </w:p>
    <w:p>
      <w:pPr>
        <w:spacing w:after="100"/>
      </w:pPr>
      <w:r>
        <w:t xml:space="preserve">Un solo negocio (minorista de relojes y joyería de lujo en dos países): no aplica.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7" name="Gráfico 17" descr="Valor por acción según cada método (GBP) · precio actual 6,7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6,20 GBP (-7,9 % sobre 6,74).</w:t>
      </w:r>
    </w:p>
    <w:p>
      <w:pPr>
        <w:spacing w:after="100"/>
      </w:pPr>
      <w:r>
        <w:t xml:space="preserve">Pesamos el DCF un 50 % (negocio estable con caja libre de 162 M en FY26 [1]), los comparables un 30 % (solo cuatro y de perfil distinto: marcas con PER de 16-22x y joyeros de 10-12x) y los escenarios un 20 %. Sin transacciones con múltiplo publicado: Rolex no dio el precio de Bucherer. La dispersión es alta: el PER de los comparables da 6,09-9,18 GBP y el DCF 5,76 GBP; la síntesis queda en 6,20 GBP (−7,9 %).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spacing w:after="100"/>
      </w:pPr>
      <w:r>
        <w:rPr>
          <w:b/>
          <w:bCs/>
        </w:rPr>
        <w:t xml:space="preserve">Objetivo a 12 meses (ponderado):</w:t>
      </w:r>
      <w:r>
        <w:t xml:space="preserve"> 6,47 GBP · rentabilidad -4,0 % (base -1,4 %) · señal Mantener.</w:t>
      </w:r>
    </w:p>
    <w:p>
      <w:pPr>
        <w:keepNext/>
        <w:spacing w:after="100"/>
      </w:pPr>
      <w:r>
        <w:rPr>
          <w:b/>
          <w:bCs/>
        </w:rPr>
        <w:t xml:space="preserve">Frente al consenso (solo contraste).</w:t>
      </w:r>
    </w:p>
    <w:p>
      <w:pPr>
        <w:spacing w:after="100"/>
      </w:pPr>
      <w:r>
        <w:t xml:space="preserve">Nuestro BPA de FY28e (57,7 p) queda un 5 % por encima del consenso (≈55 p de MarketScreener) [31]: suponemos el centro de la guía de margen. La diferencia está en el múltiplo: nuestro base (11,5x, la mediana aproximada de cinco años) da 6,64 GBP, un 5 % por debajo del objetivo medio de los analistas (≈7,00 GBP) [29], cuyos objetivos van de 740 a 850 p en las casas que más han subido [28, 29]; esos objetivos suponen 13-15x, el PER de hoy, y probablemente algo de prima por la posible oferta.</w:t>
      </w:r>
    </w:p>
    <w:p>
      <w:pPr>
        <w:keepNext/>
        <w:spacing w:after="100"/>
      </w:pPr>
      <w:r>
        <w:rPr>
          <w:b/>
          <w:bCs/>
        </w:rPr>
        <w:t xml:space="preserve">Del valor intrínseco al objetivo a 12 meses.</w:t>
      </w:r>
    </w:p>
    <w:p>
      <w:pPr>
        <w:spacing w:after="100"/>
      </w:pPr>
      <w:r>
        <w:t xml:space="preserve">El objetivo a 12 meses (6,47 GBP ponderado; 6,64 GBP el base) queda por encima del valor intrínseco (6,20 GBP), y los dos por debajo del precio. Para que la acción suba hace falta un catalizador que la valoración no recoge: una oferta formal de compra. Sin ella, el precio ya descuenta un año más de crecimiento por encima de la guía. La tesis de compra solo vuelve por debajo de ≈5,6 GBP.</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ventas del 1S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5-10 % de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margen tras los aranceles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oferta de exclusión de bolsa (Reuters, 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sobre 7,50 GBP si llega; caída si se descarta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ventas de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arancelaria EE. UU.-Suiza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 del 39 % devolvería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Rolex reduce la asignación o abre más tiendas propias (Bucherer)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de décadas; red de boutiques monomarca con la marca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o traspaso de boutiques Rolex; caída de ventas de relojes con listas de espera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consumo de lujo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Listas de espera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EE. UU. por debajo del 10 % en el 1S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Suiza más altos o duraderos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suben precios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1S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posible oferta de compra no llega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(prima que descuenta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fin de conversaciones o silencio prolongado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Reino Unido (fiscalidad, sin compras libres de impuestos para turistas)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Reino Unido ya es menos de la mitad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el Reino Unido negativas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Nuevos deterioros por aperturas que no rinden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controlado (60-70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Excepcionales en el 1S</w:t>
            </w:r>
          </w:p>
        </w:tc>
      </w:tr>
    </w:tbl>
    <w:p>
      <w:pPr>
        <w:spacing w:after="160" w:before="0"/>
      </w:pPr>
    </w:p>
    <w:p>
      <w:pPr>
        <w:pStyle w:val="Heading2"/>
      </w:pPr>
      <w:r>
        <w:t xml:space="preserve">Pre-mortem</w:t>
      </w:r>
    </w:p>
    <w:p>
      <w:pPr>
        <w:spacing w:after="100"/>
      </w:pPr>
      <w:r>
        <w:t xml:space="preserve">Octubre de 2029: la acción ha perdido un 40 %. En 2027 Rolex, con Bucherer ya integrada, decidió reforzar sus propias tiendas en Nueva York, Miami y Londres y recortó la asignación a los distribuidores multimarca. Las listas de espera se acortaron también porque el mercado de segunda mano bajó precios, y el consumidor de EE. UU. se frenó con el paro al alza. Las ventas crecieron un 2-3 % y el margen EBIT volvió al 7,5 % de los años malos; el BPA cayó a 35 p. La oferta de compra de 2026 nunca llegó y el mercado devolvió el PER a 8-9x, como en 2024-2025. La señal que lo habría anticipado: la evolución de las ventas de relojes por showroom en EE. UU. y cualquier cambio en el número de boutiques monomarca de Rolex.</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abastecimiento responsable de diamantes y oro, la seguridad de las tiendas y la dependencia de proveedores; no se encontraron calificaciones con fecha en esta sesión.</w:t>
      </w:r>
    </w:p>
    <w:p>
      <w:pPr>
        <w:pStyle w:val="Heading2"/>
      </w:pPr>
      <w:r>
        <w:t xml:space="preserve">Controversias</w:t>
      </w:r>
    </w:p>
    <w:p>
      <w:pPr>
        <w:spacing w:after="100"/>
      </w:pPr>
      <w:r>
        <w:t xml:space="preserve">Sin controversias relevantes encontradas.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Rolex en ventas y en beneficio bruto, y cómo ha cambiado la asignación desde la compra de Bucherer?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primer riesgo y la empresa no lo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¿Siguen abiertas las conversaciones con posibles compradores y a qué precio se ha dicho 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puede descontar parte de una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perdido en FY26 se recupera en FY27 con las subidas de precio de las marcas?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+40 a +80 pb lo supone.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nuevas recompras o dividendo con una deuda neta de solo 57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base no incluye recompras.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tienen las aperturas del Reino Unido que se deterioraron en FY24-FY25?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deterioros apuntan a capex que no rindió.</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 a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objetivo sustituye al de duplicar ventas y beneficio para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dice que se abandona [30].</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venía +40 % en el año antes de la junta; se ve el negocio en EE. UU. sólido y la fiscalidad británica como riesgo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Option Finance (prensa francesa)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tras una actualización «sin sorpresas»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usuarios)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Narrativas que la ven como «compounder a múltiplo de minorista» y que siguen las subidas de objetivo de diez analistas; dudan de la dependencia de Rolex tras Bucherer [18,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de joyería y relojería (Centurion, WatchPro)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foco es la posible exclusión de bolsa y los resultados récord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Posible OPA o exclusión de bolsa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habló de conversaciones y de un precio pedido «bastante superior a 7,50 GBP» [C4]; no hay oferta formal tres meses después: es una opción, no una base de valoración.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Rolex (Bucherer)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es la mayor marca y competidor; el informe lo trata como primer riesgo.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 bajó 60 pb en FY26; la guía FY27 espera recuperarlo [A1].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doblar en un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rebajó a Mantener por valoración [D4]; nuestro PER base (11,5x) es inferior al actual.</w:t>
            </w:r>
          </w:p>
        </w:tc>
      </w:tr>
    </w:tbl>
    <w:p>
      <w:pPr>
        <w:spacing w:after="160" w:before="0"/>
      </w:pPr>
    </w:p>
    <w:p>
      <w:pPr>
        <w:spacing w:after="100"/>
      </w:pPr>
      <w:r>
        <w:t xml:space="preserve">El sentimiento es positivo y ha mejorado con los resultados récord y los rumores de OPA, pero no es eufórico: la junta de septiembre trajo recogida de beneficios. La conversación descuenta en parte una oferta, lo que crea un riesgo a la baja si no llega. No contradice a los analistas, que suben objetivos con más cautela en la recomendación. No se pudo leer Reddit, Stocktwits ni LSE Chat desde este entorno.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42 (12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32,1 % frente a un ROIC de 29,0 % y un incremental histórico de 3,8 %: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12,5 % frente a 11,3 % real: genera una variación de circulante de 38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cuatro comparables con PER fiable en este entorno (Swatch y Pandora sin dato); peso de comparables limitado al 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10, 25,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amortizaciones, resultado financiero e impuestos FY2022-FY2024; coste de ventas y gastos generales de todos los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FY23-FY26 de la web de la empresa: la red solo deja buscar, no abrir los PDF; 2) Investegate y MarketScreener: los extractos dan solo cabeceras; 3) Investing y Stock Analysis: solo ingresos, resultado de explotación y beneficio en otra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FY2022-FY2024 y patrimonio FY2025; activo y pasivo corriente, fondo de comercio, clientes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FY23-FY25 (PDF no accesible); 2) Simply Wall St y Stockopedia: solo FY26; 3) Investing: solo cabeceras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y capex FY2022-FY2025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solo la caja libre (112, 146, 118 y 98 M); 2) MarketScreener: guía de capex; 3) prensa: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caja libre se 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 de los semestres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H1 FY26 RNS (no se abre); 2) FashionUnited: solo +10 % en 1S26; 3) Yahoo transcript: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serie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FH (exportaciones suizas): sin acceso; 2) informes de Deloitte/Morgan Stanley: sin cifras en extractos; 3) prensa: sin cifra fiable del mercado minorista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competidores,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Bucherer no publica; 2) cuentas de Signet y Chow Tai Fook no abiertas; 3) sin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accionistas significativos, votos de remuneración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(PDF no accesible); 2) RNS de resultados de la junta: no apareció; 3) MarketScreener/Stockopedia: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2) Investing/LSE históricos: no se abren; 3) búsqueda: solo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Rolex-Bucherer (2023): precio no publicado; 2) otras compras de minoristas de relojes: sin múltiplos; 3) sin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EV/EBITDA, crecimiento y márgenes; Swatch y Pandora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Zacks/Seeking Alpha/Stock Analysis: solo PER; 3) búsqueda de Swatch y Pandora: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PER de cuatro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LSE Chat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Reddit: sin hilos; 2) Stocktwits: sin resultados; 3) LSE Chat/ADVFN: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Results (53 semanas a 3-may-2026)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https://www.thewosgroupplc.com/media/spwhxg4u/wosg-fy26-results-statement-final.pdf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https://www.investegate.co.uk/announcement/rns/watches-of-switzerland-group--wosg/fy26-results/9666649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Results (copia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https://www.marketscreener.com/news/watches-of-switzerland-fy26-results-press-release--ce7f5edcdf89f120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https://www.thewosgroupplc.com/media/qbkp2c0z/fy25-wosg-results.pdf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FY23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https://www.investegate.co.uk/announcement/rns/watches-of-switzerland-group--wosg/fy23-results-/7629618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Switzerland's FY24 revenues up but profit drops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https://fashionunited.uk/news/business/watches-of-switzerlands-fy24-revenues-up-but-profit-drops/2024062776356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FY26 slides: US overtakes UK as top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https://www.investing.com/news/company-news/watches-of-switzerland-fy26-slides-us-overtakes-uk-as-top-market-93CH-4789976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https://uk.investing.com/equities/watches-of-switzerland-group-plc-financial-summary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(LON:WOSG)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https://stockanalysis.com/quote/lon/WOSG/revenue/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FY26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https://www.thewosgroupplc.com/media/3enbieez/wosg-h1-fy26-rns-vfinal.pdf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https://www.thewosgroupplc.com/media/jfjhgnef/wosg-fy26-trading-update-rns-vfinal.pdf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https://www.thewosgroupplc.com/media/1xah51o3/wosg-agm-trading-update.pdf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Watches of Switzerland posts record H2 2026 sales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https://www.investing.com/news/transcripts/earnings-call-transcript-watches-of-switzerland-posts-record-h2-2026-sales-93CH-4789939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(marzo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https://www.investegate.co.uk/announcement/rns/watches-of-switzerland-group--wosg/transaction-in-own-shares/8797048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FY adjusted EBIT seen ahead of previous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Sharecast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https://www.sharecast.com/news/news-and-announcements/watches-of-switzerland--22487642.html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Exclusive: Watches of Switzerland held talks over potential takeover offers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WHBL)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https://whbl.com/2026/07/13/exclusive-watches-of-switzerland-held-talks-over-potential-takeover-offers-sources-say/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Watches of Switzerland maintains growth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https://www.ii.co.uk/analysis-commentary/ii-view-watches-switzerland-maintains-growth-forecasts-ii540183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compelling compounder at a retailer’s multiple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https://www.simplywall.st/narratives/z8su2ltg-a-compelling-compounder-at-a-retailers-multiple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UK Rolex seller surges after report of takeover offers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Swissinfo /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https://www.swissinfo.ch/eng/top-uk-rolex-seller-surges-after-report-of-takeover-offers/91739255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as usual for Watches of Switzerland and Swatch Group despite US tariff hike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https://usa.watchpro.com/business-as-usual-for-watches-of-switzerland-and-swatch-group-despite-us-tariff-hike/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luxury watchmakers drop after Trump tariff shock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Yahoo)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https://finance.yahoo.com/news/swiss-luxury-watchmakers-drop-trump-083202539.html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Report (informe anual 2026 y convocatoria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https://www.investegate.co.uk/announcement/rns/watches-of-switzerland-group--wosg/annual-financial-report/9701733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Non-Executive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https://www.lse.co.uk/rns/WOSG/appointment-of-non-executive-director-idf95d79ehrw9rz.html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Paul Edgecliffe-Johnson buys 7,450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https://www.defenseworld.net/2026/09/23/watches-of-switzerland-group-lonwosg-insider-paul-edgecliffe-johnson-buys-7450-shares-of-stock.html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price information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https://www.thewosgroupplc.com/investors/share-price-information/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WOSG — Watches of Switzerland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https://www.stockopedia.com/share-prices/watches-of-switzerland-LON:WOSG/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WOSG.L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https://www.etoro.com/markets/WOSG.L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cuts Watches of Switzerland on fading valuation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https://www.investing.com/news/stock-market-news/jefferies-cuts-watches-of-switzerland-on-fading-valuation-upside-shares-down-3-4785520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(BST:5WS) —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https://stockanalysis.com/quote/bst/5WS/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https://stocksguide.com/en/forecast/Watches-Of-Switzerland-Group-GB00BJDQQ870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https://www.marketscreener.com/quote/stock/WATCHES-OF-SWITZERLAND-GR-61661923/finances/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WOSG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https://www.ticker.app/lse/WOSG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keeps their Buy rating on Watches of Switzerland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https://www.theglobeandmail.com/investing/markets/stocks/WOSGF/pressreleases/4458165/barclays-keeps-their-buy-rating-on-watches-of-switzerland-group-plc-wosg/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10 year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thetrading.tools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https://www.thetrading.tools/uk-10-year-yield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quick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Asym Ventures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https://asymventures.substack.com/p/watches-of-switzerland-group-quick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vs. CFRUY: Which stock is the better value option?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https://www.nasdaq.com/articles/sig-vs-cfruy-which-stock-better-value-option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Movado Group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https://seekingalpha.com/symbol/MOV/valuation/metrics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Chow Tai Fook Jewellery Group (CJEWF)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https://stockanalysis.com/quote/otc/CJEWF/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confirme ses prévisions mais cède aux prises de profits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https://www.optionfinance.fr/info-financiere-en-continu/d/2026-09-03-watches-of-switzerland-confirme-ses-previsions-mais-cede-aux-prises-de-profits.html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analysts have raised their price target for Watches of Switzerland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https://simplywall.st/community/narratives/gb/retail/lse-wosg/watches-of-switzerland-group-shares/rtrrdqkr-wosg-sector-tailwinds-and-measured-risk-will-shape-us-expansion-strategy/updates/10-analysts-have-raised-their-price-target-for-watches-of-switz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reports strong results after takeover talks surface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Centurion Jewelry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https://news.centurionjewelry.com/articles/detail/watches-of-switzerland-reports-strong-results-after-takeover-talks-surface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71,4 %</w:t>
      </w:r>
      <w:r>
        <w:t xml:space="preserve"> · Secciones con menos del 60 % de campos cubiertos: </w:t>
      </w:r>
      <w:r>
        <w:rPr>
          <w:b/>
          <w:bCs/>
        </w:rPr>
        <w:t xml:space="preserve">gobierno, bolsa, transacciones, consenso</w:t>
      </w:r>
      <w:r>
        <w:t xml:space="preserve"> · Generado el 14 oct 2026.</w:t>
      </w:r>
    </w:p>
    <w:p>
      <w:pPr>
        <w:pStyle w:val="Nota"/>
        <w:spacing w:after="100"/>
      </w:pPr>
      <w:r>
        <w:t xml:space="preserve">Análisis hecho desde la nube con la red limitada a la búsqueda web: la web de la empresa, Investegate, Yahoo y los proveedores de datos no se pudieron abrir, así que las cifras salen de los extractos de búsqueda de los comunicados de resultados (FY23, FY25, FY26), de la actualización de la junta y de la prensa financiera, cruzadas cuando fue posible; la confianza es menor que en un análisis normal y lo que no cuadró está en null y en los huecos. Cuentas en GBP; el precio (673,5 p del 13-oct-2026, web de la empresa) se pasa a GBP. Ejercicio a finales de abril o principios de mayo, etiqueta «fin»; FY2026 tuvo 53 semanas (hasta el 3-may-2026). </w:t>
      </w:r>
      <w:r>
        <w:rPr>
          <w:b/>
        </w:rPr>
        <w:t xml:space="preserve">Base de las cifras: ajustada y antes de NIIF 16</w:t>
      </w:r>
      <w:r>
        <w:t xml:space="preserve">, la de la guía y la deuda neta de la empresa: el alquiler va dentro del EBITDA (202,2 M en FY26) y los 427,6 M de pasivos por arrendamiento no entran en el puente; sumarlos sin sacar el alquiler del EBITDA los contaría dos veces (lección de Dunelm). El beneficio neto ajustado es estimación propia (BPA ajustado × acciones medias). Balance solo de FY25-FY26: el ROIC del motor (29 %) se apoya en un capital incompleto; usamos como referencia el ROCE publicado (18 %). La serie de PER histórico es aproximada (precios de cierre de ejercicio tomados de noticias). Comparables: solo el PER de cuatro empresas, de fechas distintas.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Watches of Switzerland Group PLC (WOSG)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6,74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(3,58 – 8,02)</c:v>
                </c:pt>
                <c:pt idx="1">
                  <c:v>Comparables: PER NTM (6,09 – 9,18)</c:v>
                </c:pt>
                <c:pt idx="2">
                  <c:v>DCF (WACC y g ± 0,5) (5,31 – 6,33)</c:v>
                </c:pt>
                <c:pt idx="3">
                  <c:v>Escenarios (bajista – alcista) (3,84 – 6,70)</c:v>
                </c:pt>
                <c:pt idx="4">
                  <c:v>DCF con la prima implícita del mercado (4,2 %)</c:v>
                </c:pt>
                <c:pt idx="5">
                  <c:v>Precio actual (6,74)</c:v>
                </c:pt>
              </c:strCache>
            </c:strRef>
          </c:cat>
          <c:val>
            <c:numRef>
              <c:f>Hoja1!$B$2:$B$7</c:f>
              <c:numCache>
                <c:formatCode>#,##0.00</c:formatCode>
                <c:ptCount val="6"/>
                <c:pt idx="0">
                  <c:v>3.58</c:v>
                </c:pt>
                <c:pt idx="1">
                  <c:v>6.09</c:v>
                </c:pt>
                <c:pt idx="2">
                  <c:v>5.31</c:v>
                </c:pt>
                <c:pt idx="3">
                  <c:v>3.84</c:v>
                </c:pt>
                <c:pt idx="4">
                  <c:v>6.43</c:v>
                </c:pt>
                <c:pt idx="5">
                  <c:v>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(3,58 – 8,02)</c:v>
                </c:pt>
                <c:pt idx="1">
                  <c:v>Comparables: PER NTM (6,09 – 9,18)</c:v>
                </c:pt>
                <c:pt idx="2">
                  <c:v>DCF (WACC y g ± 0,5) (5,31 – 6,33)</c:v>
                </c:pt>
                <c:pt idx="3">
                  <c:v>Escenarios (bajista – alcista) (3,84 – 6,70)</c:v>
                </c:pt>
                <c:pt idx="4">
                  <c:v>DCF con la prima implícita del mercado (4,2 %)</c:v>
                </c:pt>
                <c:pt idx="5">
                  <c:v>Precio actual (6,74)</c:v>
                </c:pt>
              </c:strCache>
            </c:strRef>
          </c:cat>
          <c:val>
            <c:numRef>
              <c:f>Hoja1!$C$2:$C$7</c:f>
              <c:numCache>
                <c:formatCode>#,##0.00</c:formatCode>
                <c:ptCount val="6"/>
                <c:pt idx="0">
                  <c:v>4.4399999999999995</c:v>
                </c:pt>
                <c:pt idx="1">
                  <c:v>3.09</c:v>
                </c:pt>
                <c:pt idx="2">
                  <c:v>1.0200000000000005</c:v>
                </c:pt>
                <c:pt idx="3">
                  <c:v>2.8600000000000003</c:v>
                </c:pt>
                <c:pt idx="4">
                  <c:v>0.9000000000000004</c:v>
                </c:pt>
                <c:pt idx="5">
                  <c:v>0.0699999999999994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Reino Unido y Europa</c:v>
                </c:pt>
              </c:strCache>
            </c:strRef>
          </c:cat>
          <c:val>
            <c:numRef>
              <c:f>Hoja1!$B$2:$B$3</c:f>
              <c:numCache>
                <c:formatCode>0"%"</c:formatCode>
                <c:ptCount val="2"/>
                <c:pt idx="0">
                  <c:v>51</c:v>
                </c:pt>
                <c:pt idx="1">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1</c:v>
                </c:pt>
                <c:pt idx="2">
                  <c:v>5</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Watches of Switzerland</c:v>
                </c:pt>
                <c:pt idx="1">
                  <c:v>Bucherer (Rolex)</c:v>
                </c:pt>
                <c:pt idx="2">
                  <c:v>Signet Jewelers</c:v>
                </c:pt>
                <c:pt idx="3">
                  <c:v>Chow Tai Fook</c:v>
                </c:pt>
                <c:pt idx="4">
                  <c:v>Boutiques propias de las marcas (Richemont, Swatch)</c:v>
                </c:pt>
              </c:strCache>
            </c:strRef>
          </c:cat>
          <c:val>
            <c:numRef>
              <c:f>Hoja1!$B$2:$B$6</c:f>
              <c:numCache>
                <c:formatCode>0.0"%"</c:formatCode>
                <c:ptCount val="5"/>
                <c:pt idx="0">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Hoja1!$B$2:$B$14</c:f>
              <c:numCache>
                <c:formatCode>#,##0</c:formatCode>
                <c:ptCount val="13"/>
                <c:pt idx="0">
                  <c:v>1234</c:v>
                </c:pt>
                <c:pt idx="1">
                  <c:v>1543</c:v>
                </c:pt>
                <c:pt idx="2">
                  <c:v>1538</c:v>
                </c:pt>
                <c:pt idx="3">
                  <c:v>1651.5</c:v>
                </c:pt>
                <c:pt idx="4">
                  <c:v>1827.9</c:v>
                </c:pt>
                <c:pt idx="5">
                  <c:v>1956</c:v>
                </c:pt>
                <c:pt idx="6">
                  <c:v>2093</c:v>
                </c:pt>
                <c:pt idx="7">
                  <c:v>2218</c:v>
                </c:pt>
                <c:pt idx="8">
                  <c:v>2329</c:v>
                </c:pt>
                <c:pt idx="9">
                  <c:v>2434</c:v>
                </c:pt>
                <c:pt idx="10">
                  <c:v>2531</c:v>
                </c:pt>
                <c:pt idx="11">
                  <c:v>2620</c:v>
                </c:pt>
                <c:pt idx="12">
                  <c:v>2699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Hoja1!$C$2:$C$14</c:f>
              <c:numCache>
                <c:formatCode>#,##0</c:formatCode>
                <c:ptCount val="13"/>
                <c:pt idx="3">
                  <c:v>192.3</c:v>
                </c:pt>
                <c:pt idx="4">
                  <c:v>202.2</c:v>
                </c:pt>
                <c:pt idx="5">
                  <c:v>227</c:v>
                </c:pt>
                <c:pt idx="6">
                  <c:v>249</c:v>
                </c:pt>
                <c:pt idx="7">
                  <c:v>266</c:v>
                </c:pt>
                <c:pt idx="8">
                  <c:v>280</c:v>
                </c:pt>
                <c:pt idx="9">
                  <c:v>292</c:v>
                </c:pt>
                <c:pt idx="10">
                  <c:v>304</c:v>
                </c:pt>
                <c:pt idx="11">
                  <c:v>314</c:v>
                </c:pt>
                <c:pt idx="12">
                  <c:v>324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11.6</c:v>
                </c:pt>
                <c:pt idx="4">
                  <c:v>11.1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10.5</c:v>
                </c:pt>
                <c:pt idx="1">
                  <c:v>10.7</c:v>
                </c:pt>
                <c:pt idx="2">
                  <c:v>8.8</c:v>
                </c:pt>
                <c:pt idx="3">
                  <c:v>9.1</c:v>
                </c:pt>
                <c:pt idx="4">
                  <c:v>8.5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8.1</c:v>
                </c:pt>
                <c:pt idx="1">
                  <c:v>8.1</c:v>
                </c:pt>
                <c:pt idx="2">
                  <c:v>5.8</c:v>
                </c:pt>
                <c:pt idx="3">
                  <c:v>5.9</c:v>
                </c:pt>
                <c:pt idx="4">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1S26</c:v>
                </c:pt>
                <c:pt idx="2">
                  <c:v>2S26</c:v>
                </c:pt>
              </c:strCache>
            </c:strRef>
          </c:cat>
          <c:val>
            <c:numRef>
              <c:f>Hoja1!$B$2:$B$4</c:f>
              <c:numCache>
                <c:formatCode>0.0"%"</c:formatCode>
                <c:ptCount val="3"/>
                <c:pt idx="1">
                  <c:v>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FY2026</c:v>
                </c:pt>
              </c:strCache>
            </c:strRef>
          </c:cat>
          <c:val>
            <c:numRef>
              <c:f>Hoja1!$B$2</c:f>
              <c:numCache>
                <c:formatCode>#,##0</c:formatCode>
                <c:ptCount val="1"/>
                <c:pt idx="0">
                  <c:v>161.7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FY2026</c:v>
                </c:pt>
              </c:strCache>
            </c:strRef>
          </c:cat>
          <c:val>
            <c:numRef>
              <c:f>Hoja1!$C$2</c:f>
              <c:numCache>
                <c:formatCode>#,##0</c:formatCode>
                <c:ptCount val="1"/>
                <c:pt idx="0">
                  <c:v>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224.5</c:v>
                </c:pt>
                <c:pt idx="4">
                  <c:v>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12.1</c:v>
                </c:pt>
                <c:pt idx="1">
                  <c:v>12.1</c:v>
                </c:pt>
                <c:pt idx="2">
                  <c:v>12.1</c:v>
                </c:pt>
                <c:pt idx="3">
                  <c:v>12.1</c:v>
                </c:pt>
                <c:pt idx="4">
                  <c:v>12.1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4">
                  <c:v>33.4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3">
                  <c:v>0.5</c:v>
                </c:pt>
                <c:pt idx="4">
                  <c:v>0.28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74</c:v>
                </c:pt>
                <c:pt idx="1">
                  <c:v>107</c:v>
                </c:pt>
                <c:pt idx="2">
                  <c:v>117</c:v>
                </c:pt>
                <c:pt idx="3">
                  <c:v>137</c:v>
                </c:pt>
                <c:pt idx="4">
                  <c:v>145</c:v>
                </c:pt>
                <c:pt idx="5">
                  <c:v>152</c:v>
                </c:pt>
                <c:pt idx="6">
                  <c:v>159</c:v>
                </c:pt>
                <c:pt idx="7">
                  <c:v>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654</c:v>
                </c:pt>
                <c:pt idx="1">
                  <c:v>749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6,74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3.84</c:v>
                </c:pt>
                <c:pt idx="1">
                  <c:v>5.76</c:v>
                </c:pt>
                <c:pt idx="2">
                  <c:v>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6,74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(3,58 – 8,02)</c:v>
                </c:pt>
                <c:pt idx="1">
                  <c:v>Comparables: PER NTM (6,09 – 9,18)</c:v>
                </c:pt>
                <c:pt idx="2">
                  <c:v>DCF (WACC y g ± 0,5) (5,31 – 6,33)</c:v>
                </c:pt>
                <c:pt idx="3">
                  <c:v>Escenarios (bajista – alcista) (3,84 – 6,70)</c:v>
                </c:pt>
                <c:pt idx="4">
                  <c:v>DCF con la prima implícita del mercado (4,2 %)</c:v>
                </c:pt>
                <c:pt idx="5">
                  <c:v>Precio actual (6,74)</c:v>
                </c:pt>
              </c:strCache>
            </c:strRef>
          </c:cat>
          <c:val>
            <c:numRef>
              <c:f>Hoja1!$B$2:$B$7</c:f>
              <c:numCache>
                <c:formatCode>#,##0.00</c:formatCode>
                <c:ptCount val="6"/>
                <c:pt idx="0">
                  <c:v>3.58</c:v>
                </c:pt>
                <c:pt idx="1">
                  <c:v>6.09</c:v>
                </c:pt>
                <c:pt idx="2">
                  <c:v>5.31</c:v>
                </c:pt>
                <c:pt idx="3">
                  <c:v>3.84</c:v>
                </c:pt>
                <c:pt idx="4">
                  <c:v>6.43</c:v>
                </c:pt>
                <c:pt idx="5">
                  <c:v>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(3,58 – 8,02)</c:v>
                </c:pt>
                <c:pt idx="1">
                  <c:v>Comparables: PER NTM (6,09 – 9,18)</c:v>
                </c:pt>
                <c:pt idx="2">
                  <c:v>DCF (WACC y g ± 0,5) (5,31 – 6,33)</c:v>
                </c:pt>
                <c:pt idx="3">
                  <c:v>Escenarios (bajista – alcista) (3,84 – 6,70)</c:v>
                </c:pt>
                <c:pt idx="4">
                  <c:v>DCF con la prima implícita del mercado (4,2 %)</c:v>
                </c:pt>
                <c:pt idx="5">
                  <c:v>Precio actual (6,74)</c:v>
                </c:pt>
              </c:strCache>
            </c:strRef>
          </c:cat>
          <c:val>
            <c:numRef>
              <c:f>Hoja1!$C$2:$C$7</c:f>
              <c:numCache>
                <c:formatCode>#,##0.00</c:formatCode>
                <c:ptCount val="6"/>
                <c:pt idx="0">
                  <c:v>4.4399999999999995</c:v>
                </c:pt>
                <c:pt idx="1">
                  <c:v>3.09</c:v>
                </c:pt>
                <c:pt idx="2">
                  <c:v>1.0200000000000005</c:v>
                </c:pt>
                <c:pt idx="3">
                  <c:v>2.8600000000000003</c:v>
                </c:pt>
                <c:pt idx="4">
                  <c:v>0.9000000000000004</c:v>
                </c:pt>
                <c:pt idx="5">
                  <c:v>0.0699999999999994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