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Orange SA</w:t>
      </w:r>
    </w:p>
    <w:p>
      <w:pPr>
        <w:spacing w:after="60"/>
        <w:rPr>
          <w:color w:val="52514E"/>
          <w:sz w:val="22"/>
          <w:szCs w:val="22"/>
        </w:rPr>
      </w:pPr>
      <w:r>
        <w:rPr>
          <w:color w:val="52514E"/>
          <w:sz w:val="22"/>
          <w:szCs w:val="22"/>
        </w:rPr>
        <w:t xml:space="preserve">ORA · Euronext París · ISIN FR0000133308 · Communication Services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14,20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13,32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-0,9 % (base +4,2 %)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20,55 EUR · mercado 25,75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37.670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5,3x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Orange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ORA / FR0000133308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Communication Services / Integrated Telecommunication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Issy-les-Moulineaux, Francia · 1991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https://www.orange.com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13,49 – 18,81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37.670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95.963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78,2 M EUR/día (3 meses; 5,1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13,32 EUR</w:t>
      </w:r>
      <w:r>
        <w:t xml:space="preserve"> frente a 14,20 · Rentabilidad a 12 meses </w:t>
      </w:r>
      <w:r>
        <w:rPr>
          <w:b/>
          <w:bCs/>
        </w:rPr>
        <w:t xml:space="preserve">-0,9 % (base +4,2 %)</w:t>
      </w:r>
      <w:r>
        <w:t xml:space="preserve"> · Valor intrínseco 20,55 EUR · con la prima implícita del mercado: 25,75 (+81,3 %) · Alcista / bajista +73,8 % / -31,4 %</w:t>
      </w:r>
    </w:p>
    <w:p>
      <w:pPr>
        <w:spacing w:after="100"/>
      </w:pPr>
      <w:r>
        <w:rPr>
          <w:b/>
        </w:rPr>
        <w:t xml:space="preserve">La recomendación y por qué.</w:t>
      </w:r>
      <w:r>
        <w:t xml:space="preserve"> Mantener, con convicción media. La regla a 12 meses da un objetivo ponderado de 13,32 € (−0,9 % con dividendo; +4,2 % el base; la v2, +0,3 %) frente a un precio de 14,20 € (cierre del 19-oct-2026 en Euronext París, subasta de las 17:35 CEST; hoy, 20-oct, 14,29 € a media sesión) [22, 23]. El base es un PER de 11,8x por un BPA ajustado de 2028e de 1,19 €, el que promete el plan «Trust the future» [7]: no hay recorrido porque la acción, tras subir un 56 % en 2025, ya cotiza por encima de su PER histórico (12,7x frente a 11,0x). Con un BPA un 10 % menor la ponderada cae al −10 %. Compraríamos por debajo de 12,23 € (11,08 € con la prueba de robustez). La convicción es media porque las dos reglas (absoluta y relativa) coinciden y el precio está lejos de los umbrales, pero el valor real depende mucho de la tasa libre (Bund u OAT). La convicción subiría con unos resultados del 27-oct que confirmen la guía y una revisión de Moody's sin rebaja; bajaría si el Estado anuncia otra venta o el presupuesto deja la CEB en 2028.</w:t>
      </w:r>
    </w:p>
    <w:p>
      <w:pPr>
        <w:spacing w:after="100"/>
      </w:pPr>
      <w:r>
        <w:rPr>
          <w:b/>
        </w:rPr>
        <w:t xml:space="preserve">Por qué ha caído un 24 %.</w:t>
      </w:r>
      <w:r>
        <w:t xml:space="preserve"> Del máximo de 18,81 € (20-may) a 14,20 €; desde el 31-jul, un 14,3 % frente al −1,5 % del STOXX 600 [23]. Es mitad riesgo país y mitad causas propias. Francia: la OAT a 10 años ha subido a ≈ 4,85-4,9 % con el diferencial con el Bund en 142-147 pb (máximos desde 2011-2012), el CAC 40 cae un 7,5 % y Bouygues un 16,2 %; el proyecto de presupuesto 2027 prorroga la contribución excepcional sobre el beneficio de las grandes empresas y Moody's revisa a Francia el 23-oct [29]. Propias: la venta del 2,5 % de Bpifrance a 16,57 € (31-jul), la rebaja de Morgan Stanley por España y la deuda (18-sep, −5,8 %), el miedo a los agentes de compra con IA (22-sep) y Starlink como operador móvil (9-oct) [15, 17]. Deutsche Telekom y Telefónica solo caen un 4-6 %.</w:t>
      </w:r>
    </w:p>
    <w:p>
      <w:pPr>
        <w:spacing w:after="100"/>
      </w:pPr>
      <w:r>
        <w:rPr>
          <w:b/>
        </w:rPr>
        <w:t xml:space="preserve">Exposición a Francia y canales.</w:t>
      </w:r>
      <w:r>
        <w:t xml:space="preserve"> Francia es el 43 % de las ventas y el 52 % del EBITDAaL de 2025 (≈ 36 % y 44 % con España todo el año), más Orange Business, sobre todo francés [1]. Canales, de más a menos: impuestos (la CEB cuesta ≈ 0,10 € de BPA al año), el Estado como vendedor de acciones (bloqueo de Bpifrance hasta ≈ el 2-nov), el recorte del gasto público (Orange Business −3,1 % en el 1S26), el consumo (poco elástico) y, el menor, el coste de la deuda (tipo fijo, ≈ 3.000 M de vencimientos al año, bonos de septiembre al 3,625-4,5 %) [4, 10]. Las tarifas minoristas no están reguladas.</w:t>
      </w:r>
    </w:p>
    <w:p>
      <w:pPr>
        <w:spacing w:after="100"/>
      </w:pPr>
      <w:r>
        <w:rPr>
          <w:b/>
        </w:rPr>
        <w:t xml:space="preserve">El negocio.</w:t>
      </w:r>
      <w:r>
        <w:t xml:space="preserve"> Orange es el antiguo monopolio francés: 300 M de clientes en 26 países, con Francia, África y Oriente Medio (21 % de las ventas, +12 % al año), Europa, España (MasOrange al 100 % desde junio) y servicios a empresas [1]. </w:t>
      </w:r>
      <w:r>
        <w:rPr>
          <w:b/>
        </w:rPr>
        <w:t xml:space="preserve">Calidad: no llega.</w:t>
      </w:r>
      <w:r>
        <w:t xml:space="preserve"> ROIC del 5,1 % frente a un WACC del 6,46 % (−1,4 puntos), lo normal en las telecos europeas; sostenibilidad del crecimiento «en parte»: el crecimiento de 2026-2027 es la compra de España [1].</w:t>
      </w:r>
    </w:p>
    <w:p>
      <w:pPr>
        <w:spacing w:after="100"/>
      </w:pPr>
      <w:r>
        <w:rPr>
          <w:b/>
        </w:rPr>
        <w:t xml:space="preserve">Finanzas.</w:t>
      </w:r>
      <w:r>
        <w:t xml:space="preserve"> Ventas de 40.396 M en 2025 (+0,9 % comparable) y EBITDAaL de 12.470 M (+3,8 %); BPA publicado de 0,14 € por el plan de prejubilaciones (GEPP) y ajustado de 0,86 € [6]. En el 1S26 el EBITDAaL creció un 5,0 % y Orange subió la guía de 2026 a más del +4 % [4]. Deuda neta de 35.683 M a junio (2,4 veces el EBITDAaL) tras MasOrange; nota BBB+/Baa1/BBB+ estable. Dividendo de 0,79 € por 2026 (5,6 %). Resultados del 3T26 el 27-oct.</w:t>
      </w:r>
    </w:p>
    <w:p>
      <w:pPr>
        <w:spacing w:after="100"/>
      </w:pPr>
      <w:r>
        <w:rPr>
          <w:b/>
        </w:rPr>
        <w:t xml:space="preserve">Equipo y gobierno.</w:t>
      </w:r>
      <w:r>
        <w:t xml:space="preserve"> Christel Heydemann cumplió el plan 2023-2025 y compró acciones en mayo y en septiembre (a 13,73 €) [19]. El Estado y Bpifrance tienen ≈ 20 % del capital y ≈ 27 % de los votos por los derechos dobles; Bpifrance vendió en julio y puede volver a vender [17].</w:t>
      </w:r>
    </w:p>
    <w:p>
      <w:pPr>
        <w:spacing w:after="100"/>
      </w:pPr>
      <w:r>
        <w:rPr>
          <w:b/>
        </w:rPr>
        <w:t xml:space="preserve">Valoración.</w:t>
      </w:r>
      <w:r>
        <w:t xml:space="preserve"> El DCF da 21,39 € con el Bund (3,49 %) y un WACC del 6,46 %; con la OAT (4,85 %) baja a 16,73 € (−22 %) y el valor real de 20,55 € a 16,04 € [26, 29]. El precio equivale a ventas planas hasta 2033 o a una rentabilidad del 7,5 %. Nuestro BPA ajustado de 2028e queda un 7 % por debajo del consenso publicado (1,285 €) y nuestro base (14,04 €) un 26 % por debajo del objetivo medio de los analistas (18,99 €) [24].</w:t>
      </w:r>
    </w:p>
    <w:p>
      <w:pPr>
        <w:spacing w:after="100"/>
      </w:pPr>
      <w:r>
        <w:rPr>
          <w:b/>
        </w:rPr>
        <w:t xml:space="preserve">Riesgos y catalizadores.</w:t>
      </w:r>
      <w:r>
        <w:t xml:space="preserve"> Riesgos: Francia (impuestos, nota, presupuesto), una nueva venta del Estado, la competencia en Francia y España, la deuda tras MasOrange y SFR, y Starlink. </w:t>
      </w:r>
      <w:r>
        <w:rPr>
          <w:b/>
        </w:rPr>
        <w:t xml:space="preserve">Riesgo de IA: medio</w:t>
      </w:r>
      <w:r>
        <w:t xml:space="preserve">, mixto (precios presionados por agentes de compra; ahorro de costes). Catalizadores: Moody's (23-oct), resultados (27-oct), fin del bloqueo de Bpifrance (≈ 2-nov), dividendo a cuenta (3-dic) y la firma del reparto de SFR. Veredicto de precio y noticias: retrasa hasta el 3-nov. Sentimiento: dividido [30].</w:t>
      </w:r>
    </w:p>
    <w:p>
      <w:pPr>
        <w:spacing w:after="100"/>
      </w:pPr>
      <w:r>
        <w:rPr>
          <w:b/>
        </w:rPr>
        <w:t xml:space="preserve">Qué cambiaría la decisión.</w:t>
      </w:r>
      <w:r>
        <w:t xml:space="preserve"> La regla compra por debajo de 12,23 € y vende por encima de 15,63 €. Una CEB prorrogada en 2028 o una deuda neta por encima de 2,5 veces el EBITDAaL a fin de 2026 nos haría bajar el base; la firma de SFR y la guía de BPA confirmada, subir el alcista.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13,32 EUR</w:t>
      </w:r>
      <w:r>
        <w:t xml:space="preserve"> (rentabilidad -0,9 % (base +4,2 %)) · Valor intrínseco: 20,55 EUR (+44,7 % sobre 14,20) · con la prima implícita del mercado: 25,75 (+81,3 %)</w:t>
      </w:r>
    </w:p>
    <w:p>
      <w:pPr>
        <w:spacing w:after="100"/>
      </w:pPr>
      <w:r>
        <w:t xml:space="preserve">Orange es una teleco sólida y barata frente a lo que vale su red (6,5 veces el EBITDA, con compras del sector a 7-9 veces), pero no frente a su propia historia de beneficio: a 14,20 € paga 12,7 veces el BPA ajustado de 2027e, más que su mediana de 11 veces [23].</w:t>
      </w:r>
    </w:p>
    <w:p>
      <w:pPr>
        <w:spacing w:after="100"/>
      </w:pPr>
      <w:r>
        <w:t xml:space="preserve">El plan promete un BPA ajustado de ≈ 1,15 € en 2028 (+10 % anual) con España integrada y menos inversión; el riesgo de Francia (impuestos, nota, el Estado vendiendo) explica la mitad de la caída desde julio.</w:t>
      </w:r>
    </w:p>
    <w:p>
      <w:pPr>
        <w:spacing w:after="100"/>
      </w:pPr>
      <w:r>
        <w:t xml:space="preserve">A este precio el recorrido a 12 meses depende de que el mercado vuelva a pagar 13-15 veces, y eso no lo suponemos. Por debajo de 12,2 € la cuenta cambia.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0,91 = 8,65 · 11,8x × 1,19 = 14,04 · 11,9x × 1,39 = 16,54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 /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 (nuestro base -26,1 %)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73,8 % / -31,4 %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6,5 % y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 frente a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12,23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12,23 y 15,63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15,63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Mantener: objetivo ponderado de 13,32 € (−0,9 % con dividendo; base +4,2 %; v2 +0,3 %). El base pide un PER de 11,8x, por debajo del actual (12,7x) y por encima de la mediana histórica (11,0x), sobre un BPA ajustado de 2028e de 1,19 €, el que promete el plan. El valor real (DCF 60 % + escenarios 40 %) es de 20,55 €, un 45 % por encima del precio, pero se apoya en un WACC bajo y en una mejora de márgenes que el ROIC (5,1 %, por debajo del WACC) todavía no muestra; con la OAT como tasa libre baja a 16,04 €. Además, el veredicto de precio y noticias es «retrasa» hasta el 3-nov (Moody's y el fin del bloqueo de Bpifrance).</w:t>
      </w:r>
    </w:p>
    <w:p>
      <w:pPr>
        <w:pStyle w:val="Heading2"/>
      </w:pPr>
      <w:r>
        <w:t xml:space="preserve">Qué cambiaría la recomendación</w:t>
      </w:r>
    </w:p>
    <w:p>
      <w:pPr>
        <w:pStyle w:val="ListParagraph"/>
        <w:numPr>
          <w:ilvl w:val="0"/>
          <w:numId w:val="2"/>
        </w:numPr>
        <w:spacing w:after="60"/>
      </w:pPr>
      <w:r>
        <w:t xml:space="preserve">Precio por debajo de 12,23 € con la guía intacta: Comprar (por debajo de 11,08 € con la prueba de robustez).</w:t>
      </w:r>
    </w:p>
    <w:p>
      <w:pPr>
        <w:pStyle w:val="ListParagraph"/>
        <w:numPr>
          <w:ilvl w:val="0"/>
          <w:numId w:val="2"/>
        </w:numPr>
        <w:spacing w:after="60"/>
      </w:pPr>
      <w:r>
        <w:t xml:space="preserve">Precio por encima de 15,63 €: Vender.</w:t>
      </w:r>
    </w:p>
    <w:p>
      <w:pPr>
        <w:pStyle w:val="ListParagraph"/>
        <w:numPr>
          <w:ilvl w:val="0"/>
          <w:numId w:val="2"/>
        </w:numPr>
        <w:spacing w:after="60"/>
      </w:pPr>
      <w:r>
        <w:t xml:space="preserve">CEB prorrogada en 2028 o rebaja de la nota de Orange: bajaríamos el base.</w:t>
      </w:r>
    </w:p>
    <w:p>
      <w:pPr>
        <w:pStyle w:val="ListParagraph"/>
        <w:numPr>
          <w:ilvl w:val="0"/>
          <w:numId w:val="2"/>
        </w:numPr>
        <w:spacing w:after="60"/>
      </w:pPr>
      <w:r>
        <w:t xml:space="preserve">Firma de SFR sin remedios duros y sinergias de España confirmadas: subiríamos el alcista.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Orange no crece (ventas planas hasta 2033 en el DCF inverso) y que Francia le costará más impuestos y más deuda cara; los analistas, en cambio, ven un 34 % de recorrido.</w:t>
      </w:r>
    </w:p>
    <w:p>
      <w:pPr>
        <w:keepNext/>
        <w:spacing w:after="100"/>
      </w:pPr>
      <w:r>
        <w:rPr>
          <w:b/>
          <w:bCs/>
        </w:rPr>
        <w:t xml:space="preserve">Lo que creemos nosotros.</w:t>
      </w:r>
    </w:p>
    <w:p>
      <w:pPr>
        <w:spacing w:after="100"/>
      </w:pPr>
      <w:r>
        <w:t xml:space="preserve">El beneficio ajustado sí crece (≈ 10 % anual hasta 2028) y el valor a largo plazo es mayor que el precio, pero a 12 meses el múltiplo ya está por encima de su historia: sin subida del PER no hay recorrido.</w:t>
      </w:r>
    </w:p>
    <w:p>
      <w:pPr>
        <w:keepNext/>
        <w:spacing w:after="100"/>
      </w:pPr>
      <w:r>
        <w:rPr>
          <w:b/>
          <w:bCs/>
        </w:rPr>
        <w:t xml:space="preserve">Por qué podemos tener razón.</w:t>
      </w:r>
    </w:p>
    <w:p>
      <w:pPr>
        <w:spacing w:after="100"/>
      </w:pPr>
      <w:r>
        <w:t xml:space="preserve">Guía de 2026 subida en julio y plan cumplido en 2023-2025 [4, 7]; pero un PER de 12,7x frente a 11,0x de mediana y un ROIC por debajo del WACC [1, 23].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4,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Dividendo</w:t>
      </w:r>
      <w:r>
        <w:t xml:space="preserve">: 0,79 € por 2026 (5,6 %) y mínimo de 0,85 € en 2028 [4, 7].</w:t>
      </w:r>
    </w:p>
    <w:p>
      <w:pPr>
        <w:pStyle w:val="ListParagraph"/>
        <w:numPr>
          <w:ilvl w:val="0"/>
          <w:numId w:val="2"/>
        </w:numPr>
        <w:spacing w:after="60"/>
      </w:pPr>
      <w:r>
        <w:rPr>
          <w:b/>
        </w:rPr>
        <w:t xml:space="preserve">Guía cumplida y subida</w:t>
      </w:r>
      <w:r>
        <w:t xml:space="preserve">: plan 2023-2025 cumplido y EBITDAaL de 2026 por encima del +4 % [4].</w:t>
      </w:r>
    </w:p>
    <w:p>
      <w:pPr>
        <w:pStyle w:val="ListParagraph"/>
        <w:numPr>
          <w:ilvl w:val="0"/>
          <w:numId w:val="2"/>
        </w:numPr>
        <w:spacing w:after="60"/>
      </w:pPr>
      <w:r>
        <w:rPr>
          <w:b/>
        </w:rPr>
        <w:t xml:space="preserve">Consolidación</w:t>
      </w:r>
      <w:r>
        <w:t xml:space="preserve">: España al 100 % y reparto de SFR que dejaría tres operadores en Francia [11, 12].</w:t>
      </w:r>
    </w:p>
    <w:p>
      <w:pPr>
        <w:pStyle w:val="ListParagraph"/>
        <w:numPr>
          <w:ilvl w:val="0"/>
          <w:numId w:val="2"/>
        </w:numPr>
        <w:spacing w:after="60"/>
      </w:pPr>
      <w:r>
        <w:rPr>
          <w:b/>
        </w:rPr>
        <w:t xml:space="preserve">Directivos comprando</w:t>
      </w:r>
      <w:r>
        <w:t xml:space="preserve"> tras la caída: la consejera delegada a 13,73 € el 29-sep [19].</w:t>
      </w:r>
    </w:p>
    <w:p>
      <w:pPr>
        <w:pStyle w:val="Heading2"/>
      </w:pPr>
      <w:r>
        <w:t xml:space="preserve">En contra</w:t>
      </w:r>
    </w:p>
    <w:p>
      <w:pPr>
        <w:pStyle w:val="ListParagraph"/>
        <w:numPr>
          <w:ilvl w:val="0"/>
          <w:numId w:val="2"/>
        </w:numPr>
        <w:spacing w:after="60"/>
      </w:pPr>
      <w:r>
        <w:rPr>
          <w:b/>
        </w:rPr>
        <w:t xml:space="preserve">Riesgo país</w:t>
      </w:r>
      <w:r>
        <w:t xml:space="preserve">: CEB, presupuesto 2027 y nota de Francia en revisión; con la OAT el valor real baja un 22 % [29].</w:t>
      </w:r>
    </w:p>
    <w:p>
      <w:pPr>
        <w:pStyle w:val="ListParagraph"/>
        <w:numPr>
          <w:ilvl w:val="0"/>
          <w:numId w:val="2"/>
        </w:numPr>
        <w:spacing w:after="60"/>
      </w:pPr>
      <w:r>
        <w:rPr>
          <w:b/>
        </w:rPr>
        <w:t xml:space="preserve">El Estado vende</w:t>
      </w:r>
      <w:r>
        <w:t xml:space="preserve">: Bpifrance colocó el 2,5 % en julio y su bloqueo vence ≈ el 2-nov [17].</w:t>
      </w:r>
    </w:p>
    <w:p>
      <w:pPr>
        <w:pStyle w:val="ListParagraph"/>
        <w:numPr>
          <w:ilvl w:val="0"/>
          <w:numId w:val="2"/>
        </w:numPr>
        <w:spacing w:after="60"/>
      </w:pPr>
      <w:r>
        <w:rPr>
          <w:b/>
        </w:rPr>
        <w:t xml:space="preserve">Deuda</w:t>
      </w:r>
      <w:r>
        <w:t xml:space="preserve">: 2,4 veces el EBITDAaL tras MasOrange, más SFR en 2027 [4].</w:t>
      </w:r>
    </w:p>
    <w:p>
      <w:pPr>
        <w:pStyle w:val="ListParagraph"/>
        <w:numPr>
          <w:ilvl w:val="0"/>
          <w:numId w:val="2"/>
        </w:numPr>
        <w:spacing w:after="60"/>
      </w:pPr>
      <w:r>
        <w:rPr>
          <w:b/>
        </w:rPr>
        <w:t xml:space="preserve">Calidad</w:t>
      </w:r>
      <w:r>
        <w:t xml:space="preserve">: ROIC del 5 %, por debajo del WACC [1].</w:t>
      </w:r>
    </w:p>
    <w:p>
      <w:pPr>
        <w:pStyle w:val="Heading2"/>
      </w:pPr>
      <w:r>
        <w:t xml:space="preserve">Qué tiene que pasar para que la tesis funcione</w:t>
      </w:r>
    </w:p>
    <w:p>
      <w:pPr>
        <w:spacing w:after="100"/>
      </w:pPr>
      <w:r>
        <w:t xml:space="preserve">Los resultados del 27-oct (guía de EBITDAaL y deuda neta con España), la nota de Moody's del 23-oct y si el Estado vende más acciones tras el ≈ 2-nov. La tesis de Mantener falla al alza si la acción baja de 12,2 € sin cambio en el BPA, y a la baja si el presupuesto deja la CEB en 2028 o la deuda neta pasa de 2,5 veces.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EBITDAaL comparable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en el 1S26; guía &gt; +4 %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del plan.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 a jun-26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2,5x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BBB+ y coste de la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Diferencial OAT-Bund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142 pb (19-oct) [29]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175 pb</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 del riesgo país al WACC y a la fiscalidad.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 Bpifrance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 [17]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 colocación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vendedora del Estado.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Francia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en el 1S26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Negativas sin el efecto excepcional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52 % del EBITDAaL.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6,5x / 5,3x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Orange es el antiguo monopolio telefónico francés: nace del Ministerio de Correos, Telégrafos y Teléfonos, se llama France Télécom desde 1991, es sociedad anónima desde 1996 y sale a bolsa en 1997 [1]. El Estado bajó su parte de forma escalonada del 100 % al ≈ 23 % del capital a fin de 2025 (29 % de los votos por los derechos dobles) [1]. En 2000 compró Orange (Reino Unido) y en 2013 tomó ese nombre para todo el grupo [1]. Desde 2023 la estrategia es concentrarse en las redes de Europa y África y consolidar mercados: fusión en España con MásMóvil (2024), compra del 100 % de MasOrange (2026) y reparto de SFR en Francia (pendiente) [1, 7,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 Télécom se separa de la administración de Correos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París y Nueva York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Orange plc a Vodafone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adopta la marca Orange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TOTEM (torres) y venta del 50 % de Orange Concessions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Orange España y MásMóvil en MasOrange (50 %); salida de la Bolsa de Nueva York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«Trust the future»; compra del 100 % de MasOrange; protocolo para repartirse SFR con Bouygues e Iliad [7, 12].</w:t>
            </w:r>
          </w:p>
        </w:tc>
      </w:tr>
    </w:tbl>
    <w:p>
      <w:pPr>
        <w:spacing w:after="160" w:before="0"/>
      </w:pPr>
    </w:p>
    <w:p>
      <w:pPr>
        <w:pStyle w:val="Heading1"/>
      </w:pPr>
      <w:r>
        <w:t xml:space="preserve">2. Modelo de negocio</w:t>
      </w:r>
    </w:p>
    <w:p>
      <w:pPr>
        <w:spacing w:after="100"/>
      </w:pPr>
      <w:r>
        <w:t xml:space="preserve">Orange es el primer operador de telecomunicaciones de Francia y uno de los mayores de Europa y África: 300 millones de clientes en 26 países, 123.500 empleados y 40.396 M de ventas en 2025 [1]. Vende móvil, fibra y paquetes convergentes a particulares, redes y servicios de TI a empresas (Orange Business, con Orange Cyberdefense) y alquila su red a otros operadores [1]. Con la integración de MasOrange (España, ≈ 7.600 M de ventas) las ventas de 2026 rondarán los 45.800 M [4].</w:t>
      </w:r>
    </w:p>
    <w:p>
      <w:pPr>
        <w:pStyle w:val="Heading2"/>
      </w:pPr>
      <w:r>
        <w:t xml:space="preserve">Cómo gana dinero</w:t>
      </w:r>
    </w:p>
    <w:p>
      <w:pPr>
        <w:spacing w:after="100"/>
      </w:pPr>
      <w:r>
        <w:t xml:space="preserve">Ingresos por suscripción mensual (móvil, fibra, televisión) y por servicios a empresas; el negocio es de costes fijos altos (redes, espectro) y margen EBITDAaL del ≈ 31 % [1]. La mitad del EBITDAaL sale de Francia (52 %) y una cuarta parte de África y Oriente Medio (26 %), que crece a doble dígito con datos móviles y Orange Money [1]. La inversión (eCAPEX) se come la mitad del EBITDAaL; el dinero que queda paga intereses, impuestos y un dividendo de ≈ 2.000 M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África y Oriente Medio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Orange Business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TOTEM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Operadores internacionales, servicios compartidos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EBITDAaL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África y Oriente Medio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Orange Business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TOTEM</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Operadores internacionales, servicios compartidos y eliminaciones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concentración: 300 M de clientes; en Francia, el mayor cliente es el propio sector público (administración, hospitales, colectividades) a través de Orange Business [1]. Poder de precios moderado: en Francia los precios del móvil son de los más bajos de Europa por la entrada de Free (2012), y la subida de 2025-2026 viene de la convergencia y de la fibra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convergentes en Francia y ARPO convergente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ARPO +1 % aprox.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sube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Orange tiene el mejor churn y NPS del mercado francés [6,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Hogares conectables con fibra (Europa)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M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europeo en fibra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 de Orange Money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M (2025, +18 %)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sube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crecimiento en África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eCAPEX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 14 % en 2028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sube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MasOrange; objetivo ≈ 2x a medio plazo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los servicios de telecomunicaciones minoristas en Francia, donde Orange obtiene el 43 % de las ventas y el 52 % del EBITDAaL [1]. Lo mide la Arcep (ingresos de los operadores con los clientes finales, sin mayorista) [13]. Es una aproximación: no recoge África, Europa ni España, ni los servicios de TI de Orange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37.500 M EUR de ingresos minoristas en Francia en 2025 (−1,6 %), más 8.500 M de mayorista [13]; Orange Francia minorista ≈ 11.250 M (≈ 30 %, estimación propia).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Oligopolio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de ingresos minoristas de telecomunicaciones en Francia (Arcep))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cuatro a tres operadores (SFR repartida)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Protocolo con Bouygues e Iliad; cierre posible en el 2S27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cobre y migración a fibra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Orange pierde ≈ 800 M de ingresos mayoristas del cobre hasta 2030, pero ahorra costes de red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y confianza de los hogares franceses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minorista −1,6 % en 2025 [13]; incertidumbre política desde el verano de 2026.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datos y dinero móvil en África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África y Oriente Medio +12,2 % en 2025 y +13,9 % en el 1S26 [1,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Nuevos entrantes por satélite (Starlink directo al móvil)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Starlink compró espectro para ser operador móvil a finales de 2027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operadores en Francia (Orange, SFR, Bouygues, Free) con precios bajos; si se reparte SFR, baja a tres [12,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Portabilidad fácil; churn del móvil del 12 %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fabricantes de equipos (Nokia, Ericsson), sin Huawei en el núcleo de la red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Espectro y redes caras; el satélite es la amenaza nueva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por internet (WhatsApp) ya sustituyeron voz y SMS [1].</w:t>
            </w:r>
          </w:p>
        </w:tc>
      </w:tr>
    </w:tbl>
    <w:p>
      <w:pPr>
        <w:spacing w:after="160" w:before="0"/>
      </w:pPr>
    </w:p>
    <w:p>
      <w:pPr>
        <w:pStyle w:val="Heading2"/>
      </w:pPr>
      <w:r>
        <w:t xml:space="preserve">Ciclo</w:t>
      </w:r>
    </w:p>
    <w:p>
      <w:pPr>
        <w:spacing w:after="100"/>
      </w:pPr>
      <w:r>
        <w:t xml:space="preserve">Telecomunicaciones maduras: ventas planas en Francia y Europa, crecimiento en África [1, 13]. El ciclo económico pesa poco en el volumen pero sí en el precio y en el segmento de empresas (Orange Business −3,1 % en el 1S26) [4].</w:t>
      </w:r>
    </w:p>
    <w:p>
      <w:pPr>
        <w:pStyle w:val="Heading2"/>
      </w:pPr>
      <w:r>
        <w:t xml:space="preserve">Regulación</w:t>
      </w:r>
    </w:p>
    <w:p>
      <w:pPr>
        <w:spacing w:after="100"/>
      </w:pPr>
      <w:r>
        <w:t xml:space="preserve">Orange es operador con poder significativo en el mercado mayorista francés: la Arcep regula los precios de acceso al cobre y a la fibra y el calendario de cierre del cobre (hasta 2030) [1, 13]. El Estado es accionista (≈ 20 % del capital tras la venta de Bpifrance de julio) y cliente, y Orange presta el servicio universal y las redes de emergencia [1]. En Europa, la Ley de Redes Digitales y las reglas de fusiones de la Comisión deciden la consolidación [1].</w:t>
      </w:r>
    </w:p>
    <w:p>
      <w:pPr>
        <w:pStyle w:val="Heading2"/>
      </w:pPr>
      <w:r>
        <w:t xml:space="preserve">Tendencias y disrupción</w:t>
      </w:r>
    </w:p>
    <w:p>
      <w:pPr>
        <w:spacing w:after="100"/>
      </w:pPr>
      <w:r>
        <w:t xml:space="preserve">Tres tendencias: consolidación de mercados nacionales (España en 2024, Francia con SFR, Italia), reparto de infraestructuras (torres, fibra) y entrada de la IA tanto como ahorro de costes (redes y atención al cliente) como amenaza en la venta (agentes de compra que comparan tarifas) [1,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operador de Francia por ingresos y clientes de fibra y móvil (≈ 30 % del mercado minorista, estimación propia) [1, 13]; 1.º o 2.º en la mayoría de sus países africanos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SFR (Altice France)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operador; en venta por partes a Orange, Bouygues e Iliad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Bouygues Telecom (Bouygues)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margen operativo de todo el grupo Bouygues (construcción incluida)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Free (Iliad)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 precios más bajos; no cotiza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Telekom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DTE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operador europeo (con T-Mobile US)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Telefónica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MasOrange en España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Vodafone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España (Zegona) y en África (Vodacom)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relevante en telecomunicaciones salvo Orange Money en África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paquetes convergentes reducen el churn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espectro y marca más valorada del sector en Francia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red de fibra de Europa (59,9 M de hogares conectables)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con 3-4 operadores y barreras de entrada altas (redes y espectro) [2].</w:t>
            </w:r>
          </w:p>
        </w:tc>
      </w:tr>
    </w:tbl>
    <w:p>
      <w:pPr>
        <w:spacing w:after="160" w:before="0"/>
      </w:pPr>
    </w:p>
    <w:p>
      <w:pPr>
        <w:pStyle w:val="Heading2"/>
      </w:pPr>
      <w:r>
        <w:t xml:space="preserve">Amenazas</w:t>
      </w:r>
    </w:p>
    <w:p>
      <w:pPr>
        <w:spacing w:after="100"/>
      </w:pPr>
      <w:r>
        <w:t xml:space="preserve">Guerra de precios en Francia si el reparto de SFR se retrasa o se bloquea (probabilidad media); entrada de Starlink en móvil (baja a 2027, media a 2030); comparadores y agentes de IA que aceleren el cambio de operador (media); y competencia agresiva de Digi en España (alta) [12,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spacing w:after="100"/>
      </w:pPr>
      <w:r>
        <w:t xml:space="preserve">Crecimiento anual compuesto 2021-2025: ingresos </w:t>
      </w:r>
      <w:r>
        <w:rPr>
          <w:b/>
          <w:bCs/>
        </w:rPr>
        <w:t xml:space="preserve">-1,3 %</w:t>
      </w:r>
      <w:r>
        <w:t xml:space="preserve">, EBITDA </w:t>
      </w:r>
      <w:r>
        <w:rPr>
          <w:b/>
          <w:bCs/>
        </w:rPr>
        <w:t xml:space="preserve">2,9 %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son casi planas desde 2022 en el perímetro sin España: 39.127 M en 2022, 40.260 M en 2024 y 40.396 M en 2025 (+0,9 % comparable) [1, 5]. Francia cae (−2,1 % en 2025 por el mayorista y el fin del cobre) y África y Oriente Medio crece a doble dígito (+12,2 %) [6]. El indicador de gestión de Orange es el EBITDAaL (después de arrendamientos y sin partidas específicas): 12.470 M en 2025 (+3,8 % comparable), un 30,9 % de las ventas [6]. El EBITDA del motor (EBIT + amortizaciones, con los arrendamientos fuera) sale de 14.335 M en 2025 (35,5 %) al devolver 2.162 M de partidas no recurrentes y quitar las puestas en equivalencia (−202 M, sobre todo MasOrange). 2025 tiene el gran gasto del acuerdo GEPP (prejubilaciones en Francia, 1.540 M de cargas de personal específicas) y 332 M de deterioro del fondo de comercio: por eso el BPA publicado cae a 0,14 €, frente a un BPA ajustado de 0,86 € [1, 6]. En el 1S26 el resultado de explotación sube a 4.774 M por la plusvalía de ≈ 2.400 M de MasOrange y el BPA ajustado crece un 10,9 % (0,34 €) [4].</w:t>
      </w:r>
    </w:p>
    <w:p>
      <w:pPr>
        <w:pStyle w:val="Heading2"/>
      </w:pPr>
      <w:r>
        <w:t xml:space="preserve">Ajustes y partidas no recurrentes</w:t>
      </w:r>
    </w:p>
    <w:p>
      <w:pPr>
        <w:spacing w:after="100"/>
      </w:pPr>
      <w:r>
        <w:t xml:space="preserve">Cifras NIIF publicadas. participadas_en_ebitda = resultado de las puestas en equivalencia, que Orange mete en el resultado de explotación (MasOrange entre mar-2024 y may-2026) [1, 5]. no_recurrentes_en_ebitda (en positivo si es gasto): 2021 deterioro del fondo de comercio de 3.702 M (España y Rumanía) + 108 M de otros deterioros + 331 M de reestructuración − 2.507 M de plusvalía (venta del 50 % de Orange Concessions); 2022 deterioro de 817 M + 117 M de reestructuración − 233 M de plusvalías; 2023 456 M de reestructuración − 90 M de plusvalías; 2024 134 M de reestructuración + 279 M de minusvalías + 62 M de deterioros; 2025 1.540 M de cargas de personal del GEPP + 382 M de reestructuración + 25 M de litigios y costes de compras − 183 M de revisión de cartera + 398 M de deterioros [1, 5, 6]. LTM jun-26: el 1S26 resta la plusvalía de 2.559 M y el 1S25 el GEPP. El BPA de 2021 es 0,00 € (233 M de beneficio menos los cupones de los híbridos). Acciones ≈ 2.658-2.660 M en todos los años (sin ampliaciones). El resultado neto ajustado de Orange también excluye la amortización de compras (PPA, 91 M en 2025) y los cupones de los híbridos se restan del BPA [6].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de la tabla = EBITDAaL de Orange (después de arrendamientos); Orange publica el BPA solo por semestre. 1T25 y 2T25 salen por diferencia (1S25: ventas 19.853 M y EBITDAaL 5.675 M) [2, 4, 9]. En el 2T26 (28-jul) las ventas crecieron un 3,5 % comparable (+9,2 % con MasOrange desde el 8-jun) y el EBITDAaL un 3,9 % (+10,4 %) [4]. En el 1S26: Francia ventas +1,2 % y EBITDAaL +2,4 % con ≈ 100 M de ventas y 75 M de EBITDAaL excepcionales del 1T (cofinanciación de fibra); África y Oriente Medio +13,9 % y +16,1 %; Europa +4,1 % y +6,1 %; Orange Business −3,1 % [4]. Orange subió la guía de 2026: EBITDAaL por encima del +4 % (antes ≈ +3 %), eCAPEX ≈ 15 % de las ventas, cash-flow orgánico ≈ 4.300 M y deuda neta / EBITDAaL de ≈ 2 veces a medio plazo [4]. BPA ajustado del 1S26: 0,34 € (+10,9 %). Resultados del 3T26 el 27-oct-2026.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Las cuentas de 2022 y 2023 están reexpresadas sin Orange España, que pasó a «actividad interrumpida» al pactar la fusión con MásMóvil; 2021 todavía la incluye (ventas de 42.522 M) [5].; 2024: Desde el 26-mar-2024 MasOrange (50 %) se consolida por puesta en equivalencia; Orange cobró ≈ 4.400 M por la pérdida de control [1, 5].; 2026: Compra del 50 % de Lorca en MasOrange por 4.250 M: MasOrange se integra al 100 % desde el 8-jun-2026, con una plusvalía de revalorización de ≈ 2.400 M en el 1S26 [2, 11]. Compra de Scorefit por 1.300 M el 1-jul-2026, después del balance de junio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Deuda financiera neta (definición de Orange, sin arrendamientos) de 22.526 M a fin de 2025 y 35.683 M a 30-jun-2026: subió 13.157 M por la integración de MasOrange (su deuda y el pago de 4.250 M a Lorca); deuda neta / EBITDAaL de 2,40 veces (1,8 a fin de 2025) [1, 4]. Con arrendamientos e híbridos la deuda neta ajustada es de ≈ 49.500 M. El objetivo es volver a ≈ 2 veces a medio plazo [4]. Activo total de 126.396 M a junio (107.415 M a fin de 2025), con 28.954 M de fondo de comercio y 19.453 M de intangibles tras MasOrange [2]. El capital circulante es negativo (proveedores de 9.055 M frente a clientes de 5.791 M y existencias de 956 M a junio)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7.070</w:t>
      </w:r>
      <w:r>
        <w:t xml:space="preserve">, conversión </w:t>
      </w:r>
      <w:r>
        <w:rPr>
          <w:b/>
          <w:bCs/>
        </w:rPr>
        <w:t xml:space="preserve">92 %</w:t>
      </w:r>
      <w:r>
        <w:t xml:space="preserve"> del beneficio neto; adquisiciones 1.802, dividendos 9.759, recompras 0.</w:t>
      </w:r>
    </w:p>
    <w:p>
      <w:pPr>
        <w:spacing w:after="100"/>
      </w:pPr>
      <w:r>
        <w:t xml:space="preserve">Orange clasifica los intereses pagados en explotación: el flujo operativo ya va después de intereses e impuestos [1, 5]. Los cupones de los híbridos (169 M en 2025 y 175 M en 2024) van en financiación y se ponen en intereses_en_financiacion para que el FCF salga después de ellos. Capex = compras de inmovilizado e intangibles más licencias (2025: 7.322 + 640; 2024: 6.710 + 263); en 2021-2023 es la cifra total del estado de flujos (2021-2022 con España) [1, 5]. El eCAPEX de gestión (sin licencias) fue de 6.208 M en 2025 (15,4 % de las ventas) y el plan lo baja al ≈ 14 % en 2028 [6, 7]. El cash-flow orgánico de Orange (EBITDAaL − eCAPEX − impuestos − intereses ± circulante) fue de 3.653 M en 2025 y la guía es de ≈ 4.300 M en 2026 y ≈ 5.200 M en 2028 [4, 7]. Las desinversiones de 2024 son la caja de la pérdida de control de España (4.391 M) más ventas de activos. Dividendos a los accionistas de Orange; a minoritarios, 433 M más en 2025 [1]. Sin recompras para amortizar (solo para planes de empleados).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SA (desde 2015) y Deloitte &amp; Associés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Tres asuntos de juicio. Primero, las partidas «específicas»: Orange las excluye del EBITDAaL y del resultado ajustado y en 2025 fueron enormes (GEPP de 1.540 M, reestructuración de 382 M, deterioros de 398 M) [1, 6]; en 2021-2025 suman ≈ 5.300 M netos de plusvalías, unos 1.000 M al año: no son del todo extraordinarias (Orange reestructura casi todos los años) y en el DCF dejamos un 0,3 % de las ventas como coste recurrente. Segundo, la plusvalía de ≈ 2.400 M por revalorizar el 50 % de MasOrange al tomar el control infla el resultado del 1S26 y el BPA publicado de 2026 [2]. Tercero, la provisión de desmantelamiento del cobre subió de 767 M a 2.564 M en 2025: el cierre de la red de cobre francesa hasta 2030 es una salida de caja real que va en el puente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«específicas» recurrentes (≈ 1.000 M al año en 2021-2025)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casi todos los años; el GEPP de 2025 es un plan de prejubilaciones de varios años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 de revalorización de MasOrange en el 1S26 (≈ 2.400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caja; el BPA ajustado la excluye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Híbridos de 4.993 M como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tratan como deuda en el puente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72.071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67.640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20.758 M en 2025 (el 31 % del capital invertido medio); ha subido más de un 5 % en 0 de 4 años: sin compras. ROIC publicado 5,1 %; sin fondo de comercio, 7,4 %.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6,5 %.</w:t>
      </w:r>
    </w:p>
    <w:p>
      <w:pPr>
        <w:spacing w:after="100"/>
      </w:pPr>
      <w:r>
        <w:t xml:space="preserve">El ROIC (NOPAT del EBIT ajustado sin puestas en equivalencia sobre el capital invertido) fue del 3,6 % en 2021, 5,0 % en 2022, 5,2 % en 2023, 5,5 % en 2024 y 5,1 % en 2025, frente a un WACC del 6,46 %: 1,4 puntos por debajo en 2025. Sin fondo de comercio sería del 7,4 %. Es lo normal en las telecos europeas: redes caras, espectro pagado en subasta y precios bajos. El ROE de 2025 (1,7 %) está hundido por el GEPP; el ajustado ronda el 9-10 %. La calidad no llega al umbral del método (ROIC − WACC ≥ 5 puntos). Para que suba hace falta que el margen EBIT pase del 14 % al 16 % con menos inversión tras la fibra y las sinergias de España (lo que el DCF supone) [1, 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54.969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9.305 M y activos financieros corrientes de 2.178 M a 30-jun-2026, más líneas de crédito sin disponer [2, 3]. En septiembre de 2026 Orange colocó 4.100 M de bonos en cuatro tramos con cupones del 3,625 % al 4,5 % para refinanciar la deuda de MasOrange [10]. La compra de Scorefit (1.300 M, 1-jul) se pagó con un préstamo de CaixaBank y BNP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(estable), Moody’s Baa1 (estable), Fitch BBB+ (estable) [1, 3]. Moody’s tiene a Francia en Aa3 con perspectiva negativa y la revisa el 23-oct-2026: la nota de Orange está tres escalones por debajo del Estado, así que una rebaja de Francia no arrastra a Orange de forma automática.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Híbridos (títulos subordinados perpetuos) de 4.993 M a 30-jun-2026, contabilizados como patrimonio (cupones de ≈ 170-190 M al año): en el puente van como deuda [1, 2]. Arrendamientos de 8.859 M (7.206 a largo y 1.653 a corto) [2]. Beneficios a empleados a largo plazo de 2.856 M (sobre todo el GEPP y el «temps partiel seniors» en Francia) y provisión de desmantelamiento de 2.659 M, la mayor parte para retirar la red de cobre francesa [2]. Pagos aplazados por licencias y por inmovilizado (≈ 3.400 M a fin de 2025) [1]. Los minoritarios (Sonatel, Orange Côte d’Ivoire, Jordania, Bélgica, Polonia, Rumanía) se llevan ≈ 600-650 M al año [1].</w:t>
      </w:r>
    </w:p>
    <w:p>
      <w:pPr>
        <w:pStyle w:val="Heading1"/>
      </w:pPr>
      <w:r>
        <w:t xml:space="preserve">12. Asignación de capital</w:t>
      </w:r>
    </w:p>
    <w:p>
      <w:pPr>
        <w:pStyle w:val="Confianza"/>
        <w:spacing w:after="100"/>
      </w:pPr>
      <w:r>
        <w:t xml:space="preserve">Confianza: Media</w:t>
      </w:r>
    </w:p>
    <w:p>
      <w:pPr>
        <w:spacing w:after="100"/>
      </w:pPr>
      <w:r>
        <w:t xml:space="preserve">Dividendo mínimo creciente: 0,79 € por 2026 (a cuenta de 0,30 € el 3-dic-2026, fecha ex el 1-dic) y mínimo de 0,85 € por 2028 [4, 7]. Prioridades del plan «Trust the future»: bajar la deuda neta a ≈ 2 veces el EBITDAaL tras MasOrange, consolidar mercados (España, Francia con SFR) y mantener la nota BBB+ [7]. Solo recompras pequeñas para cubrir los planes de acciones de empleados (4,5 M de acciones a 15,28 € del 16 al 22-sep-2026)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72"/>
        <w:gridCol w:w="2141"/>
        <w:gridCol w:w="951"/>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MasOrange (50 % de Lorca)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desde el 8-jun-2026; plusvalía de revalorización de ≈ 2.400 M [2,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Scorefit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1-jul-2026, financiada con préstamo bancario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SFR (≈ 27 % del reparto con Bouygues e Iliad)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Protocolo conjunto; firma esperada en el 2S26 y cierre en el 2S27 si lo aprueba la Autoridad de la Competencia [12].</w:t>
            </w:r>
          </w:p>
        </w:tc>
      </w:tr>
    </w:tbl>
    <w:p>
      <w:pPr>
        <w:spacing w:after="160" w:before="0"/>
      </w:pPr>
    </w:p>
    <w:p>
      <w:pPr>
        <w:spacing w:after="100"/>
      </w:pPr>
      <w:r>
        <w:t xml:space="preserve">Orange devolvió la caja sobre todo en dividendos (≈ 1.900-2.000 M al año) y no ha ampliado capital [1]. Desde 2024 ha cambiado de estrategia: consolidar mercados de cuatro operadores. La fusión de España (MasOrange) y la compra del 50 % restante subieron la deuda neta en 13.000 M; SFR añadiría ≈ 5.600 M más en 2027 [11, 12]. Los precios pagados (7-9 veces el EBITDAaL) son los de mercado para operadores europeos; el riesgo es de ejecución y de deuda, no de precio.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Christel Heydemann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antes presidenta de Schneider Electric Europa y directiva de Alcatel-Lucent. Consejera delegada desde abril de 2022; llevó el plan «Lead the future» (cumplido) y la consolidación en España. Compró 68.460 acciones a 17,675 € el 20-may-2026 y 14.300 a 13,728 € el 29-sep-2026 [1,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Martinez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hace más de 20 años (finanzas de Orange France y de Orange Business)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Frédéric Sanchez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presidente desde el 19-may-2026 en sustitución de Jacques Aschenbroich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EBITDAaL estable o ligeramente al alza; cash-flow orgánico ≥ 3.300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EBITDAaL +2,6 %; cash-flow orgánico 3.600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EBITDAaL ligeramente al alza; cash-flow orgánico &gt; 3.300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Cumplidos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EBITDAaL ≈ +3 % (subida en oct-2025); cash-flow orgánico ≥ 3.600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EBITDAaL +3,8 %; cash-flow orgánico 3.653 M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EBITDAaL ≈ +3 % (feb-2026); &gt; +4 % (jul-2026); cash-flow orgánico ≈ 4.300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1S26 EBITDAaL +5,0 %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Heydemann cumplió los objetivos de 2023-2025 del plan «Lead the future» y subió la guía de 2026 en julio [21]. Los directivos compraron acciones a ≈ 13,6-13,9 € entre el 29-sep y el 1-oct, después de la caída; la única venta es de 400 acciones del representante de Bpifrance en el consejo [19]. La salida del responsable de IA a Anthropic en junio de 2026 es un cambio menor fuera del comité ejecutivo [15].</w:t>
      </w:r>
    </w:p>
    <w:p>
      <w:pPr>
        <w:pStyle w:val="Heading1"/>
      </w:pPr>
      <w:r>
        <w:t xml:space="preserve">14. Gobierno corporativo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Frédéric Sanchez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RSE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Christel Heydemann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Jacques Aschenbroich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hasta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Bompard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Anne-Gabrielle Heilbronner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Bpifrance Participations (Thierry Sommelet)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Céline Fornaro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 propuesta del Estado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Lange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 propuesta del Estado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Representantes del personal y de los accionistas empleados (3)</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1,41 / ventas 0,01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francés (directo) y Bpifrance Participations, de concierto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22,95 % al ≈ 20,4 % tras vender Bpifrance 66,5 M de acciones (≈ 2,5 %) a 16,57 € el 31-jul-2026; ≈ 27 % de los votos [1,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Caisse des Dépôts (CDC, sin Bpifrance)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(plan de ahorro del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13,28 % de los votos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Cruce al alza del 5 % (19-jun-2026)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y minorista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(restando Estado, Bpifrance y autocartera)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Christel Heydemann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Thierry Sommelet (representante de Bpifrance)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Christel Heydemann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Miembros del comité ejecutivo (varios)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de la consejera delegada en 2025: fijo de 0,90 M, variable anual de 1,11 M, aportación de jubilación (artículo 82) de 0,18 M y acciones de rendimiento valoradas en 0,76 M: 3,16 M en total, ≈ 48 veces el coste medio por empleado [1]. El variable depende del EBITDAaL, del cash-flow orgánico, de la satisfacción de los clientes y de criterios ESG; el plan de largo plazo, del cash-flow orgánico, del rendimiento total frente al sector y del clima [1]. La junta del 19-may-2026 aprobó todas las resoluciones [16].</w:t>
      </w:r>
    </w:p>
    <w:p>
      <w:pPr>
        <w:pStyle w:val="Heading2"/>
      </w:pPr>
      <w:r>
        <w:t xml:space="preserve">Operaciones vinculadas, estructura de control y defensas</w:t>
      </w:r>
    </w:p>
    <w:p>
      <w:pPr>
        <w:spacing w:after="100"/>
      </w:pPr>
      <w:r>
        <w:t xml:space="preserve">Sin accionista de control, pero el Estado (con Bpifrance) es el primer accionista con ≈ 20 % del capital y ≈ 27 % de los votos gracias a los derechos de voto dobles de la ley Florange [1, 17]. El Estado propone dos consejeras y Bpifrance tiene un puesto [1]. Orange presta servicios de defensa y seguridad nacional: el Estado vigila cualquier cambio de control (decreto de inversiones extranjeras) [1]. Bpifrance vendió el 2,5 % el 31-jul-2026 con un bloqueo de 90 días desde la liquidación del 4-ago, que vence ≈ el 2-nov-2026; le queda el 7,06 % [17].</w:t>
      </w:r>
    </w:p>
    <w:p>
      <w:pPr>
        <w:pStyle w:val="Heading2"/>
      </w:pPr>
      <w:r>
        <w:t xml:space="preserve">Señales de alerta</w:t>
      </w:r>
    </w:p>
    <w:p>
      <w:pPr>
        <w:pStyle w:val="ListParagraph"/>
        <w:numPr>
          <w:ilvl w:val="0"/>
          <w:numId w:val="2"/>
        </w:numPr>
        <w:spacing w:after="60"/>
      </w:pPr>
      <w:r>
        <w:t xml:space="preserve">Derechos de voto dobles: el Estado y Bpifrance votan con ≈ 27 % con ≈ 20 % del capital [1].</w:t>
      </w:r>
    </w:p>
    <w:p>
      <w:pPr>
        <w:pStyle w:val="ListParagraph"/>
        <w:numPr>
          <w:ilvl w:val="0"/>
          <w:numId w:val="2"/>
        </w:numPr>
        <w:spacing w:after="60"/>
      </w:pPr>
      <w:r>
        <w:t xml:space="preserve">Bloqueo de la venta de Bpifrance que vence ≈ el 2-nov-2026: posible nueva colocación del Estado [17].</w:t>
      </w:r>
    </w:p>
    <w:p>
      <w:pPr>
        <w:pStyle w:val="ListParagraph"/>
        <w:numPr>
          <w:ilvl w:val="0"/>
          <w:numId w:val="2"/>
        </w:numPr>
        <w:spacing w:after="60"/>
      </w:pPr>
      <w:r>
        <w:t xml:space="preserve">Operaciones vinculadas con el Estado (cliente, regulador y accionista)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(28-jul-2026): crecimiento del EBITDAaL por encima del +4 % en base comparable (antes ≈ +3 %), eCAPEX ≈ 15 % de las ventas, cash-flow orgánico ≈ 4.300 M y deuda neta / EBITDAaL de ≈ 2 veces a medio plazo; dividendo de 0,79 € por 2026 [20]. Plan «Trust the future» (19-feb-2026) para 2028: EBITDAaL con crecimiento anual de ≈ 3 % en 2025-2028, eCAPEX ≈ 14 % de las ventas, cash-flow orgánico ≈ 5.200 M, BPA ajustado con crecimiento anual de ≈ 10 % (≈ 1,15 € en 2028 desde 0,86 €) y dividendo mínimo de 0,85 €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(BPA publicado, con la plusvalía de MasOrange)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Yahoo da 1,152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 – 22,60</w:t>
            </w:r>
          </w:p>
        </w:tc>
      </w:tr>
    </w:tbl>
    <w:p>
      <w:pPr>
        <w:spacing w:after="160" w:before="0"/>
      </w:pPr>
    </w:p>
    <w:p>
      <w:pPr>
        <w:pStyle w:val="Heading2"/>
      </w:pPr>
      <w:r>
        <w:t xml:space="preserve">Revisiones de estimaciones</w:t>
      </w:r>
    </w:p>
    <w:p>
      <w:pPr>
        <w:spacing w:after="100"/>
      </w:pPr>
      <w:r>
        <w:t xml:space="preserve">El EBITDA del consenso es el EBITDAaL de Orange (después de arrendamientos), no el del motor [24]. Los objetivos van de 15,0 € (Morgan Stanley, infraponderar desde el 18-sep) a 22,6 €; media de 18,99 € (+34 %) [15, 24]. En octubre Berenberg (+40 % de recorrido), BofA (posible subida de la guía) y Deutsche Bank recomiendan comprar; UBS la eligió favorita del sector el 12-ago [15]. La mezcla de BPA publicado (con plusvalías y PPA) y ajustado hace que el consenso de BPA no sea comparable año a año.</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a 14,20 € el 19-oct-2026 en Euronext París, un 24,5 % por debajo del máximo de 52 semanas (18,81 € el 20-may-2026) y un 5 % por encima del mínimo (13,49 € el 10-dic-2025) [22, 23]. En 2025 subió un 56 % y en mayo de 2026 tocó máximos de cinco años; desde el 31-jul ha caído un 14,3 %, frente al −1,5 % del STOXX 600, el −1,2 % del sector europeo y el −7,5 % del CAC 40 [23]. A cinco años gana un 15,8 % anual con dividendos, por encima del índice y del sector [23]. La beta frente al STOXX 600 es muy baja (0,29 semanal; 0,52 ajustada): usamos 0,80 en el WACC (ver DCF).</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 -13,0 % / -20,3 % / +1,6 %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 / +4,6 %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el 3-nov-2026: que Moody's haya publicado su revisión de Francia (23-oct) y que venza el bloqueo de Bpifrance (≈ 2-nov) sin anuncio de nueva colocación; si se anuncia, esperar a su liquidación. Hoy no cambia nada en la práctica porque la regla a 12 meses da Mantener.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Negociaciones exclusivas para repartirse SFR (17-abr): miedo a pagar caro y a más deuda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31-jul a 19-oct-2026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de Bpifrance (31-jul, ≈ 2,5 % a 16,57 €), rotura técnica (27-ago, −4,2 %), Morgan Stanley a infraponderar (18-sep, −5,8 %: España más competitiva, más deuda, política francesa), miedo a los agentes de compra con IA (22-sep, −4,1 %) y Starlink (9-oct, −2,5 %), con la OAT disparada desde agosto [15, 17]. En el mismo periodo: STOXX 600 −1,5 %, telecos europeas −1,2 %, CAC 40 −7,5 %, Bouygues −16,2 %, Deutsche Telekom −4,4 % y Telefónica −5,9 %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retrasa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el 3-nov-2026: revisión de Moody's publicada y fin del bloqueo de Bpifrance sin nueva colocación anunciada.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revisa la nota de Francia (Aa3, perspectiva negativa) tras las violencias del 17-oct (≈ 550.000 manifestantes) y con la OAT a ≈ 4,85-4,9 % y el diferencial con el Bund en ≈ 142-147 pb, máximos desde 2011-2012 [29]. Puede mover a las empresas francesas más de un 5 % en contra.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que se publique (23-oct) y el mercado la digiera.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 el bloqueo de 90 días de la venta de Bpifrance (liquidada el 4-ago); le queda el 7,06 % del capital y el Estado busca ingresos para el presupuesto 2027 [17]. Una nueva colocación es posible, no anunciada.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3-nov sin anuncio; si hay colocación, esperar a su liquidación.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[20]. Pueden mover el precio más de un 5 %, pero unos resultados cercanos no aplazan una decisión (reglas 11 y 13 del método).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Berenberg ve un 40 % de recorrido; BofA (15-oct) ve posible otra subida de la guía; Deutsche Bank (4-oct) recomienda comprar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corporativa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satelital de Orange, Deutsche Telekom, Vodafone y Telefónica frente a Starlink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Starlink compra espectro (≈ 8.000 M USD) para ser operador móvil a finales de 2027 (−2,5 %) [15]. Recogido en riesgos.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presupuesto 2027: ajuste de ≈ 54.000 M y CEB del 31,4 % en 2027 (tipo global del 33,7 %, frente al 36,1 % de 2026). Recogido en el BPA (impuesto del 31 % en 2027).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la consejera delegada (14.300 acciones a 13,73 €) y de otros miembros del comité ejecutivo a 13,6-13,9 €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Miedo a una guerra de precios por los comparadores con IA (agente «Muse» de Meta): −4,1 % [32]. Recogido en el riesgo de 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Morgan Stanley baja a infraponderar con objetivo de 15 € (desde 16,5 €): España más competitiva, menos crecimiento en 2027, más deuda y la política francesa hasta 2027 (−5,8 %)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Emisión de 4.100 M en bonos al 3,625-4,5 % y recompra de 4,5 M de acciones para los planes de empleados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Exposición a Francia: el 43 % de las ventas y el 52 % del EBITDAaL de 2025 (más Orange Business, sobre todo francés); con España todo el año, ≈ 36 % y ≈ 44 % [1]. Canales del riesgo país, de más a menos importante: (1) impuestos, la CEB sobre el beneficio de las grandes empresas (≈ 250 M al año, ≈ 0,10 € por acción) y el riesgo de que siga en 2028; (2) el Estado como accionista vendedor (Bpifrance colocó el 2,5 % el 31-jul y su bloqueo vence ≈ el 2-nov); (3) contratos públicos y gasto de las administraciones, que el ajuste de 54.000 M recorta (Orange Business −3,1 % en el 1S26); (4) consumo de los hogares (mercado minorista francés −1,6 % en 2025), poco elástico en telecomunicaciones; (5) coste de la deuda, el menor: la deuda es a tipo fijo, vence de forma escalonada (≈ 3.000 M al año) y Orange (BBB+) emitió en septiembre al 3,625-4,5 %; (6) tarifas reguladas: solo el mayorista (cobre y fibra) está regulado por la Arcep, sin riesgo inmediato. ¿Riesgo país o causas propias? Las dos, a partes parecidas. Desde el 31-jul Orange cae un 14,3 %: el CAC 40 cae un 7,5 % frente al −1,5 % del STOXX 600 (≈ 6 puntos de «Francia») y Bouygues, la otra teleco francesa, un 16,2 %; pero los días de mayor caída de Orange fueron por causas propias o del sector (colocación de Bpifrance, Morgan Stanley por España y la deuda, agentes de compra con IA, Starlink), mientras Deutsche Telekom y Telefónica caían solo un 4-6 % [15, 23]. Veredicto: retrasa, por dos hechos pendientes que pueden mover el precio más de un 5 % en contra en dos semanas (Moody's y una posible venta del Estado).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Cierres de diciembre de Yahoo [23]. PER adelantado = cierre ÷ BPA ajustado real del ejercicio siguiente (2023: 0,90 €, estimación propia porque Orange empezó a publicar el ajustado con el plan de 2023; 2024: 0,95 €; 2025: 0,86 €; 2026: nuestro 2026e). Excluido 2021 (no hay BPA ajustado de 2022 en el mismo perímetro). Durante 2022-2024 Orange cotizó a 10-11 veces el beneficio siguiente; la subida de 2025 lo llevó a ≈ 15-16 veces.</w:t>
      </w:r>
    </w:p>
    <w:p>
      <w:pPr>
        <w:pStyle w:val="Heading1"/>
      </w:pPr>
      <w:r>
        <w:t xml:space="preserve">18. Comparables cotizados</w:t>
      </w:r>
    </w:p>
    <w:p>
      <w:pPr>
        <w:pStyle w:val="Confianza"/>
        <w:spacing w:after="100"/>
      </w:pPr>
      <w:r>
        <w:t xml:space="preserve">Confianza: Media</w:t>
      </w:r>
    </w:p>
    <w:p>
      <w:pPr>
        <w:spacing w:after="100"/>
      </w:pPr>
      <w:r>
        <w:t xml:space="preserve">Operadores integrados europeos de mercados maduros: Deutsche Telekom, Telefónica, Vodafone, KPN, Proximus, Swisscom, Telenor, Telia y BT. Cifras de Yahoo a 19-oct-2026; capitalización en EUR con el cambio del BCE del 19-oct (USD 1,1225; GBP 0,84205; CHF 0,9261; NOK 10,5555; SEK 11,1040) [25, 28]. PER de los próximos 12 meses = 0,2 × BPA 2026e + 0,8 × BPA 2027e (Vodafone y BT, ejercicio a marzo, ponderados). Ninguno tiene la exposición de Orange a África.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Telekom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Telefónica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Vodafone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KPN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Proximus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Swisscom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Telenor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BT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 / 8,6x / 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 / 11,2x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2,4x / 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Los comparables cotizan a 6,1-21,9 veces el beneficio de los próximos 12 meses (mediana 11,2x) y a 5,5-11,8 veces el EBITDA de los últimos 12 meses (mediana 8,6x) [25]. Orange, a 11,5 veces el BPA de consenso, está en la mediana; a 6,5 veces el EBITDA del motor (antes de arrendamientos) está entre los más baratos, por la deuda y los minoritarios (Orange tiene 0,6 veces más deuda neta / EBITDA que la mediana con los híbridos). Telefónica (8,8x) y Proximus (6,1x), los más baratos, tienen más deuda o caída de ventas; Swisscom (21,9x) y Telia (17,5x), los más caros, mercados más estables. Con el riesgo país francés el mercado no paga a Orange la prima de Deutsche Telekom (10,4x con T-Mobile US).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MasOrange (50 % de Lorca)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propios del 100 % de 8.500 M; valor de empresa y múltiplo estimados con la deuda de MasOrange (3,6 veces) [11].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SFR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Orange, Bouygues e Iliad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Orange ≈ 5.600 M por ≈ 600 M de EBITDAaL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Vodafone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Consolidación en Italia.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7,6x (7,5x – 8,5x)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19,58 – 25,16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recientes de consolidación en Europa se hacen a 7-9 veces el EBITDAaL. A 14,20 € Orange cotiza a ≈ 6,3 veces nuestro EBITDAaL de 2027e con su deuda e híbridos: por debajo de lo que paga por los activos que compra.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39.127 M en 2022 a 40.396 M en 2025 en el perímetro sin España (+1,1 % anual), con Francia a la baja (−2,1 % en 2025, mayorista y cobre) y África a doble dígito [1, 5]. 2026e: +13,5 % (45.850 M): +2,5 % comparable (1S26 +3,5 % con un efecto excepcional) y 7 meses de MasOrange (≈ 7.600 M al año) [4]. 2027e: +8,8 % por el año completo de España. 2028e-2033e: +1,5-2,0 %, por encima del mercado francés (≈ 0,5 %) por África (+8-12 %) y por debajo de la historia africana. El consenso está algo por debajo (45.354 M en 2026e y 50.073 M en 2028e) [24].</w:t>
      </w:r>
    </w:p>
    <w:p>
      <w:pPr>
        <w:keepNext/>
        <w:spacing w:after="100"/>
      </w:pPr>
      <w:r>
        <w:rPr>
          <w:b/>
          <w:bCs/>
        </w:rPr>
        <w:t xml:space="preserve">Márgenes.</w:t>
      </w:r>
    </w:p>
    <w:p>
      <w:pPr>
        <w:spacing w:after="100"/>
      </w:pPr>
      <w:r>
        <w:t xml:space="preserve">Margen EBITDA del motor (antes de arrendamientos y sin partidas específicas): 32,9 % en 2022, 32,4 % en 2023, 34,4 % en 2024 y 35,5 % en 2025 [1, 5]. Para 2026e la guía de EBITDAaL (&gt; +4 %) más MasOrange y los arrendamientos dan ≈ 35,8 %; restamos un punto de reestructuración y cargas de personal «específicas», que Orange excluye pero que se repiten (≈ 590 M al año en 2021-2025, 1,4 % de las ventas): 34,8 %, subiendo al 35,5 % en 2029e con las sinergias de España y el fin del cobre (el plan promete EBITDAaL +3 % anual) [7]. El EBITDAaL implícito de 2027e (≈ 15.500 M) está por debajo del consenso (16.096 M) [24].</w:t>
      </w:r>
    </w:p>
    <w:p>
      <w:pPr>
        <w:keepNext/>
        <w:spacing w:after="100"/>
      </w:pPr>
      <w:r>
        <w:rPr>
          <w:b/>
          <w:bCs/>
        </w:rPr>
        <w:t xml:space="preserve">Inversión y circulante.</w:t>
      </w:r>
    </w:p>
    <w:p>
      <w:pPr>
        <w:spacing w:after="100"/>
      </w:pPr>
      <w:r>
        <w:t xml:space="preserve">Capex del DCF = eCAPEX (15,4 % de las ventas en 2025 y 15,2 % en el 1S26, objetivo ≈ 14 % en 2028 [4, 7]) + licencias (≈ 0,8 %) + altas de derechos de uso (≈ 3,6 %, porque los arrendamientos van en el puente como deuda): 19,8 % en 2026e, 19,4 % en 2028e y 19,8 % al final, siempre algo por encima de la amortización terminal (19,6 %). La amortización baja del 21,2 % al 19,6 % porque la inversión en fibra ya pasó su pico (59,9 M de hogares conectables) [8]. El circulante es ligeramente negativo (−3 % de las ventas, el de 2025) [1].</w:t>
      </w:r>
    </w:p>
    <w:p>
      <w:pPr>
        <w:keepNext/>
        <w:spacing w:after="100"/>
      </w:pPr>
      <w:r>
        <w:rPr>
          <w:b/>
          <w:bCs/>
        </w:rPr>
        <w:t xml:space="preserve">Coste del capital.</w:t>
      </w:r>
    </w:p>
    <w:p>
      <w:pPr>
        <w:spacing w:after="100"/>
      </w:pPr>
      <w:r>
        <w:t xml:space="preserve">Todo en EUR. Bund a 10 años del 3,49 % (19-oct-2026) [26]: es la regla del repo; el riesgo de Francia y de África va en la prima adicional. Beta de 0,95: la de la acción frente al STOXX 600 es inservible (0,29 semanal, 0,52 ajustada) [23]; usamos una beta desapalancada del sector de ≈ 0,45 reapalancada con la deuda de Orange a mercado. Prima de mercado del 5,5 % y prima adicional de 2,0 puntos: África y Oriente Medio (21 % de las ventas, primas país de 4-8 puntos) y Francia (43 %, con la OAT 1,4 puntos por encima del Bund) [29]. Coste de la deuda del 4,2 % (bonos de septiembre de 2026 al 3,625-4,5 %; BBB+/Baa1) [10] y un 55 % de deuda a precios de mercado (con arrendamientos, híbridos y minoritarios). Coste del capital del 10,72 % y WACC del 6,46 %.</w:t>
      </w:r>
    </w:p>
    <w:p>
      <w:pPr>
        <w:keepNext/>
        <w:spacing w:after="100"/>
      </w:pPr>
      <w:r>
        <w:rPr>
          <w:b/>
          <w:bCs/>
        </w:rPr>
        <w:t xml:space="preserve">Valor terminal.</w:t>
      </w:r>
    </w:p>
    <w:p>
      <w:pPr>
        <w:spacing w:after="100"/>
      </w:pPr>
      <w:r>
        <w:t xml:space="preserve">Crecimiento a perpetuidad del 1,5 %, por debajo del Bund (3,49 %) y de la inflación objetivo: mercados maduros en Europa y crecimiento en África. El valor terminal pesa el 70 % del valor y el múltiplo implícito es de ≈ 6,5-7 veces el EBITDA, en línea con las compras recientes del sector (MasOrange ≈ 7,3x, Vodafone Italia 7,6x, SFR ≈ 9,3x) (ver transacciones).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-3.935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 (reinvierte el 186 %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frente al 4,1 %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crecimiento proyectado (4,1 %) supera con holgura el histórico de ingresos (-1,3 %)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 (hoy: 30,0 %)</w:t>
            </w:r>
          </w:p>
        </w:tc>
      </w:tr>
    </w:tbl>
    <w:p>
      <w:pPr>
        <w:spacing w:after="160" w:before="0"/>
      </w:pPr>
    </w:p>
    <w:p>
      <w:pPr>
        <w:spacing w:after="100"/>
      </w:pPr>
      <w:r>
        <w:t xml:space="preserve">La proyección apenas necesita inversión neta de la amortización (reinversión acumulada de -3.935 M, con un capex bruto medio del 19,6 % de las ventas). En un negocio de activos ligeros, el crecimiento medio del 4,1 % tiene que salir de subir precios y de ganar volumen sin capital nuevo, y la prueba es el poder de precios y la cuota (31,8 % del mercado en 2030e, frente al 30,0 %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(clientes de fibra y convergencia en Francia, datos móviles en África), precio +0,5 % y +11,5 % de perímetro: MasOrange desde el 8-jun-2026 [2,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precio +0,5 % y +7,3 % de perímetro (el año completo de MasOrange).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+1,3 % (África +8-10 %, Europa y Francia planas) y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y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+1,3 % y precio +0,5 %. Ventas de 52.700 M. Mercado final aproximado: servicios de telecomunicaciones de los países de Orange (≈ 166.000 M en 2030, estimación propia): Orange pasaría de ≈ 30 % a ≈ 32 %, sobre todo por meter España.</w:t>
            </w:r>
          </w:p>
        </w:tc>
      </w:tr>
    </w:tbl>
    <w:p>
      <w:pPr>
        <w:spacing w:after="160" w:before="0"/>
      </w:pPr>
    </w:p>
    <w:p>
      <w:pPr>
        <w:spacing w:after="100"/>
      </w:pPr>
      <w:r>
        <w:t xml:space="preserve">En parte. El motor marca que el crecimiento proyectado (4,1 % anual) supera mucho al histórico (−1,3 %): casi todo es la compra de MasOrange (2026-2027), no crecimiento orgánico; sin ella la proyección es de ≈ 2 % anual, que sí es sostenible con la mezcla de Francia plana y África creciendo [1, 4]. Lo que no pasa del todo es la calidad: el ROIC (5,1 % en 2025) está por debajo del WACC (6,46 %), así que crecer con compras no crea valor salvo que lleguen las sinergias; y la proyección casi no pide inversión neta porque la amortización baja con el fin del ciclo de la fibra. El poder de precios es limitado en Francia (cuatro operadores, Free) y mejoraría con el reparto de SFR [12].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2,8 %)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 (base: 35,5 %)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6,5 %)</w:t>
            </w:r>
          </w:p>
        </w:tc>
      </w:tr>
    </w:tbl>
    <w:p>
      <w:pPr>
        <w:spacing w:after="160" w:before="0"/>
      </w:pPr>
    </w:p>
    <w:p>
      <w:pPr>
        <w:spacing w:after="100"/>
      </w:pPr>
      <w:r>
        <w:t xml:space="preserve">El DCF da 21,39 € por acción (+51 % sobre 14,20 €) con el valor terminal en el 70 %; con el WACC y el crecimiento terminal ± 0,5 puntos el rango es amplio (≈ 17-28 €). El DCF inverso dice que el precio equivale a que las ventas no crezcan nada en 2027e-2033e (−0,2 % anual) o a una rentabilidad implícita del 7,5 % frente a nuestro WACC del 6,46 %. </w:t>
      </w:r>
      <w:r>
        <w:rPr>
          <w:b/>
        </w:rPr>
        <w:t xml:space="preserve">Sensibilidad a la OAT</w:t>
      </w:r>
      <w:r>
        <w:t xml:space="preserve">: con la OAT a 10 años (4,85 % el 19-oct [29]) como tasa libre en vez del Bund (3,49 %), +1,36 puntos, el WACC sube del 6,46 % al 7,07 % y el DCF baja de 21,39 € a 16,73 € (−22 %); el valor real (DCF 60 % + escenarios 40 %) baja de 20,55 € a 16,04 € (−22 %), todavía un 13 % por encima del precio. Es una prueba exigente: el riesgo de Francia ya está en parte en la prima adicional, y Orange se financia a un coste parecido al de la OAT (bonos de septiembre al 3,625-4,5 %) [10]. Si el margen EBIT se queda en el 14 % de hoy en vez de subir al 16 %, el valor cae hacia el precio: el mercado descuenta que Orange no saca el ahorro de la fibra ni de España.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en crisis fiscal: la CEB se queda, sube el coste de la deuda, el Estado recorta gasto (Orange Business) y los agentes de compra con IA y Starlink abaratan el móvil: un punto menos de crecimiento y 1,5 puntos menos de margen desde 2027, WACC +0,5 y crecimiento terminal del 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MasOrange integrada, Francia plana con la convergencia y el fin del cobre, África creciendo a doble dígito y el plan «Trust the future» cumplido en EBITDAaL y eCAPEX; sin SFR.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reparto de SFR deja tres operadores en Francia, MasOrange da sus sinergias y la CEB acaba en 2027: medio punto más de crecimiento y 0,7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4,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19,30 EUR (+35,9 %).</w:t>
      </w:r>
    </w:p>
    <w:p>
      <w:pPr>
        <w:spacing w:after="100"/>
      </w:pPr>
      <w:r>
        <w:t xml:space="preserve">En el DCF el bajista vale 9,74 € (−31 %) y el alcista 24,68 € (+74 %). A 12 meses, con el PER propio, el bajista pierde un 34 % (9,5x × 0,91 €) y el alcista gana un 22 % (11,9x × 1,39 €): la asimetría a 12 meses es desfavorable porque la acción ya cotiza por encima de su PER histórico. Con la OAT como tasa libre el bajista del DCF baja a 6,88 €.</w:t>
      </w:r>
    </w:p>
    <w:p>
      <w:pPr>
        <w:pStyle w:val="Heading1"/>
      </w:pPr>
      <w:r>
        <w:t xml:space="preserve">22. Suma de partes</w:t>
      </w:r>
    </w:p>
    <w:p>
      <w:pPr>
        <w:pStyle w:val="Confianza"/>
        <w:spacing w:after="100"/>
      </w:pPr>
      <w:r>
        <w:t xml:space="preserve">Confianza: Media</w:t>
      </w:r>
    </w:p>
    <w:p>
      <w:pPr>
        <w:spacing w:after="100"/>
      </w:pPr>
      <w:r>
        <w:t xml:space="preserve">No la hacemos: los segmentos comparten red y marca, y los datos de deuda por país no se publican. Una suma de partes (África como Airtel Africa o MTN, torres de TOTEM a 15-20 veces el EBITDA) daría más valor, y es la tesis de varios analistas [15], pero el mercado no paga esas partes mientras no se separen.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4,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20,55 EUR (+44,7 % sobre 14,20).</w:t>
      </w:r>
    </w:p>
    <w:p>
      <w:pPr>
        <w:spacing w:after="100"/>
      </w:pPr>
      <w:r>
        <w:t xml:space="preserve">Pesamos el DCF un 60 % y los escenarios un 40 % (valor real); comparables, transacciones y suma de partes no pesan. El DCF consolidado (con MasOrange) da 21,39 € por acción con un WACC del 6,46 % y el Bund como tasa libre. Del valor de empresa (115.042 M) restamos 58.293 M: deuda financiera de junio (47.625 M) y arrendamientos (8.859 M) menos caja (11.483 M), minoritarios a 8 veces su beneficio (5.250 M), beneficios a empleados netos de impuestos (2.140 M), híbridos (4.993 M), Scorefit (1.300 M) y el desmantelamiento del cobre neto de impuestos (1.994 M), y sumamos las asociadas (1.926 M). El valor real ponderado es de 20,55 € (+45 %). Con la OAT en vez del Bund baja a ≈ 16,0 € (ver la lectura del DCF). El DCF está muy por encima del precio por dos razones: un WACC bajo por la deuda (55 % del capital) y un margen EBIT que sube del 14 % al 16 % al bajar la intensidad de inversión tras la fibra. No nos fiamos del todo: el ROIC histórico (5 %) está por debajo del WACC, y si el margen EBIT se queda en el 14 % el valor cae hacia el precio. Por eso decide la regla a 12 meses.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(12.7x) a mitad de camino hacia abajo, hacia la mediana de 5 años (11x)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r>
    </w:tbl>
    <w:p>
      <w:pPr>
        <w:spacing w:after="160" w:before="0"/>
      </w:pPr>
    </w:p>
    <w:p>
      <w:pPr>
        <w:spacing w:after="100"/>
      </w:pPr>
      <w:r>
        <w:rPr>
          <w:b/>
          <w:bCs/>
        </w:rPr>
        <w:t xml:space="preserve">Objetivo a 12 meses (ponderado):</w:t>
      </w:r>
      <w:r>
        <w:t xml:space="preserve"> 13,32 EUR · rentabilidad -0,9 % (base +4,2 %) · señal Mantener.</w:t>
      </w:r>
    </w:p>
    <w:p>
      <w:pPr>
        <w:spacing w:after="100"/>
      </w:pPr>
      <w:r>
        <w:t xml:space="preserve">Para comparar, con la regla v2 (historia al cierre, mismo precio): 10,1x / 11,4x / 12,7x, 0,3 %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2027e (1,12 €) y 2028e (1,19 €) queda un 4 % y un 7 % por debajo del BPA del consenso de MarketScreener (1,163 € y 1,285 €, 16 analistas), que es publicado y no ajustado [24]: la diferencia real es mayor, porque el ajustado suele ser más alto que el publicado. Tres causas: (1) contamos un impuesto del 31-32 % con la CEB francesa prorrogada en 2027 y no del todo retirada en 2028; (2) un resultado financiero de ≈ −1.950 M con la deuda de MasOrange y bonos nuevos al 3,6-4,5 % [10]; (3) no incluimos SFR. Nuestro objetivo base a 12 meses (14,04 €) queda un 26 % por debajo del objetivo medio de los analistas (18,99 €; rango 15,0-22,6) [24]: la diferencia está en el múltiplo (los analistas usan DCF y sumas de partes; nosotros el PER histórico de 11-12 veces).</w:t>
      </w:r>
    </w:p>
    <w:p>
      <w:pPr>
        <w:keepNext/>
        <w:spacing w:after="100"/>
      </w:pPr>
      <w:r>
        <w:rPr>
          <w:b/>
          <w:bCs/>
        </w:rPr>
        <w:t xml:space="preserve">Del valor intrínseco al objetivo a 12 meses.</w:t>
      </w:r>
    </w:p>
    <w:p>
      <w:pPr>
        <w:spacing w:after="100"/>
      </w:pPr>
      <w:r>
        <w:t xml:space="preserve">Decide la v3 (cuatro años de historia adelantada, sin marcas del selector). El objetivo ponderado a 12 meses es de 13,32 €: −0,9 % con dividendo (+4,2 % el base) sobre 14,20 €. El base es un PER de 11,8x (a mitad de camino entre el actual, 12,7x, y la mediana adelantada, 11,0x) por un BPA ajustado de 2028e de 1,19 €, más 0,79 € de dividendo. El bajista (9,5x × 0,91 €) pierde un 34 %; el alcista (11,9x, el mayor de media, mediana y comparables, × 1,39 €) gana un 22 %. El BPA base no es de pico: es el que promete el plan con un 4 % más, y crece un 11 % anual desde el ajustado de 2025 (0,86 €); el salto desde el publicado (0,14 €) es por el GEPP y los deterioros de 2025. La acción ya cotiza por encima de su PER histórico (12,7x frente a 11,0x): la subida de 2025 (+56 %) se adelantó a la mejora del beneficio.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nota de Francia por Moody's (Aa3, perspectiva negativa)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rebaja a A1 subiría la OAT y la prima de las empresas francesas; Orange (Baa1) está tres escalones por debajo del Estado y su coste de deuda depende de su propia nota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(7:30)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MasOrange completa; confirmación de la guía de EBITDAaL &gt; +4 % y de la deuda neta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bloqueo de 90 días de la venta de Bpifrance (≈ 2-nov)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necesita ingresos para el presupuesto 2027: posible nueva colocación del 7 % que le queda a Bpifrance, con descuento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del presupuesto 2027 (PLF): CEB del 31,4 % en 2027 y ajuste de ≈ 54.000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año de CEB cuesta a Orange ≈ 250 M de impuesto (≈ 0,10 €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0,30 € (fecha ex el 1-dic)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5,6 % con los 0,79 €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 definitiva del reparto de SFR (2S26) y cierre (2S27)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de cuatro a tres operadores en Francia: más precio y menos inversión duplicada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Francia: impuestos (CEB prorrogada), presupuesto 2027 y nota soberana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 /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la OAT en vez del Bund el valor real baja un 22 % (de 20,55 a 16,04 €); un año más de CEB resta ≈ 0,10 €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es el 43 % de las ventas y el 52 % del EBITDAaL (36 % y 44 % con España); la deuda es a tipo fijo y vence de forma escalonada (≈ 3.000 M al año)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Moody's el 23-oct, CEB en 2028 en el presupuesto, OAT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más acciones por el Estado (Bpifrance) para hacer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Accionarial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colocación del 31-jul fue con un descuento del 3 % y la acción cayó un 4 % ese día [17]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quiere mantener una minoría de bloqueo y su derecho de vigilancia (defensa)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tras el fin del bloqueo (≈ 2-nov)</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y precios en Francia y España (Digi, Free, ofertas por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de margen EBITDA ≈ 500 M de EBITDA y ≈ 0,13 €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 churn y NPS del mercado; reparto de SFR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Churn de Francia por encima del 13 % o ARPO convergente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tras MasOrange y SFR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Deuda neta / EBITDAaL de 2,4 veces (2,7 con SFR, estimación propia); +100 pb en la deuda que vence ≈ 30 M al año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BBB+ estable, vida media larga, cash-flow orgánico de ≈ 4.300 M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Perspectiva negativa de S&amp;P o Moody's sobre Orange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Starlink como operador móvil (finales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Presión de precios en zonas rurales y en África; no entra en el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satelital europea de Orange, DT, Vodafone y Telefónica (19-oct)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de Starlink con fabricantes de móviles en Europa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−5 % del valor a 3-5 años en neto (más presión de precios, compensada en parte con ahorro de costes); el bajista lo recoge con −1,5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Ahorro en atención al cliente y en la gestión de la red; demanda de datos y centros de datos (empresa conjunta con Morrison)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Churn al alza tras la llegada de agentes de compra (Muse) o caída de los servicios de TI de Orange Business</w:t>
            </w:r>
          </w:p>
        </w:tc>
      </w:tr>
    </w:tbl>
    <w:p>
      <w:pPr>
        <w:spacing w:after="160" w:before="0"/>
      </w:pPr>
    </w:p>
    <w:p>
      <w:pPr>
        <w:pStyle w:val="Heading2"/>
      </w:pPr>
      <w:r>
        <w:t xml:space="preserve">Pre-mortem</w:t>
      </w:r>
    </w:p>
    <w:p>
      <w:pPr>
        <w:spacing w:after="100"/>
      </w:pPr>
      <w:r>
        <w:t xml:space="preserve">Octubre de 2027: la acción cotiza a 10 €. Moody's rebajó a Francia en octubre de 2026, el presupuesto de 2027 mantuvo la CEB para 2028 y Bpifrance vendió otro 3 % en noviembre con descuento. En Francia los agentes de compra con IA llevaron a los clientes a las tarifas más baratas y la Autoridad de la Competencia impuso remedios duros al reparto de SFR; en España Digi siguió quitando clientes a MasOrange. El BPA ajustado de 2027 se quedó en 0,95 € y el mercado pagó 10 veces. Las señales habrían sido: una CEB en 2028, el churn de Francia por encima del 13 % y la deuda neta por encima de 2,5 veces el EBITDAaL a fin de 2026.</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 −5 % del valor a 3-5 años en neto; en el bajista</w:t>
      </w:r>
    </w:p>
    <w:p>
      <w:pPr>
        <w:spacing w:after="100"/>
      </w:pPr>
      <w:r>
        <w:t xml:space="preserve">La IA toca a Orange por tres lados. En contra: los agentes de compra y comparadores con IA (como «Muse» de Meta, que hizo caer la acción un 4,1 % el 22-sep) facilitan cambiar de tarifa y empujan los precios del móvil hacia abajo; y parte de los servicios de TI de Orange Business (integración, soporte) se abaratan. A favor: Orange usa IA en la red (detección de fallos, energía) y en la atención al cliente, con ahorro en una plantilla de 123.500 personas, y vende más datos y conectividad a centros de datos [1]. El efecto neto que estimamos es moderado y negativo; la salida en junio del responsable de IA a Anthropic no cambia la estrategia [15].</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 (B)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Platino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Energía y clima (redes y centros de datos), protección de datos y ciberseguridad, inclusión digital y condiciones de trabajo de 123.500 empleados (planes de prejubilación en Francia) [1].</w:t>
      </w:r>
    </w:p>
    <w:p>
      <w:pPr>
        <w:pStyle w:val="Heading2"/>
      </w:pPr>
      <w:r>
        <w:t xml:space="preserve">Controversias</w:t>
      </w:r>
    </w:p>
    <w:p>
      <w:pPr>
        <w:spacing w:after="100"/>
      </w:pPr>
      <w:r>
        <w:t xml:space="preserve">La crisis de suicidios de 2008-2009 en France Télécom acabó con la condena penal de la empresa y de sus antiguos directivos por acoso moral institucional (sentencia firme en 2025) [1]. Multas de competencia y de la CNIL de menor cuantía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 e 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le cuesta la CEB en 2026 y en 2027, y lo incluye la guía de cash-flow orgánico?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canal principal del riesgo país en 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accionista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¿Les ha dicho el Estado si quiere vender más tras el fin del bloqueo de Bpifrance?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venta de julio pesó en el precio [17].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España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sinergias de MasOrange y qué deuda neta / EBITDAaL esperan a fin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resultado financiero y el BPA de 2027-2028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SFR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remedios esperan de la Autoridad de la Competencia y cómo se financia la parte de Orange?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5.600 M más de deuda [12].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 visto más cambios de operador por comparadores o agentes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riesgo nuevo que vende el mercado.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ORA)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Debates sobre Starlink, los resultados del 27-oct, las notas de Berenberg y BofA, el dividendo a cuenta y el miedo a un crac por la IA; en septiembre muchos esperaban comprar hacia 15,5 €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el dividendo como soporte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financiera francesa (Les Echos/Saxo, Investing.com)</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temor a la guerra de precios por los agentes de compra con IA (Muse de Meta) y la política francesa pesan; la ven barata a ≈ 11 veces [32,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CFE-CGC Orange (sindicato de cuadros)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sube y la acción baja»: queja por el valor de los planes de los empleados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 y fiscal en Francia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en impuestos (recargo sobre el beneficio de las grandes empresas) y en confianza; el coste de la deuda de Orange depende más de su nota BBB+ que del diferencial de la OAT.</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comparadores de tarifas (Muse)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churn en Francia es el más bajo del sector; el riesgo es más de precio que de volumen.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consolidación (SFR)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0,79 € (5,6 %) y reparto de SFR que dejaría tres operadores en Francia.</w:t>
            </w:r>
          </w:p>
        </w:tc>
      </w:tr>
    </w:tbl>
    <w:p>
      <w:pPr>
        <w:spacing w:after="160" w:before="0"/>
      </w:pPr>
    </w:p>
    <w:p>
      <w:pPr>
        <w:spacing w:after="100"/>
      </w:pPr>
      <w:r>
        <w:t xml:space="preserve">Sentimiento dividido y empeorando desde agosto: los analistas siguen positivos (objetivo medio de 18,99 €) pero foros y prensa francesa mezclan el riesgo país con el miedo a la IA y a Starlink. No hay capitulación: la acción está un 5 % por encima del mínimo de 52 semanas. El foro no aporta riesgos nuevos frente a los del informe.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30 controles correctos y 11 explicados. Fuentes: 34 (21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49,4 %: explica la causa (créditos fiscales, regularizaciones, mezcla de países) y no lo proyectes en el DCF. Explicación: El 49,4 % de 2025 sale de un beneficio antes de impuestos hundido por partidas no deducibles o con deducción limitada (deterioro del fondo de comercio de 332 M, pérdidas de MasOrange por puesta en equivalencia de 202 M) y de la contribución excepcional sobre el beneficio de las grandes empresas en Francia (CEB) [1]. Sobre el resultado ajustado el tipo es del ≈ 36 %. No lo proyectamos: usamos el 31 % en 2026-2027 (con la CEB a un tipo menor en 2027, según el proyecto de presupuesto) y el 29-30 % después.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0,09 calculado frente a 0,00 publicado (con convertibles, el BPA diluido publicado ajusta el numerador: explícalo si la diferencia viene de ahí). Explicación: Orange resta del numerador del BPA los cupones de los títulos subordinados perpetuos (híbridos), que contabiliza como patrimonio: ≈ 170-210 M al año [1, 5]. 2025: (538 − 169) / 2.658 = 0,14 €, el publicado; 2024: (2.350 − 175) / 2.658 = 0,82 €; 2022: (2.146 − ≈ 200) / 2.660 = 0,73 €. 2021: 233 M menos ≈ 230 M de cupones = 0,00 €.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0,81 calculado frente a 0,73 publicado (con convertibles, el BPA diluido publicado ajusta el numerador: explícalo si la diferencia viene de ahí). Explicación: Orange resta del numerador del BPA los cupones de los títulos subordinados perpetuos (híbridos), que contabiliza como patrimonio: ≈ 170-210 M al año [1, 5]. 2025: (538 − 169) / 2.658 = 0,14 €, el publicado; 2024: (2.350 − 175) / 2.658 = 0,82 €; 2022: (2.146 − ≈ 200) / 2.660 = 0,73 €. 2021: 233 M menos ≈ 230 M de cupones = 0,00 €.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-203 (¿operaciones interrumpidas?). Explicación: La diferencia es el resultado de las actividades interrumpidas (Orange España hasta la fusión de marzo de 2024 y su ajuste de precio): +203 M en 2023, +207 M en 2024 y +42 M en 2025 [1, 5].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0,92 calculado frente a 0,85 publicado (con convertibles, el BPA diluido publicado ajusta el numerador: explícalo si la diferencia viene de ahí). Explicación: Orange resta del numerador del BPA los cupones de los títulos subordinados perpetuos (híbridos), que contabiliza como patrimonio: ≈ 170-210 M al año [1, 5]. 2025: (538 − 169) / 2.658 = 0,14 €, el publicado; 2024: (2.350 − 175) / 2.658 = 0,82 €; 2022: (2.146 − ≈ 200) / 2.660 = 0,73 €. 2021: 233 M menos ≈ 230 M de cupones = 0,00 €.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-207 (¿operaciones interrumpidas?). Explicación: La diferencia es el resultado de las actividades interrumpidas (Orange España hasta la fusión de marzo de 2024 y su ajuste de precio): +203 M en 2023, +207 M en 2024 y +42 M en 2025 [1, 5].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0,88 calculado frente a 0,82 publicado (con convertibles, el BPA diluido publicado ajusta el numerador: explícalo si la diferencia viene de ahí). Explicación: Orange resta del numerador del BPA los cupones de los títulos subordinados perpetuos (híbridos), que contabiliza como patrimonio: ≈ 170-210 M al año [1, 5]. 2025: (538 − 169) / 2.658 = 0,14 €, el publicado; 2024: (2.350 − 175) / 2.658 = 0,82 €; 2022: (2.146 − ≈ 200) / 2.660 = 0,73 €. 2021: 233 M menos ≈ 230 M de cupones = 0,00 €.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-41 (¿operaciones interrumpidas?). Explicación: La diferencia es el resultado de las actividades interrumpidas (Orange España hasta la fusión de marzo de 2024 y su ajuste de precio): +203 M en 2023, +207 M en 2024 y +42 M en 2025 [1, 5].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0,20 calculado frente a 0,14 publicado (con convertibles, el BPA diluido publicado ajusta el numerador: explícalo si la diferencia viene de ahí). Explicación: Orange resta del numerador del BPA los cupones de los títulos subordinados perpetuos (híbridos), que contabiliza como patrimonio: ≈ 170-210 M al año [1, 5]. 2025: (538 − 169) / 2.658 = 0,14 €, el publicado; 2024: (2.350 − 175) / 2.658 = 0,82 €; 2022: (2.146 − ≈ 200) / 2.660 = 0,73 €. 2021: 233 M menos ≈ 230 M de cupones = 0,00 €.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«En parte» (el crecimiento proyectado (4,1 %) supera con holgura el histórico de ingresos (-1,3 %)):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31,8 % en 2030e frente al 30,0 %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-3,0 % real: genera una variación de circulante de -146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5.578 M de flujo libre medio en sus tres primeros años, frente a 1.756 M de media real en los tres últimos: justifica el salto (circulante, inversión, márgenes) o ajusta los supuestos. Explicación: El flujo libre real de 2023-2025 (1.756 M de media) va después de intereses (≈ 1.000-1.250 M al año), de los cupones de los híbridos, de las licencias (640 M en 2025), de la caja del plan de prejubilaciones GEPP y sin España; el del DCF es antes de intereses y con MasOrange al 100 % (≈ 1.000 M más de flujo al año). El cash-flow orgánico de la empresa, que va después de intereses, fue de 3.653 M en 2025 y la guía es de ≈ 4.300 M en 2026 y ≈ 5.200 M en 2028 [4, 7]; sumando los intereses después de impuestos (≈ 1.300 M) sale un flujo antes de intereses de ≈ 5.600-6.500 M, en línea con los ≈ 5.600 M del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(1,19) supone un 104,1 % anual desde 0,14 (2025): explícalo en valoracion.objetivo_12m.comentario o la confianza es baja. Explicación: El salto es contra el BPA PUBLICADO de 2025 (0,14 €), hundido por el GEPP (1.540 M), la reestructuración y los deterioros. Contra el BPA AJUSTADO de 2025 (0,86 €), el que usa el objetivo a 12 meses, nuestro 1,19 € de 2028e es un crecimiento del 11,4 % anual, cerca del ≈ 10 % que promete el plan «Trust the future» (≈ 1,15 € en 2028) [6, 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trimestral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(Orange solo da ventas, EBITDAaL y eCAPEX); 2) MarketScreener (sin historial trimestral accesible); 3) prensa (sin cifras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2021-2024 en el perímetro actual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2025 y 2024 reexpresado, no extraído); 2) ESEF 2024 (segmentos con dimensiones, no extraídos); 3) comunicados (cambio de segmentos en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2021-2023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ESEF 2022 y 2023; 2) URD 2025; 3) comunicados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total del estado de flujos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oficial de la Arcep de 2021-2024 en el mismo formato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Arcep (403 al descargar); 2) URD 2025 (solo cita el mercado); 3) prensa (cifras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2021-2024 estimada hacia atrás con las variaciones publicadas; marcada como aproximación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 SFR y Free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Altice France (cuentas de bonistas, no descargadas); 2) Iliad (informe de bonistas);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voto de la retribución en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la junta (solo dice que se aprobaron todas); 2) URD 2025 (junta de 2025, no extraída); 3) web de Orange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del consenso (definición de Orange)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(BPA publicado); 2) Yahoo (sin definición); 3) web de Orange (consenso en página bloqueada por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el publicado y se explica la diferencia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X (Twitter) en francés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r/vosfinances (sin hilos recientes); 2) X (sin acceso); 3) Stocktwits (ORAN sin actividad desde la salida de Nueva York)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 d’enregistrement universel 2025 (URD, versión ESEF): estados consolidados 2025 y 2024, segmentos, deuda, híbridos, provisiones, conciliación del resultado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Orange SA / AMF (BDIF D.26-0217)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https://bdif.amf-france.org/back/api/v1/documents/2026/D.26-0217/F9503F68D99BF2F554A17FE15AC544B33A2F365EDCDD4A0B77849912A01392EF.pdf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Comptes consolidés résumés au 30 juin 2026 (cuenta, balance, flujos y notas; toma de control de MasOrange)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Orange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https://assets.orange.com/pm_12751_581_581337-qpq291941i.pdf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financier semestriel 2026 (análisis de la actividad por segmento, deuda neta, liquidez)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https://assets.orange.com/pm_12751_581_581454-sf9x36xibb.pdf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résultats du 1er semestre 2026 (T2 y 6M 2026; guía 2026 revisada al alza)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https://assets.orange.com/medias/domain12751/media101937/581256-exeyl73ayg-75.pdf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2019-2024 en XBRL (cuenta, balance y flujos; 2022-2023 reexpresados sin España)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 / Orange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https://filings.xbrl.org/api/filings?filter[entity.identifier]=969500MCOONR8990S771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2025 results (4T25 y 12M 2025; conciliación del resultado neto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 (MFN /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https://ml-eu.globenewswire.com/Resource/Download/2eefbc6a-1688-4d2d-bb58-10f3b069ee2d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unveils «Trust the future» (plan 2026-2028: EBITDAaL, eCAPEX, cash-flow orgánico, dividendo y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https://mfn.se/one/a/orange/orange-orange-unveils-trust-the-future-a-new-strategic-chapter-built-on-trust-to-unlock-growth-01b50f44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results (ventas +3,5 %, EBITDAaL +6,6 %, efecto excepcional mayorista en Francia)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https://mfn.se/one/a/orange/orange-orange-achieved-very-solid-first-quarter-growth-with-revenues-3-5-and-ebitdaal-6-6-36efcf6a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https://mfn.se/one/a/orange/orange-solid-third-quarter-results-leading-to-an-increase-in-annual-ebitdaal-growth-guidance-642eceba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successfully completes a bond issuance in 4 tranches for 4.1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https://mfn.se/one/a/orange/orange-orange-successfully-completes-a-bond-issuance-in-4-tranches-for-a-total-amount-of-4-1-billion-euros-b2db212e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Binding agreement with Lorca to acquire their 50 % stake in MasOrange (4.250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https://mfn.se/one/a/orange/orange-orange-announces-the-signing-of-a-binding-agreement-with-lorca-to-acquire-their-50-stake-in-masorange-7e3e2db3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signs a joint agreement to acquire SFR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https://mfn.se/one/a/orange/communique-orange-orange-signs-a-joint-agreement-to-acquire-sfr-a-decisive-step-that-will-reinforce-its-leadership-in-france-56920c0c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Arcep: observatorio de los mercados de comunicaciones electrónicas en Francia, año 2025 (minorista 37.500 M, −1,6 %; mayorista 8.500 M; inversión 10.300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Arcep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https://www.arcep.fr/cartes-et-donnees/nos-publications-chiffrees/observatoire-des-marches-des-communications-electroniques-en-france.html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Deutsche Telekom, Telefónica, Vodafone, KPN, Proximus, Swisscom, Telenor, Telia, BT y Bouygues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https://finance.yahoo.com/quote/DTE.DE/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 sectorial: Starlink compra espectro (≈ 8.000 M USD) para ser operador móvil a finales de 2027; agente de compras «Muse» de Meta y comparadores con IA; alianza satelital de Orange, DT, Vodafone y Telefónica (19-oct)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Les Echos / Reuters /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https://www.boursorama.com/cours/actualites/1rPORA/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19 mai 2026: résultats des votes et nomination de Frédéric Sanchez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https://mfn.se/one/a/orange/orange-ssemblee-generale-mixte-dorange-du-19-mai-2026-resultats-des-votes-et-nomination-de-frederic-sanchez-en-qualite-de-president-non-executif-du-conseil-dadministration-cc4f47b1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 franchissement de seuil 226C1231 (Bpifrance / État, colocación del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https://bdif.amf-france.org/back/api/v1/documents/2026/226C1231/87F0AA931925DEE168C827BE5BF9D18E8C38C20E6B647E92C8E8B93A377D631D.pdf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 franchissement de seuil 226C0893 (BlackRock, 19-jun-2026)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https://bdif.amf-france.org/back/api/v1/documents/2026/226C0893/21F7D5276D4AEB3F1B48FFE6E2883D933BF6FFAAA67B6B7E6B99D8D230FE402E.pdf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(operaciones de directivos de Orange, mayo-octubre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https://bdif.amf-france.org/back/api/v1/informations?Jetons=RS00001914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number of shares and voting rights at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https://mfn.se/one/a/orange/total-number-of-shares-and-voting-rights-at-september-30-2026-21a3059e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Comunicados de resultados 2023-2025 (objetivos anuales y del plan «Lead the future»)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SA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https://mfn.se/one/a/orange/orange-success-of-lead-the-future-2023-2025-strategic-plan-2025-objectives-fully-achieved-8ef8d061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París, histórico diario de ORA (FR0000133308-XPAR): cierre del 19-oct-2026 a 14,20 € (subasta de cierre de las 17:35 CEST)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https://live.euronext.com/en/product/equities/FR0000133308-XPAR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ORA.PA, EXSA.DE (STOXX 600) y EXV2.DE (telecomunicaciones europeas)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https://finance.yahoo.com/quote/ORA.PA/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estimaciones de consenso 2026-2028 (16 analistas) y objetivo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https://www.marketscreener.com/quote/stock/ORANGE-4649/finances/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quoteSummary de nueve comparables europeos (earningsTrend, financialData, keyStatistics)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https://finance.yahoo.com/quote/DTE.DE/key-statistics/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(curva de Svensson, BBSIS): 3,49 %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(19-oct-2026) y rendimientos a largo plazo de Francia y Alemania (series IRS mensuales)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https://data.ecb.europa.eu/data/datasets/IRS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OAT a 10 años 4,85 %, Bund 3,43 %, diferencial de 142 pb el 19-oct-2026 (máximo de 146,9 pb el 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ideal-investisseur.fr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Orange (ORA) de Boursorama, ≈ 40 hilos de septiembre-octubre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https://www.boursorama.com/bourse/forum/1rPORA/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Orange de ABC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Banque / Les Echos: «Orange: la peur de Muse» (≈ 11 veces el beneficio de 2026, objetivo de 17 €)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Les Echos / Saxo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https://www.lesechos.fr/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France: «Orange −10 % en 3 séances»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https://fr.investing.com/equities/france-telecom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CFE-CGC Orange: «Le dividende monte, le cours baisse»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CFE-CGC Orange (sindicato)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https://www.cfecgc-orange.org/</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90,7 %</w:t>
      </w:r>
      <w:r>
        <w:t xml:space="preserve"> · Secciones con menos del 60 % de campos cubiertos: </w:t>
      </w:r>
      <w:r>
        <w:rPr>
          <w:b/>
          <w:bCs/>
        </w:rPr>
        <w:t xml:space="preserve">ninguna</w:t>
      </w:r>
      <w:r>
        <w:t xml:space="preserve"> · Generado el 20 oct 2026.</w:t>
      </w:r>
    </w:p>
    <w:p>
      <w:pPr>
        <w:pStyle w:val="Nota"/>
        <w:spacing w:after="100"/>
      </w:pPr>
      <w:r>
        <w:t xml:space="preserve">Cuentas consolidadas NIIF en millones de EUR; ejercicio natural. 2019-2024 salen del XBRL ESEF del regulador (cuentas.mjs --esef con el LEI 969500MCOONR8990S771; sin el LEI la herramienta cogía Orange Polska) [5]; 2025 del URD 2025 en ESEF, sacado del paquete de la BDIF de la AMF porque filings.xbrl.org todavía no lo tiene [1]; el 1S26 de las cuentas semestrales [2]. 2022 y 2023 están reexpresados sin España; 2021 la incluye. MasOrange se integra al 100 % desde el 8-jun-2026: la proyección incluye España y el puente usa el balance de 30-jun-2026, ya con su deuda. El BPA del objetivo a 12 meses es el AJUSTADO de Orange (sin partidas específicas, deterioros, plusvalías ni amortización de compras, y menos los cupones de los híbridos), igual que la historia del PER; el BPA ajustado de 2023 (0,90 €) es estimación propia. Precio: cierre del 19-oct-2026 en Euronext París, 14,20 € (subasta de cierre de las 17:35 CEST; fuente: histórico de Euronext, porque Yahoo no tenía aún ese cierre) [22]; hoy, 20-oct, a media sesión, 14,29 € (Yahoo, movimiento.mjs) [23]. Acciones: 2.652,8 M (2.660,1 M emitidas menos 7,2 M en autocartera a 30-sep-2026) [20]. La tasa libre es el Bund (regla del repo); la sensibilidad con la OAT va en la lectura del DCF. No encontramos el voto de la retribución en la junta de 2026 ni el BPA ajustado del consenso.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Orange SA (ORA)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(13,49 – 18,81)</c:v>
                </c:pt>
                <c:pt idx="1">
                  <c:v>Precio objetivo de los analistas (15,00 – 22,60)</c:v>
                </c:pt>
                <c:pt idx="2">
                  <c:v>Comparables: PER NTM (12,83 – 19,12)</c:v>
                </c:pt>
                <c:pt idx="3">
                  <c:v>Transacciones precedentes (EV/EBITDA) (19,58 – 25,16)</c:v>
                </c:pt>
                <c:pt idx="4">
                  <c:v>DCF (WACC y g ± 0,5) (15,15 – 30,75)</c:v>
                </c:pt>
                <c:pt idx="5">
                  <c:v>Escenarios (bajista – alcista) (9,74 – 24,68)</c:v>
                </c:pt>
                <c:pt idx="6">
                  <c:v>DCF con la prima implícita del mercado (4,2 %)</c:v>
                </c:pt>
                <c:pt idx="7">
                  <c:v>Precio actual (14,20)</c:v>
                </c:pt>
              </c:strCache>
            </c:strRef>
          </c:cat>
          <c:val>
            <c:numRef>
              <c:f>Hoja1!$B$2:$B$9</c:f>
              <c:numCache>
                <c:formatCode>#,##0.0</c:formatCode>
                <c:ptCount val="8"/>
                <c:pt idx="0">
                  <c:v>13.49</c:v>
                </c:pt>
                <c:pt idx="1">
                  <c:v>15</c:v>
                </c:pt>
                <c:pt idx="2">
                  <c:v>12.83</c:v>
                </c:pt>
                <c:pt idx="3">
                  <c:v>19.58</c:v>
                </c:pt>
                <c:pt idx="4">
                  <c:v>15.15</c:v>
                </c:pt>
                <c:pt idx="5">
                  <c:v>9.74</c:v>
                </c:pt>
                <c:pt idx="6">
                  <c:v>21.88</c:v>
                </c:pt>
                <c:pt idx="7">
                  <c:v>14.13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(13,49 – 18,81)</c:v>
                </c:pt>
                <c:pt idx="1">
                  <c:v>Precio objetivo de los analistas (15,00 – 22,60)</c:v>
                </c:pt>
                <c:pt idx="2">
                  <c:v>Comparables: PER NTM (12,83 – 19,12)</c:v>
                </c:pt>
                <c:pt idx="3">
                  <c:v>Transacciones precedentes (EV/EBITDA) (19,58 – 25,16)</c:v>
                </c:pt>
                <c:pt idx="4">
                  <c:v>DCF (WACC y g ± 0,5) (15,15 – 30,75)</c:v>
                </c:pt>
                <c:pt idx="5">
                  <c:v>Escenarios (bajista – alcista) (9,74 – 24,68)</c:v>
                </c:pt>
                <c:pt idx="6">
                  <c:v>DCF con la prima implícita del mercado (4,2 %)</c:v>
                </c:pt>
                <c:pt idx="7">
                  <c:v>Precio actual (14,20)</c:v>
                </c:pt>
              </c:strCache>
            </c:strRef>
          </c:cat>
          <c:val>
            <c:numRef>
              <c:f>Hoja1!$C$2:$C$9</c:f>
              <c:numCache>
                <c:formatCode>#,##0.0</c:formatCode>
                <c:ptCount val="8"/>
                <c:pt idx="0">
                  <c:v>5.3199999999999985</c:v>
                </c:pt>
                <c:pt idx="1">
                  <c:v>7.600000000000001</c:v>
                </c:pt>
                <c:pt idx="2">
                  <c:v>6.290000000000001</c:v>
                </c:pt>
                <c:pt idx="3">
                  <c:v>5.580000000000002</c:v>
                </c:pt>
                <c:pt idx="4">
                  <c:v>15.6</c:v>
                </c:pt>
                <c:pt idx="5">
                  <c:v>14.94</c:v>
                </c:pt>
                <c:pt idx="6">
                  <c:v>11.010000000000002</c:v>
                </c:pt>
                <c:pt idx="7">
                  <c:v>0.1399999999999988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Francia</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17473</c:v>
                </c:pt>
              </c:numCache>
            </c:numRef>
          </c:val>
        </c:ser>
        <c:ser>
          <c:idx val="1"/>
          <c:order val="1"/>
          <c:tx>
            <c:strRef>
              <c:f>Hoja1!$C$1</c:f>
              <c:strCache>
                <c:ptCount val="1"/>
                <c:pt idx="0">
                  <c:v>África y Oriente Medio</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8427</c:v>
                </c:pt>
              </c:numCache>
            </c:numRef>
          </c:val>
        </c:ser>
        <c:ser>
          <c:idx val="2"/>
          <c:order val="2"/>
          <c:tx>
            <c:strRef>
              <c:f>Hoja1!$D$1</c:f>
              <c:strCache>
                <c:ptCount val="1"/>
                <c:pt idx="0">
                  <c:v>Europa</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7263</c:v>
                </c:pt>
              </c:numCache>
            </c:numRef>
          </c:val>
        </c:ser>
        <c:ser>
          <c:idx val="3"/>
          <c:order val="3"/>
          <c:tx>
            <c:strRef>
              <c:f>Hoja1!$E$1</c:f>
              <c:strCache>
                <c:ptCount val="1"/>
                <c:pt idx="0">
                  <c:v>Orange Business</c:v>
                </c:pt>
              </c:strCache>
            </c:strRef>
          </c:tx>
          <c:spPr>
            <a:solidFill>
              <a:srgbClr val="EDA100"/>
            </a:solidFill>
            <a:ln w="12700">
              <a:solidFill>
                <a:srgbClr val="FFFFFF"/>
              </a:solidFill>
            </a:ln>
          </c:spPr>
          <c:invertIfNegative val="0"/>
          <c:cat>
            <c:strRef>
              <c:f>Hoja1!$A$2</c:f>
              <c:strCache>
                <c:ptCount val="1"/>
                <c:pt idx="0">
                  <c:v>2025</c:v>
                </c:pt>
              </c:strCache>
            </c:strRef>
          </c:cat>
          <c:val>
            <c:numRef>
              <c:f>Hoja1!$E$2</c:f>
              <c:numCache>
                <c:formatCode>#,##0</c:formatCode>
                <c:ptCount val="1"/>
                <c:pt idx="0">
                  <c:v>7325</c:v>
                </c:pt>
              </c:numCache>
            </c:numRef>
          </c:val>
        </c:ser>
        <c:ser>
          <c:idx val="4"/>
          <c:order val="4"/>
          <c:tx>
            <c:strRef>
              <c:f>Hoja1!$F$1</c:f>
              <c:strCache>
                <c:ptCount val="1"/>
                <c:pt idx="0">
                  <c:v>TOTEM</c:v>
                </c:pt>
              </c:strCache>
            </c:strRef>
          </c:tx>
          <c:spPr>
            <a:solidFill>
              <a:srgbClr val="E87BA4"/>
            </a:solidFill>
            <a:ln w="12700">
              <a:solidFill>
                <a:srgbClr val="FFFFFF"/>
              </a:solidFill>
            </a:ln>
          </c:spPr>
          <c:invertIfNegative val="0"/>
          <c:cat>
            <c:strRef>
              <c:f>Hoja1!$A$2</c:f>
              <c:strCache>
                <c:ptCount val="1"/>
                <c:pt idx="0">
                  <c:v>2025</c:v>
                </c:pt>
              </c:strCache>
            </c:strRef>
          </c:cat>
          <c:val>
            <c:numRef>
              <c:f>Hoja1!$F$2</c:f>
              <c:numCache>
                <c:formatCode>#,##0</c:formatCode>
                <c:ptCount val="1"/>
                <c:pt idx="0">
                  <c:v>728</c:v>
                </c:pt>
              </c:numCache>
            </c:numRef>
          </c:val>
        </c:ser>
        <c:ser>
          <c:idx val="5"/>
          <c:order val="5"/>
          <c:tx>
            <c:strRef>
              <c:f>Hoja1!$G$1</c:f>
              <c:strCache>
                <c:ptCount val="1"/>
                <c:pt idx="0">
                  <c:v>Operadores internacionales, servicios compartidos y eliminaciones</c:v>
                </c:pt>
              </c:strCache>
            </c:strRef>
          </c:tx>
          <c:spPr>
            <a:solidFill>
              <a:srgbClr val="008300"/>
            </a:solidFill>
            <a:ln w="12700">
              <a:solidFill>
                <a:srgbClr val="FFFFFF"/>
              </a:solidFill>
            </a:ln>
          </c:spPr>
          <c:invertIfNegative val="0"/>
          <c:cat>
            <c:strRef>
              <c:f>Hoja1!$A$2</c:f>
              <c:strCache>
                <c:ptCount val="1"/>
                <c:pt idx="0">
                  <c:v>2025</c:v>
                </c:pt>
              </c:strCache>
            </c:strRef>
          </c:cat>
          <c:val>
            <c:numRef>
              <c:f>Hoja1!$G$2</c:f>
              <c:numCache>
                <c:formatCode>#,##0</c:formatCode>
                <c:ptCount val="1"/>
                <c:pt idx="0">
                  <c:v>-820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Francia</c:v>
                </c:pt>
                <c:pt idx="1">
                  <c:v>África y Oriente Medio</c:v>
                </c:pt>
                <c:pt idx="2">
                  <c:v>Europa</c:v>
                </c:pt>
                <c:pt idx="3">
                  <c:v>Orange Business</c:v>
                </c:pt>
                <c:pt idx="4">
                  <c:v>TOTEM</c:v>
                </c:pt>
                <c:pt idx="5">
                  <c:v>Operadores internacionales, servicios compartidos y eliminaciones</c:v>
                </c:pt>
              </c:strCache>
            </c:strRef>
          </c:cat>
          <c:val>
            <c:numRef>
              <c:f>Hoja1!$B$2:$B$7</c:f>
              <c:numCache>
                <c:formatCode>General</c:formatCode>
                <c:ptCount val="6"/>
                <c:pt idx="0">
                  <c:v>43.3</c:v>
                </c:pt>
                <c:pt idx="1">
                  <c:v>20.9</c:v>
                </c:pt>
                <c:pt idx="2">
                  <c:v>18</c:v>
                </c:pt>
                <c:pt idx="3">
                  <c:v>18.1</c:v>
                </c:pt>
                <c:pt idx="4">
                  <c:v>1.8</c:v>
                </c:pt>
                <c:pt idx="5">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Francia (segmento Francia con TOTEM y eliminaciones; Orange Business, mayoritariamente francés, va aparte)</c:v>
                </c:pt>
                <c:pt idx="1">
                  <c:v>África y Oriente Medio</c:v>
                </c:pt>
                <c:pt idx="2">
                  <c:v>Europa (sin España)</c:v>
                </c:pt>
                <c:pt idx="3">
                  <c:v>Orange Business (empresas, sobre todo Francia)</c:v>
                </c:pt>
              </c:strCache>
            </c:strRef>
          </c:cat>
          <c:val>
            <c:numRef>
              <c:f>Hoja1!$B$2:$B$5</c:f>
              <c:numCache>
                <c:formatCode>0"%"</c:formatCode>
                <c:ptCount val="4"/>
                <c:pt idx="0">
                  <c:v>43</c:v>
                </c:pt>
                <c:pt idx="1">
                  <c:v>20.9</c:v>
                </c:pt>
                <c:pt idx="2">
                  <c:v>18</c:v>
                </c:pt>
                <c:pt idx="3">
                  <c:v>18.1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de ingresos minoristas de telecomunicaciones en Francia (Arcep))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c:formatCode>
                <c:ptCount val="5"/>
                <c:pt idx="0">
                  <c:v>36.1</c:v>
                </c:pt>
                <c:pt idx="1">
                  <c:v>36.8</c:v>
                </c:pt>
                <c:pt idx="2">
                  <c:v>37.5</c:v>
                </c:pt>
                <c:pt idx="3">
                  <c:v>38.1</c:v>
                </c:pt>
                <c:pt idx="4">
                  <c:v>37.5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Orange</c:v>
                </c:pt>
                <c:pt idx="1">
                  <c:v>SFR (Altice France)</c:v>
                </c:pt>
                <c:pt idx="2">
                  <c:v>Bouygues Telecom (Bouygues)</c:v>
                </c:pt>
                <c:pt idx="3">
                  <c:v>Free (Iliad)</c:v>
                </c:pt>
                <c:pt idx="4">
                  <c:v>Deutsche Telekom</c:v>
                </c:pt>
                <c:pt idx="5">
                  <c:v>Telefónica</c:v>
                </c:pt>
                <c:pt idx="6">
                  <c:v>Vodafone</c:v>
                </c:pt>
              </c:strCache>
            </c:strRef>
          </c:cat>
          <c:val>
            <c:numRef>
              <c:f>Hoja1!$B$2:$B$8</c:f>
              <c:numCache>
                <c:formatCode>0.0"%"</c:formatCode>
                <c:ptCount val="7"/>
                <c:pt idx="0">
                  <c:v>14.3</c:v>
                </c:pt>
                <c:pt idx="2">
                  <c:v>4.8</c:v>
                </c:pt>
                <c:pt idx="4">
                  <c:v>23.5</c:v>
                </c:pt>
                <c:pt idx="5">
                  <c:v>9.9</c:v>
                </c:pt>
                <c:pt idx="6">
                  <c:v>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42522</c:v>
                </c:pt>
                <c:pt idx="1">
                  <c:v>39127</c:v>
                </c:pt>
                <c:pt idx="2">
                  <c:v>39678</c:v>
                </c:pt>
                <c:pt idx="3">
                  <c:v>40260</c:v>
                </c:pt>
                <c:pt idx="4">
                  <c:v>40396</c:v>
                </c:pt>
                <c:pt idx="5">
                  <c:v>45849</c:v>
                </c:pt>
                <c:pt idx="6">
                  <c:v>49884</c:v>
                </c:pt>
                <c:pt idx="7">
                  <c:v>50782</c:v>
                </c:pt>
                <c:pt idx="8">
                  <c:v>51798</c:v>
                </c:pt>
                <c:pt idx="9">
                  <c:v>52730</c:v>
                </c:pt>
                <c:pt idx="10">
                  <c:v>53679</c:v>
                </c:pt>
                <c:pt idx="11">
                  <c:v>54538</c:v>
                </c:pt>
                <c:pt idx="12">
                  <c:v>55356</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12791</c:v>
                </c:pt>
                <c:pt idx="1">
                  <c:v>12864</c:v>
                </c:pt>
                <c:pt idx="2">
                  <c:v>12873</c:v>
                </c:pt>
                <c:pt idx="3">
                  <c:v>13830</c:v>
                </c:pt>
                <c:pt idx="4">
                  <c:v>14335</c:v>
                </c:pt>
                <c:pt idx="5">
                  <c:v>15956</c:v>
                </c:pt>
                <c:pt idx="6">
                  <c:v>17509</c:v>
                </c:pt>
                <c:pt idx="7">
                  <c:v>17926</c:v>
                </c:pt>
                <c:pt idx="8">
                  <c:v>18388</c:v>
                </c:pt>
                <c:pt idx="9">
                  <c:v>18719</c:v>
                </c:pt>
                <c:pt idx="10">
                  <c:v>19056</c:v>
                </c:pt>
                <c:pt idx="11">
                  <c:v>19361</c:v>
                </c:pt>
                <c:pt idx="12">
                  <c:v>19651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30.1</c:v>
                </c:pt>
                <c:pt idx="1">
                  <c:v>32.9</c:v>
                </c:pt>
                <c:pt idx="2">
                  <c:v>32.4</c:v>
                </c:pt>
                <c:pt idx="3">
                  <c:v>34.4</c:v>
                </c:pt>
                <c:pt idx="4">
                  <c:v>35.5</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9.8</c:v>
                </c:pt>
                <c:pt idx="1">
                  <c:v>14</c:v>
                </c:pt>
                <c:pt idx="2">
                  <c:v>12.9</c:v>
                </c:pt>
                <c:pt idx="3">
                  <c:v>14.8</c:v>
                </c:pt>
                <c:pt idx="4">
                  <c:v>14.3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0.5</c:v>
                </c:pt>
                <c:pt idx="1">
                  <c:v>5.5</c:v>
                </c:pt>
                <c:pt idx="2">
                  <c:v>6.1</c:v>
                </c:pt>
                <c:pt idx="3">
                  <c:v>5.8</c:v>
                </c:pt>
                <c:pt idx="4">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2">
                  <c:v>0</c:v>
                </c:pt>
                <c:pt idx="3">
                  <c:v>1.2</c:v>
                </c:pt>
                <c:pt idx="4">
                  <c:v>1.8</c:v>
                </c:pt>
                <c:pt idx="5">
                  <c:v>9.2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2">
                  <c:v>0.8</c:v>
                </c:pt>
                <c:pt idx="3">
                  <c:v>2.2</c:v>
                </c:pt>
                <c:pt idx="4">
                  <c:v>3.5</c:v>
                </c:pt>
                <c:pt idx="5">
                  <c:v>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52</c:v>
                </c:pt>
                <c:pt idx="1">
                  <c:v>59</c:v>
                </c:pt>
                <c:pt idx="2">
                  <c:v>55</c:v>
                </c:pt>
                <c:pt idx="3">
                  <c:v>53</c:v>
                </c:pt>
                <c:pt idx="4">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c:v>
                </c:pt>
                <c:pt idx="1">
                  <c:v>15</c:v>
                </c:pt>
                <c:pt idx="2">
                  <c:v>16</c:v>
                </c:pt>
                <c:pt idx="3">
                  <c:v>11</c:v>
                </c:pt>
                <c:pt idx="4">
                  <c:v>10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83</c:v>
                </c:pt>
                <c:pt idx="1">
                  <c:v>98</c:v>
                </c:pt>
                <c:pt idx="2">
                  <c:v>96</c:v>
                </c:pt>
                <c:pt idx="3">
                  <c:v>89</c:v>
                </c:pt>
                <c:pt idx="4">
                  <c:v>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862</c:v>
                </c:pt>
                <c:pt idx="1">
                  <c:v>939</c:v>
                </c:pt>
                <c:pt idx="2">
                  <c:v>2568</c:v>
                </c:pt>
                <c:pt idx="3">
                  <c:v>1548</c:v>
                </c:pt>
                <c:pt idx="4">
                  <c:v>1153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233</c:v>
                </c:pt>
                <c:pt idx="1">
                  <c:v>2146</c:v>
                </c:pt>
                <c:pt idx="2">
                  <c:v>2440</c:v>
                </c:pt>
                <c:pt idx="3">
                  <c:v>2350</c:v>
                </c:pt>
                <c:pt idx="4">
                  <c:v>538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3.6</c:v>
                </c:pt>
                <c:pt idx="1">
                  <c:v>5</c:v>
                </c:pt>
                <c:pt idx="2">
                  <c:v>5.2</c:v>
                </c:pt>
                <c:pt idx="3">
                  <c:v>5.5</c:v>
                </c:pt>
                <c:pt idx="4">
                  <c:v>5.1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6.5</c:v>
                </c:pt>
                <c:pt idx="1">
                  <c:v>6.5</c:v>
                </c:pt>
                <c:pt idx="2">
                  <c:v>6.5</c:v>
                </c:pt>
                <c:pt idx="3">
                  <c:v>6.5</c:v>
                </c:pt>
                <c:pt idx="4">
                  <c:v>6.5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0.7</c:v>
                </c:pt>
                <c:pt idx="1">
                  <c:v>6.7</c:v>
                </c:pt>
                <c:pt idx="2">
                  <c:v>7.7</c:v>
                </c:pt>
                <c:pt idx="3">
                  <c:v>7.4</c:v>
                </c:pt>
                <c:pt idx="4">
                  <c:v>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2.72</c:v>
                </c:pt>
                <c:pt idx="1">
                  <c:v>3.03</c:v>
                </c:pt>
                <c:pt idx="2">
                  <c:v>3.02</c:v>
                </c:pt>
                <c:pt idx="3">
                  <c:v>2.43</c:v>
                </c:pt>
                <c:pt idx="4">
                  <c:v>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3030</c:v>
                </c:pt>
                <c:pt idx="1">
                  <c:v>2701</c:v>
                </c:pt>
                <c:pt idx="2">
                  <c:v>2811</c:v>
                </c:pt>
                <c:pt idx="3">
                  <c:v>2962</c:v>
                </c:pt>
                <c:pt idx="4">
                  <c:v>3127</c:v>
                </c:pt>
                <c:pt idx="5">
                  <c:v>20878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211</c:v>
                </c:pt>
                <c:pt idx="1">
                  <c:v>58</c:v>
                </c:pt>
                <c:pt idx="2">
                  <c:v>1416</c:v>
                </c:pt>
                <c:pt idx="3">
                  <c:v>35</c:v>
                </c:pt>
                <c:pt idx="4">
                  <c:v>82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2127</c:v>
                </c:pt>
                <c:pt idx="1">
                  <c:v>1861</c:v>
                </c:pt>
                <c:pt idx="2">
                  <c:v>1862</c:v>
                </c:pt>
                <c:pt idx="3">
                  <c:v>1915</c:v>
                </c:pt>
                <c:pt idx="4">
                  <c:v>1994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Ejecutivo</c:v>
                </c:pt>
                <c:pt idx="2">
                  <c:v>Dominical</c:v>
                </c:pt>
                <c:pt idx="3">
                  <c:v>Otro externo</c:v>
                </c:pt>
              </c:strCache>
            </c:strRef>
          </c:cat>
          <c:val>
            <c:numRef>
              <c:f>Hoja1!$B$2:$B$5</c:f>
              <c:numCache>
                <c:formatCode>0</c:formatCode>
                <c:ptCount val="4"/>
                <c:pt idx="0">
                  <c:v>4</c:v>
                </c:pt>
                <c:pt idx="1">
                  <c:v>1</c:v>
                </c:pt>
                <c:pt idx="2">
                  <c:v>3</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 francés (directo) y Bpifrance Participations, de concierto</c:v>
                </c:pt>
                <c:pt idx="1">
                  <c:v>Grupo Caisse des Dépôts (CDC, sin Bpifrance)</c:v>
                </c:pt>
                <c:pt idx="2">
                  <c:v>Empleados (plan de ahorro del grupo)</c:v>
                </c:pt>
                <c:pt idx="3">
                  <c:v>BlackRock</c:v>
                </c:pt>
                <c:pt idx="4">
                  <c:v>Capital flotante</c:v>
                </c:pt>
              </c:strCache>
            </c:strRef>
          </c:cat>
          <c:val>
            <c:numRef>
              <c:f>Hoja1!$B$2:$B$6</c:f>
              <c:numCache>
                <c:formatCode>0.0"%"</c:formatCode>
                <c:ptCount val="5"/>
                <c:pt idx="0">
                  <c:v>20.4</c:v>
                </c:pt>
                <c:pt idx="1">
                  <c:v>9.27</c:v>
                </c:pt>
                <c:pt idx="2">
                  <c:v>8.15</c:v>
                </c:pt>
                <c:pt idx="3">
                  <c:v>5.98</c:v>
                </c:pt>
                <c:pt idx="4">
                  <c:v>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4.8</c:v>
                </c:pt>
                <c:pt idx="2">
                  <c:v>2.5</c:v>
                </c:pt>
                <c:pt idx="3">
                  <c:v>-2.7</c:v>
                </c:pt>
                <c:pt idx="4">
                  <c:v>-21.5</c:v>
                </c:pt>
                <c:pt idx="5">
                  <c:v>5</c:v>
                </c:pt>
                <c:pt idx="6">
                  <c:v>5.4</c:v>
                </c:pt>
                <c:pt idx="7">
                  <c:v>18.3</c:v>
                </c:pt>
                <c:pt idx="8">
                  <c:v>0.2</c:v>
                </c:pt>
                <c:pt idx="9">
                  <c:v>56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4.9</c:v>
                </c:pt>
                <c:pt idx="1">
                  <c:v>5.2</c:v>
                </c:pt>
                <c:pt idx="2">
                  <c:v>5.4</c:v>
                </c:pt>
                <c:pt idx="3">
                  <c:v>4.5</c:v>
                </c:pt>
                <c:pt idx="4">
                  <c:v>5.2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5.2</c:v>
                </c:pt>
                <c:pt idx="1">
                  <c:v>5.2</c:v>
                </c:pt>
                <c:pt idx="2">
                  <c:v>5.2</c:v>
                </c:pt>
                <c:pt idx="3">
                  <c:v>5.2</c:v>
                </c:pt>
                <c:pt idx="4">
                  <c:v>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Orange</c:v>
                </c:pt>
                <c:pt idx="1">
                  <c:v>Deutsche Telekom</c:v>
                </c:pt>
                <c:pt idx="2">
                  <c:v>Telefónica</c:v>
                </c:pt>
                <c:pt idx="3">
                  <c:v>Vodafone</c:v>
                </c:pt>
                <c:pt idx="4">
                  <c:v>KPN</c:v>
                </c:pt>
                <c:pt idx="5">
                  <c:v>Proximus</c:v>
                </c:pt>
                <c:pt idx="6">
                  <c:v>Swisscom</c:v>
                </c:pt>
                <c:pt idx="7">
                  <c:v>Telenor</c:v>
                </c:pt>
                <c:pt idx="8">
                  <c:v>Telia</c:v>
                </c:pt>
                <c:pt idx="9">
                  <c:v>BT Group</c:v>
                </c:pt>
              </c:strCache>
            </c:strRef>
          </c:cat>
          <c:val>
            <c:numRef>
              <c:f>Hoja1!$B$2:$B$11</c:f>
              <c:numCache>
                <c:formatCode>0.0"x"</c:formatCode>
                <c:ptCount val="10"/>
                <c:pt idx="0">
                  <c:v>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MasOrange (50 % de Lorca)</c:v>
                </c:pt>
                <c:pt idx="1">
                  <c:v>SFR</c:v>
                </c:pt>
                <c:pt idx="2">
                  <c:v>Vodafone Italia</c:v>
                </c:pt>
              </c:strCache>
            </c:strRef>
          </c:cat>
          <c:val>
            <c:numRef>
              <c:f>Hoja1!$B$2:$B$4</c:f>
              <c:numCache>
                <c:formatCode>0.0"x"</c:formatCode>
                <c:ptCount val="3"/>
                <c:pt idx="0">
                  <c:v>7.3</c:v>
                </c:pt>
                <c:pt idx="1">
                  <c:v>9.3</c:v>
                </c:pt>
                <c:pt idx="2">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5091</c:v>
                </c:pt>
                <c:pt idx="1">
                  <c:v>5719</c:v>
                </c:pt>
                <c:pt idx="2">
                  <c:v>5923</c:v>
                </c:pt>
                <c:pt idx="3">
                  <c:v>6055</c:v>
                </c:pt>
                <c:pt idx="4">
                  <c:v>6140</c:v>
                </c:pt>
                <c:pt idx="5">
                  <c:v>6151</c:v>
                </c:pt>
                <c:pt idx="6">
                  <c:v>6160</c:v>
                </c:pt>
                <c:pt idx="7">
                  <c:v>6163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34712</c:v>
                </c:pt>
                <c:pt idx="1">
                  <c:v>80330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14,20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9.74</c:v>
                </c:pt>
                <c:pt idx="1">
                  <c:v>21.39</c:v>
                </c:pt>
                <c:pt idx="2">
                  <c:v>24.68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(13,49 – 18,81)</c:v>
                </c:pt>
                <c:pt idx="1">
                  <c:v>Precio objetivo de los analistas (15,00 – 22,60)</c:v>
                </c:pt>
                <c:pt idx="2">
                  <c:v>Comparables: PER NTM (12,83 – 19,12)</c:v>
                </c:pt>
                <c:pt idx="3">
                  <c:v>Transacciones precedentes (EV/EBITDA) (19,58 – 25,16)</c:v>
                </c:pt>
                <c:pt idx="4">
                  <c:v>DCF (WACC y g ± 0,5) (15,15 – 30,75)</c:v>
                </c:pt>
                <c:pt idx="5">
                  <c:v>Escenarios (bajista – alcista) (9,74 – 24,68)</c:v>
                </c:pt>
                <c:pt idx="6">
                  <c:v>DCF con la prima implícita del mercado (4,2 %)</c:v>
                </c:pt>
                <c:pt idx="7">
                  <c:v>Precio actual (14,20)</c:v>
                </c:pt>
              </c:strCache>
            </c:strRef>
          </c:cat>
          <c:val>
            <c:numRef>
              <c:f>Hoja1!$B$2:$B$9</c:f>
              <c:numCache>
                <c:formatCode>#,##0.0</c:formatCode>
                <c:ptCount val="8"/>
                <c:pt idx="0">
                  <c:v>13.49</c:v>
                </c:pt>
                <c:pt idx="1">
                  <c:v>15</c:v>
                </c:pt>
                <c:pt idx="2">
                  <c:v>12.83</c:v>
                </c:pt>
                <c:pt idx="3">
                  <c:v>19.58</c:v>
                </c:pt>
                <c:pt idx="4">
                  <c:v>15.15</c:v>
                </c:pt>
                <c:pt idx="5">
                  <c:v>9.74</c:v>
                </c:pt>
                <c:pt idx="6">
                  <c:v>21.88</c:v>
                </c:pt>
                <c:pt idx="7">
                  <c:v>14.13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(13,49 – 18,81)</c:v>
                </c:pt>
                <c:pt idx="1">
                  <c:v>Precio objetivo de los analistas (15,00 – 22,60)</c:v>
                </c:pt>
                <c:pt idx="2">
                  <c:v>Comparables: PER NTM (12,83 – 19,12)</c:v>
                </c:pt>
                <c:pt idx="3">
                  <c:v>Transacciones precedentes (EV/EBITDA) (19,58 – 25,16)</c:v>
                </c:pt>
                <c:pt idx="4">
                  <c:v>DCF (WACC y g ± 0,5) (15,15 – 30,75)</c:v>
                </c:pt>
                <c:pt idx="5">
                  <c:v>Escenarios (bajista – alcista) (9,74 – 24,68)</c:v>
                </c:pt>
                <c:pt idx="6">
                  <c:v>DCF con la prima implícita del mercado (4,2 %)</c:v>
                </c:pt>
                <c:pt idx="7">
                  <c:v>Precio actual (14,20)</c:v>
                </c:pt>
              </c:strCache>
            </c:strRef>
          </c:cat>
          <c:val>
            <c:numRef>
              <c:f>Hoja1!$C$2:$C$9</c:f>
              <c:numCache>
                <c:formatCode>#,##0.0</c:formatCode>
                <c:ptCount val="8"/>
                <c:pt idx="0">
                  <c:v>5.3199999999999985</c:v>
                </c:pt>
                <c:pt idx="1">
                  <c:v>7.600000000000001</c:v>
                </c:pt>
                <c:pt idx="2">
                  <c:v>6.290000000000001</c:v>
                </c:pt>
                <c:pt idx="3">
                  <c:v>5.580000000000002</c:v>
                </c:pt>
                <c:pt idx="4">
                  <c:v>15.6</c:v>
                </c:pt>
                <c:pt idx="5">
                  <c:v>14.94</c:v>
                </c:pt>
                <c:pt idx="6">
                  <c:v>11.010000000000002</c:v>
                </c:pt>
                <c:pt idx="7">
                  <c:v>0.1399999999999988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