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Rexel S.A.</w:t>
      </w:r>
    </w:p>
    <w:p>
      <w:pPr>
        <w:spacing w:after="60"/>
        <w:rPr>
          <w:color w:val="52514E"/>
          <w:sz w:val="22"/>
          <w:szCs w:val="22"/>
        </w:rPr>
      </w:pPr>
      <w:r>
        <w:rPr>
          <w:color w:val="52514E"/>
          <w:sz w:val="22"/>
          <w:szCs w:val="22"/>
        </w:rPr>
        <w:t xml:space="preserve">RXL · Euronext París (compartimento A) · ISIN FR0010451203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33,07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32,65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+2,3 % (base +4,5 %)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34,96 EUR · mercado 47,23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10.215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Rexel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RXL / FR0010451203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 (también CAC Next 20 y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Distribuidores de comercio (material eléctrico)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www.rexel.com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33,07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28,37 – 39,80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16.178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32,65 EUR</w:t>
      </w:r>
      <w:r>
        <w:t xml:space="preserve"> frente a 33,07 · Rentabilidad a 12 meses </w:t>
      </w:r>
      <w:r>
        <w:rPr>
          <w:b/>
          <w:bCs/>
        </w:rPr>
        <w:t xml:space="preserve">+2,3 % (base +4,5 %)</w:t>
      </w:r>
      <w:r>
        <w:t xml:space="preserve"> · Valor intrínseco 34,96 EUR · con la prima implícita del mercado: 47,23 (+42,8 %) · Alcista / bajista +23,6 % / -26,1 %</w:t>
      </w:r>
    </w:p>
    <w:p>
      <w:pPr>
        <w:spacing w:after="100"/>
      </w:pPr>
      <w:r>
        <w:rPr>
          <w:b/>
        </w:rPr>
        <w:t xml:space="preserve">La recomendación y por qué.</w:t>
      </w:r>
      <w:r>
        <w:t xml:space="preserve"> Mantener, con convicción baja. El objetivo a 12 meses es de 32,65 € (nuestro BPA de 2028e × el PER de la regla común, ponderado 25/50/25) y el valor real de 34,96 € (DCF 60 %, escenarios 40 %), un 5,7 % sobre el precio de 33,07 € del 19-oct. La rentabilidad a 12 meses con dividendo es del 2,3 % ponderada y del 4,5 % en el base, lejos del 15 % y el 12 % que pide una compra; la asimetría de los escenarios es de 0,90 veces. El objetivo medio de los analistas (41,44 €) queda un 20 % por encima de nuestro base, porque usan el BPA ajustado y un PER de comparables. La convicción es baja porque la regla relativa (con la prima del mercado del 4,2 %) da Comprar y la absoluta Mantener; subiría si el precio bajase de 29,43 € o si el margen EBITA de 2026 superase claramente el 6,2 %. Las pruebas de robustez dan «No mantener»: con la historia del PER al cierre (v2) la rentabilidad es del −14,6 %, y con el BPA un 10 % menor la ponderada cae al −7,6 %; el límite de compra robusto es 24,55 €.</w:t>
      </w:r>
    </w:p>
    <w:p>
      <w:pPr>
        <w:spacing w:after="100"/>
      </w:pPr>
      <w:r>
        <w:rPr>
          <w:b/>
        </w:rPr>
        <w:t xml:space="preserve">El negocio.</w:t>
      </w:r>
      <w:r>
        <w:t xml:space="preserve"> Rexel es el segundo distribuidor de material eléctrico del mundo (19.415 M de ventas en 2025; 46 % en Norteamérica, 48 % en Europa) con un foso estrecho de escala y logística [1]. El ROIC (8,3 %) es igual al WACC (8,49 %): ROIC − WACC de −0,2 puntos, y el ROIC incremental de 2021-2025 fue del 2,1 % con 2.031 M en compras. La calidad sostiene el crecimiento proyectado solo </w:t>
      </w:r>
      <w:r>
        <w:rPr>
          <w:b/>
        </w:rPr>
        <w:t xml:space="preserve">en parte</w:t>
      </w:r>
      <w:r>
        <w:t xml:space="preserve">: crece sin apenas capital, pero lo que compra no rinde más que su coste.</w:t>
      </w:r>
    </w:p>
    <w:p>
      <w:pPr>
        <w:spacing w:after="100"/>
      </w:pPr>
      <w:r>
        <w:rPr>
          <w:b/>
        </w:rPr>
        <w:t xml:space="preserve">Finanzas.</w:t>
      </w:r>
      <w:r>
        <w:t xml:space="preserve"> El margen EBITDA bajó del 9,0 % (2022) al 8,0 % (2025) y se recupera en 2026 (8,2 % en los últimos 12 meses) por Norteamérica. Con GCG, la deuda neta ajustada es de 5.949 M, 3,7 veces el EBITDA [5]. El BPA publicado (1,99 € en 2025) está por debajo del ajustado del consenso por 45-60 M de reestructuración que se repiten cada año.</w:t>
      </w:r>
    </w:p>
    <w:p>
      <w:pPr>
        <w:spacing w:after="100"/>
      </w:pPr>
      <w:r>
        <w:rPr>
          <w:b/>
        </w:rPr>
        <w:t xml:space="preserve">Valoración.</w:t>
      </w:r>
      <w:r>
        <w:t xml:space="preserve"> El DCF da 35,53 € y el DCF inverso dice que el precio descuenta un crecimiento del 2,5 % anual (base 4,9 %) con una rentabilidad implícita del 8,8 %, casi igual al WACC: ni exigente ni barato. Cotiza a 11,5 veces el BPA de consenso, con un descuento del 34 % frente a los distribuidores americanos (17,4x) que se explica por su ROIC y su peso europeo, y a 12,7 veces nuestro BPA de 2027e, por encima de su mediana adelantada (9,8x). </w:t>
      </w:r>
      <w:r>
        <w:rPr>
          <w:b/>
        </w:rPr>
        <w:t xml:space="preserve">Riesgo país</w:t>
      </w:r>
      <w:r>
        <w:t xml:space="preserve">: Francia es el 19-20 % de las ventas y, por estimación propia, el 18-25 % del EBITA. Con la OAT (4,925 %) en lugar del Bund (3,49 %) el valor real bajaría un 22 %, a 27,39 €. Los canales son el coste de capital y la contribución excepcional sobre beneficios (23,5 M en 2025, ≈ 3 % del BPA) [1]; no tiene tarifas reguladas ni contratos públicos relevantes, y el consumo residencial pesa un 38 % de las ventas francesas.</w:t>
      </w:r>
    </w:p>
    <w:p>
      <w:pPr>
        <w:spacing w:after="100"/>
      </w:pPr>
      <w:r>
        <w:rPr>
          <w:b/>
        </w:rPr>
        <w:t xml:space="preserve">Riesgos y catalizadores.</w:t>
      </w:r>
      <w:r>
        <w:t xml:space="preserve"> Los mayores: el ciclo de la construcción europea (−26 % en el bajista del DCF), la ejecución de GCG con su concentración en centros de datos en EE. UU. y la deuda. La caída del 16 % en tres meses tiene sobre todo causas propias y sectoriales (aviso de márgenes del 28-jul, GCG con ampliación a 34,75 €, caída de los distribuidores ligados a centros de datos); el riesgo país explica una parte menor, porque Rexel cae como el CAC (−7,7 % frente a −7,5 % desde el 31-jul) y mucho menos que las empresas domésticas. Catalizadores: ventas del 3T26 el 22-oct, Moody's sobre Francia el 23-oct, presupuesto de 2027 y cierre de GCG a final de año. Regla 13: no cambia. El foro francés está dividido y no habla del riesgo país.</w:t>
      </w:r>
    </w:p>
    <w:p>
      <w:pPr>
        <w:spacing w:after="100"/>
      </w:pPr>
      <w:r>
        <w:rPr>
          <w:b/>
        </w:rPr>
        <w:t xml:space="preserve">Qué cambiaría la decisión.</w:t>
      </w:r>
      <w:r>
        <w:t xml:space="preserve"> Compraríamos por debajo de 29,43 € (regla a 12 meses) y venderíamos por encima de 37,61 €. Pasaríamos a Comprar si el BPA de 2028e se acercase a 3,30 € (margen EBITDA del 9,5 % con GCG); a Vender si las ventas de Europa a días constantes volvieran a negativo dos trimestres o si Moody's rebajase a Francia y el diferencial OAT-Bund pasase de 1,6 puntos.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32,65 EUR</w:t>
      </w:r>
      <w:r>
        <w:t xml:space="preserve"> (rentabilidad +2,3 % (base +4,5 %)) · Valor intrínseco: 34,96 EUR (+5,7 % sobre 33,07) · con la prima implícita del mercado: 47,23 (+42,8 %)</w:t>
      </w:r>
    </w:p>
    <w:p>
      <w:pPr>
        <w:spacing w:after="100"/>
      </w:pPr>
      <w:r>
        <w:t xml:space="preserve">Rexel distribuye material eléctrico a instaladores, industria y grandes obras en 19 países, con 19.415 M de ventas y un margen EBITDA del 8,0 % en 2025 [1]. Su valor está en la escala (segundo del mundo tras Sonepar), la logística y el crédito al instalador, y en una Norteamérica que crece con los centros de datos y la electrificación; la compra de GCG (1.400 M USD) refuerza esa parte [7].</w:t>
      </w:r>
    </w:p>
    <w:p>
      <w:pPr>
        <w:spacing w:after="100"/>
      </w:pPr>
      <w:r>
        <w:t xml:space="preserve">El precio de 33,07 € descuenta un crecimiento del 2,5 % anual y un margen EBITDA del 8,7 %, con una rentabilidad implícita del 8,8 %, igual al WACC. Cotiza a 11,5 veces el BPA de consenso de los próximos 12 meses, por debajo de los distribuidores americanos (17,4x) y por encima de su propia historia adelantada (9,8x).</w:t>
      </w:r>
    </w:p>
    <w:p>
      <w:pPr>
        <w:spacing w:after="100"/>
      </w:pPr>
      <w:r>
        <w:t xml:space="preserve">El mercado acierta en lo esencial: Rexel gana su coste de capital y poco más (ROIC del 8,3 %), compra a precios que no suben el ROIC y depende de una construcción europea que no termina de recuperarse. Para invertir habría que creer que GCG y Norteamérica llevan el margen EBITDA al 9,5 % y el BPA a 3,30 € en 2028; nosotros proyectamos 2,90 €.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 × 2,34 = 13,81 · 11,5x × 2,90 = 33,35 · 15,5x × 3,23 = 50,07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41,44 (nuestro base -19,5 %)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 / -26,1 %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8,5 %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29,43 y 37,61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37,61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29,43 €: pasaría a Comprar con la regla a 12 meses.</w:t>
      </w:r>
    </w:p>
    <w:p>
      <w:pPr>
        <w:pStyle w:val="ListParagraph"/>
        <w:numPr>
          <w:ilvl w:val="0"/>
          <w:numId w:val="2"/>
        </w:numPr>
        <w:spacing w:after="60"/>
      </w:pPr>
      <w:r>
        <w:t xml:space="preserve">BPA de 2028e de ≈ 3,30 € (margen EBITDA del 9,5 %): Comprar.</w:t>
      </w:r>
    </w:p>
    <w:p>
      <w:pPr>
        <w:pStyle w:val="ListParagraph"/>
        <w:numPr>
          <w:ilvl w:val="0"/>
          <w:numId w:val="2"/>
        </w:numPr>
        <w:spacing w:after="60"/>
      </w:pPr>
      <w:r>
        <w:t xml:space="preserve">Ventas de Europa a días constantes negativas dos trimestres seguidos: revisar el base a la baja.</w:t>
      </w:r>
    </w:p>
    <w:p>
      <w:pPr>
        <w:pStyle w:val="ListParagraph"/>
        <w:numPr>
          <w:ilvl w:val="0"/>
          <w:numId w:val="2"/>
        </w:numPr>
        <w:spacing w:after="60"/>
      </w:pPr>
      <w:r>
        <w:t xml:space="preserve">Rebaja de Moody's a Francia con diferencial OAT-Bund &gt; 1,6 puntos: revisar la prima adicional del WACC.</w:t>
      </w:r>
    </w:p>
    <w:p>
      <w:pPr>
        <w:pStyle w:val="ListParagraph"/>
        <w:numPr>
          <w:ilvl w:val="0"/>
          <w:numId w:val="2"/>
        </w:numPr>
        <w:spacing w:after="60"/>
      </w:pPr>
      <w:r>
        <w:t xml:space="preserve">Precio por encima de 37,61 €: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2,5 % anual con el margen actual, una prima frente a la historia de Rexel por la mezcla americana y un descuento frente a los comparables americanos por el peso europeo. El consenso de analistas es más optimista (10 de 13 compran, objetivo de 41,44 €).</w:t>
      </w:r>
    </w:p>
    <w:p>
      <w:pPr>
        <w:keepNext/>
        <w:spacing w:after="100"/>
      </w:pPr>
      <w:r>
        <w:rPr>
          <w:b/>
          <w:bCs/>
        </w:rPr>
        <w:t xml:space="preserve">Lo que creemos nosotros.</w:t>
      </w:r>
    </w:p>
    <w:p>
      <w:pPr>
        <w:spacing w:after="100"/>
      </w:pPr>
      <w:r>
        <w:t xml:space="preserve">Coincidimos con el precio y no con los analistas: el BPA publicado es un 11-12 % menor que el ajustado del consenso porque la reestructuración se repite, y la historia del PER no justifica pagar más de 11-12 veces. El riesgo país francés pesa poco en el negocio, pero mucho en el valor si se descuenta con la OAT.</w:t>
      </w:r>
    </w:p>
    <w:p>
      <w:pPr>
        <w:keepNext/>
        <w:spacing w:after="100"/>
      </w:pPr>
      <w:r>
        <w:rPr>
          <w:b/>
          <w:bCs/>
        </w:rPr>
        <w:t xml:space="preserve">Por qué podemos tener razón.</w:t>
      </w:r>
    </w:p>
    <w:p>
      <w:pPr>
        <w:spacing w:after="100"/>
      </w:pPr>
      <w:r>
        <w:t xml:space="preserve">El ROIC incremental del 2,1 % en cinco años y los 45-60 M anuales de otros gastos dicen que el BPA ajustado sobrestima lo que gana el accionista. No tenemos una visión distinta de la del mercado: el precio es razonable.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3,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Norteamérica crece</w:t>
      </w:r>
      <w:r>
        <w:t xml:space="preserve">: ventas a días constantes +5,1 % en el 1S26 y centros de datos con más del 100 % de crecimiento en EE. UU. [4].</w:t>
      </w:r>
    </w:p>
    <w:p>
      <w:pPr>
        <w:pStyle w:val="ListParagraph"/>
        <w:numPr>
          <w:ilvl w:val="0"/>
          <w:numId w:val="2"/>
        </w:numPr>
        <w:spacing w:after="60"/>
      </w:pPr>
      <w:r>
        <w:rPr>
          <w:b/>
        </w:rPr>
        <w:t xml:space="preserve">GCG a menos de 8 veces el EBITDAaL con sinergias</w:t>
      </w:r>
      <w:r>
        <w:t xml:space="preserve">, con margen EBITA de c. 11 % frente al 6,0 % de Rexel [7].</w:t>
      </w:r>
    </w:p>
    <w:p>
      <w:pPr>
        <w:pStyle w:val="ListParagraph"/>
        <w:numPr>
          <w:ilvl w:val="0"/>
          <w:numId w:val="2"/>
        </w:numPr>
        <w:spacing w:after="60"/>
      </w:pPr>
      <w:r>
        <w:rPr>
          <w:b/>
        </w:rPr>
        <w:t xml:space="preserve">Dividendo del 3,6 %</w:t>
      </w:r>
      <w:r>
        <w:t xml:space="preserve"> (1,20 € estable desde 2022) [1].</w:t>
      </w:r>
    </w:p>
    <w:p>
      <w:pPr>
        <w:pStyle w:val="ListParagraph"/>
        <w:numPr>
          <w:ilvl w:val="0"/>
          <w:numId w:val="2"/>
        </w:numPr>
        <w:spacing w:after="60"/>
      </w:pPr>
      <w:r>
        <w:rPr>
          <w:b/>
        </w:rPr>
        <w:t xml:space="preserve">Valor real de 34,96 €</w:t>
      </w:r>
      <w:r>
        <w:t xml:space="preserve">, un 5,7 % sobre el precio, y Comprar con la prima del mercado (47,23 €).</w:t>
      </w:r>
    </w:p>
    <w:p>
      <w:pPr>
        <w:pStyle w:val="ListParagraph"/>
        <w:numPr>
          <w:ilvl w:val="0"/>
          <w:numId w:val="2"/>
        </w:numPr>
        <w:spacing w:after="60"/>
      </w:pPr>
      <w:r>
        <w:rPr>
          <w:b/>
        </w:rPr>
        <w:t xml:space="preserve">Francia solo es el 19 % de las ventas</w:t>
      </w:r>
      <w:r>
        <w:t xml:space="preserve">: el riesgo país toca poco al negocio [1].</w:t>
      </w:r>
    </w:p>
    <w:p>
      <w:pPr>
        <w:pStyle w:val="Heading2"/>
      </w:pPr>
      <w:r>
        <w:t xml:space="preserve">En contra</w:t>
      </w:r>
    </w:p>
    <w:p>
      <w:pPr>
        <w:pStyle w:val="ListParagraph"/>
        <w:numPr>
          <w:ilvl w:val="0"/>
          <w:numId w:val="2"/>
        </w:numPr>
        <w:spacing w:after="60"/>
      </w:pPr>
      <w:r>
        <w:rPr>
          <w:b/>
        </w:rPr>
        <w:t xml:space="preserve">ROIC − WACC de −0,2 puntos</w:t>
      </w:r>
      <w:r>
        <w:t xml:space="preserve"> y ROIC incremental del 2,1 % en 2021-2025.</w:t>
      </w:r>
    </w:p>
    <w:p>
      <w:pPr>
        <w:pStyle w:val="ListParagraph"/>
        <w:numPr>
          <w:ilvl w:val="0"/>
          <w:numId w:val="2"/>
        </w:numPr>
        <w:spacing w:after="60"/>
      </w:pPr>
      <w:r>
        <w:rPr>
          <w:b/>
        </w:rPr>
        <w:t xml:space="preserve">Deuda neta ajustada de 3,7 veces el EBITDA</w:t>
      </w:r>
      <w:r>
        <w:t xml:space="preserve"> con GCG [5].</w:t>
      </w:r>
    </w:p>
    <w:p>
      <w:pPr>
        <w:pStyle w:val="ListParagraph"/>
        <w:numPr>
          <w:ilvl w:val="0"/>
          <w:numId w:val="2"/>
        </w:numPr>
        <w:spacing w:after="60"/>
      </w:pPr>
      <w:r>
        <w:rPr>
          <w:b/>
        </w:rPr>
        <w:t xml:space="preserve">Rentabilidad a 12 meses del 2,3 %</w:t>
      </w:r>
      <w:r>
        <w:t xml:space="preserve"> (base 4,5 %): sin margen de seguridad.</w:t>
      </w:r>
    </w:p>
    <w:p>
      <w:pPr>
        <w:pStyle w:val="ListParagraph"/>
        <w:numPr>
          <w:ilvl w:val="0"/>
          <w:numId w:val="2"/>
        </w:numPr>
        <w:spacing w:after="60"/>
      </w:pPr>
      <w:r>
        <w:rPr>
          <w:b/>
        </w:rPr>
        <w:t xml:space="preserve">Europa plana</w:t>
      </w:r>
      <w:r>
        <w:t xml:space="preserve">: ventas −0,7 % en 2024 y −1,5 % en 2025, margen EBITA del 5,7 % [1].</w:t>
      </w:r>
    </w:p>
    <w:p>
      <w:pPr>
        <w:pStyle w:val="ListParagraph"/>
        <w:numPr>
          <w:ilvl w:val="0"/>
          <w:numId w:val="2"/>
        </w:numPr>
        <w:spacing w:after="60"/>
      </w:pPr>
      <w:r>
        <w:rPr>
          <w:b/>
        </w:rPr>
        <w:t xml:space="preserve">Valor real −22 % con la OAT</w:t>
      </w:r>
      <w:r>
        <w:t xml:space="preserve"> en lugar del Bund: el precio no aguanta un coste de capital francés.</w:t>
      </w:r>
    </w:p>
    <w:p>
      <w:pPr>
        <w:pStyle w:val="Heading2"/>
      </w:pPr>
      <w:r>
        <w:t xml:space="preserve">Qué tiene que pasar para que la tesis funcione</w:t>
      </w:r>
    </w:p>
    <w:p>
      <w:pPr>
        <w:spacing w:after="100"/>
      </w:pPr>
      <w:r>
        <w:t xml:space="preserve">La tesis depende de que el margen suba con Norteamérica y GCG mientras Europa no empeora. La señal de que no se cumple: ventas de Europa a días constantes negativas en el 3T26 o el 4T26, margen EBITA de 2026 por debajo del 6,2 % o un margen de Norteamérica por debajo del 7 % en 2027. En Francia, una rebaja de Moody's con el diferencial OAT-Bund por encima de 1,6 puntos o la prórroga del recargo sobre beneficios en el presupuesto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días constantes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pide c. +5 %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corriente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6,2 %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guía y la base de nuestro BPA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Francia a días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al riesgo país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OAT-Bund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 (19-oct)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capital y demanda francesa [19, 20].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(empresa, sin arrendamientos)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2,6 veces tras GCG (estimación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 veces a final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Ba1/BB+ [11, 12].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Rexel nace en 1967 como Compagnie de Distribution de Matériel Électrique (CDME) y toma su nombre actual en 1997. Fue filial de Pinault-Printemps-Redoute hasta 2004, cuando la compraron Clayton, Dubilier &amp; Rice, Eurazeo y Merrill Lynch; volvió a bolsa en París en abril de 2007. Creció por compras (Hagemeyer en 2008, con Sonepar), salió de mercados sin escala (Oriente Medio, Nueva Zelanda y Finlandia en 2025) y desde 2021, con Guillaume Texier, se ha orientado a Norteamérica y a segmentos de crecimiento: 21 compras con 2.800 M de ventas desde 2021 [1]. En septiembre de 2024 el consejo rechazó una propuesta no vinculante de QXO a 28,00-28,40 EUR por acción con el apoyo de Cevian [16]. En 2026 anunció la mayor compra de su historia reciente, GCG, por 1.400 M USD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CDME en Francia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bolsa en Euronext París tras la compra apalancada de CD&amp;R, Eurazeo y Merrill Lynch (2004)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Hagemeyer junto con Sonepar: entrada fuerte en el norte de Europa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Cevian Capital propone su primer consejero (mayo de 2017); hoy es el primer accionista (23,3 % a dic-25)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Guillaume Texier, consejero delegado; plan Power Up 2025 y giro a Norteamérica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propuesta de QXO a 28,00-28,40 EUR por acción (sep-24) [16]; multa de 124 M de la Autoridad de la Competencia francesa (oct-24)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Axelerate 2028; ventas de Oriente Medio, Nueva Zelanda y Finlandia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OCEANE de 400 M, compras de TC 360, Revere y DEE, y acuerdo para comprar GCG por 1.400 M USD con ampliación de 500 M [4, 10, 15]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Rexel distribuye material eléctrico profesional (cable, aparellaje, iluminación, climatización, solar, recarga, automatización, datos y seguridad) a instaladores, contratistas, industria y grandes cuentas, desde 1.876 sucursales en 17 países con 26.306 empleados [4]. En 2025 vendió 19.415 M: Europa 48 %, Norteamérica 46 % y Asia-Pacífico 6 % [1]. El 81 % fueron ventas desde almacén y el 19 % directas (sobre todo en Norteamérica, 37 % de sus ventas) [1]. Las ventas digitales son el 35 % del total en el 1S26 (44 % en Europa) [4]. Clientes por mercado final: residencial, no residencial e industrial, con los segmentos de transición energética (22 % de las ventas europeas) y centros de datos (9 % de EE. UU.) como motores recientes [4].</w:t>
      </w:r>
    </w:p>
    <w:p>
      <w:pPr>
        <w:pStyle w:val="Heading2"/>
      </w:pPr>
      <w:r>
        <w:t xml:space="preserve">Cómo gana dinero</w:t>
      </w:r>
    </w:p>
    <w:p>
      <w:pPr>
        <w:spacing w:after="100"/>
      </w:pPr>
      <w:r>
        <w:t xml:space="preserve">Compra a fabricantes (Schneider, Legrand, ABB, Siemens, Eaton, Prysmian…) y revende con un margen bruto del 25,1 % de las ventas en 2025 [1]. El beneficio depende del volumen (apalancamiento operativo: el +4,8 % de ventas del 1S26 subió el margen EBITA ajustado 28 puntos básicos) y del precio: el cable (16 % de las ventas en 2025, con un 60 % de cobre en su composición) traslada el precio del metal, con efecto no recurrente que la empresa aísla en su EBITA ajustado [1, 4]. Los gastos de personal y logística son casi fijos a corto plazo; la productividad (ventas por empleado +4 % en el 1S26) y la digitalización sostienen el margen [4]. Estacionalidad baja; el circulante comercial ronda el 15-16 % de las ventas y la caja se concentra en el cuarto trimestre [1,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instaladores y pymes (855.000 cuentas activas en digital) más grandes cuentas industriales y de proyectos [1]. Ningún cliente es significativo en las cuentas. No hay contratos plurianuales salvo en proyectos y servicios; la fidelidad se gana con disponibilidad, crédito comercial y servicio. Poder de precios demostrado en 2021-2023 (orgánico de dos dígitos en 2022 con la inflación) y de nuevo en 2026: precios +3,3 % frente a una inflación de costes del 2,5 % en el 1S26 [13]. En 2024-2025, con la construcción residencial europea en mínimos, los precios no cable cayeron más de dos años y el margen bajó del 6,8 % al 5,9 % [1, 13]. En Francia, el residencial es el 38 % de las ventas, el industrial el 17 % y el resto no residencial (oficinas, comercio, sanidad, obra pública)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días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 +5,1 %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+6,7 %, con volumen positivo en las tres regiones por primera vez desde el 2T23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corriente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(2025); 6,2 %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y +0,4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al menos 6,2 %; objetivo a medio plazo por encima del 7 %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digitales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(2025); 35 %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44 %, Norteamérica 27 %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sobre ventas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 crecen más del 100 %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en EE. UU. por encima de 2.000 M USD (récord)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(FCF antes de intereses e impuestos / EBITDAaL)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incluye la multa de 124 M de la Autoridad de la Competencia; guía 2026 &gt; 65 %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Ratio de deuda (DN / EBITDAaL, contrato bancario)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Revere y TC 360 y dividendo; objetivo c. 2x desde 2027 tras GCG [4,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Distribución profesional de material eléctrico y segmentos adyacentes (solar, recarga, climatización, automatización, datos y seguridad) en los 17 países donde opera Rexel. Se usa la estimación de la propia empresa (mercado direccionable de ≈ 320.000 M, de ellos ≈ 220.000 M de distribución eléctrica básica de crecimiento bajo-medio y ≈ 100.000 M de adyacentes de más crecimiento) [1]. No hay una segunda fuente independiente gratuita del mismo perímetro: como contraste, Sonepar, el líder, vendió 33.600 M en 2025 [17] y Graybar 12.876 M USD [18], de modo que los cinco primeros suman algo más de 85.000 M, alrededor de una cuarta parte del mercado estimado.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320.000 M EUR de mercado direccionable en 2025 (estimación de Rexel)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transición energética (solar, bombas de calor, recarga)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Soluciones de transición energética +15 % en Europa en el 2T26, 22 % de las ventas de la región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infraestructura eléctrica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de las ventas de EE. UU., crecen más del 100 % en el 2T26; cartera de pedidos &gt; 2.000 M USD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y no residencial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−2,4 % orgánico en 2024 y +2,5 % en el 1S26; Reino Unido aún −3,8 % en el 2T26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cable +2,2 puntos de contribución al crecimiento del 2T26; efecto cobre no recurrente de +21 M en el EBITA del 1S26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e IA en la venta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digitales del 35 %; productividad del 4 % en el 1S26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prima de riesgo (Francia)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Diferencial OAT-Bund de 1,4 puntos el 19-oct-26 frente a ≈ 0,8 en julio [19,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Sonepar (33.600 M) dobla a Rexel; en EE. UU. compiten WESCO, Graybar, CED y cientos de independientes; márgenes EBIT del 4-7 % [17, 18,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(855.000 cuentas digitales) que valoran disponibilidad y crédito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concentrados (Schneider, Legrand, ABB, Siemens) con marcas que el instalador exige; rappels y acuerdos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sucursales, logística y escala de compra difíciles de replicar; Amazon Business no ha cambiado la cuota en material técnico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del fabricante limitada a grandes proyectos; la venta digital la captura el propio distribuidor (35 % de las ventas) [13]</w:t>
            </w:r>
          </w:p>
        </w:tc>
      </w:tr>
    </w:tbl>
    <w:p>
      <w:pPr>
        <w:spacing w:after="160" w:before="0"/>
      </w:pPr>
    </w:p>
    <w:p>
      <w:pPr>
        <w:pStyle w:val="Heading2"/>
      </w:pPr>
      <w:r>
        <w:t xml:space="preserve">Ciclo</w:t>
      </w:r>
    </w:p>
    <w:p>
      <w:pPr>
        <w:spacing w:after="100"/>
      </w:pPr>
      <w:r>
        <w:t xml:space="preserve">Volumen positivo en las tres regiones en el 2T26 por primera vez desde el 2T23 y precios no cable de vuelta al 1-2 % tras dos años de presión [13]. Rexel cayó un 2,4 % orgánico en 2024 con la construcción residencial europea en mínimos [1]; en 2020 vendió 12.593 M (−8 %) y perdió dinero por deterioros, y en 2022 creció más del 20 % con la inflación del cobre [3]. Riesgo: que la subida de tipos largos en Francia y la incertidumbre presupuestaria frenen la reforma residencial (MaPrimeRénov') y la obra pública.</w:t>
      </w:r>
    </w:p>
    <w:p>
      <w:pPr>
        <w:pStyle w:val="Heading2"/>
      </w:pPr>
      <w:r>
        <w:t xml:space="preserve">Regulación</w:t>
      </w:r>
    </w:p>
    <w:p>
      <w:pPr>
        <w:spacing w:after="100"/>
      </w:pPr>
      <w:r>
        <w:t xml:space="preserve">La transición energética europea (Directiva de eficiencia energética de edificios, ayudas a bombas de calor y solar) sostiene la demanda; en Francia, MaPrimeRénov' y los certificados de ahorro energético dependen del presupuesto anual [1]. Derecho de la competencia: la Autoridad francesa multó a Rexel con 124 M en octubre de 2024 por prácticas en la fijación de precios con fabricantes (pagado en abril de 2025) y hay demandas civiles derivadas [1]. Fiscal: contribución excepcional sobre el beneficio de grandes empresas en Francia (23,5 M en 2025 y 14,4 M en el 1S26) [1, 13].</w:t>
      </w:r>
    </w:p>
    <w:p>
      <w:pPr>
        <w:pStyle w:val="Heading2"/>
      </w:pPr>
      <w:r>
        <w:t xml:space="preserve">Tendencias y disrupción</w:t>
      </w:r>
    </w:p>
    <w:p>
      <w:pPr>
        <w:spacing w:after="100"/>
      </w:pPr>
      <w:r>
        <w:t xml:space="preserve">Gana con la electrificación (solar, recarga, climatización), con la automatización industrial y con los centros de datos en Norteamérica, donde Rexel ha comprado capacidades de servicio avanzado (Talley, Revere, TC 360, DEE, GCG) [13, 15]. La digitalización (35 % de ventas) y la IA aplicada a ofertas y surtido mejoran productividad [13]. Riesgo de desintermediación limitado: el instalador necesita stock local y crédito.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distribuidor de material eléctrico del mundo por ventas tras Sonepar; ≈ 6 % del mercado direccionable estimado por la empresa (≈ 9 % de la distribución eléctrica básica) [1,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Sonepar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familiar y no cotizada; récord de ventas en 2025 y fuerte crecimiento en América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WCC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EE. UU. tras comprar Anixter (2020); muy expuesto a centros de datos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Graybar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sus empleados; presenta 10-K en la SEC (12.876 M USD de ventas en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Solar 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 nórdico cotizado; margen muy bajo en 2025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proveedores y clientes en la plataforma digital mejoran el surtido, pero no hay efecto de red fuerte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EDI/ERP con grandes cuentas y crédito comercial; el instalador cambia de sucursal con facilidad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distribución autorizada (Rockwell en Revere) [3]; la marca pesa poco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y logística: margen EBITA ajustado del 6,0-7,3 % en 2022-2025 frente al 4,5-5,3 % EBIT de Graybar y WESCO [1, 9,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de sucursales en Francia, Benelux, Suecia y regiones de EE. UU. donde es 1.º o 2.º [1]</w:t>
            </w:r>
          </w:p>
        </w:tc>
      </w:tr>
    </w:tbl>
    <w:p>
      <w:pPr>
        <w:spacing w:after="160" w:before="0"/>
      </w:pPr>
    </w:p>
    <w:p>
      <w:pPr>
        <w:pStyle w:val="Heading2"/>
      </w:pPr>
      <w:r>
        <w:t xml:space="preserve">Amenazas</w:t>
      </w:r>
    </w:p>
    <w:p>
      <w:pPr>
        <w:spacing w:after="100"/>
      </w:pPr>
      <w:r>
        <w:t xml:space="preserve">Sonepar (33.600 M, familiar) gana cuota en América y Europa con más escala [17]; WESCO y Graybar compiten en centros de datos en EE. UU. [18, 21]; los fabricantes (Schneider, ABB, Legrand) venden directo a los grandes instaladores y a los centros de datos; y las plataformas digitales y Amazon Business presionan los precios de los productos estándar.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7,2 %</w:t>
      </w:r>
      <w:r>
        <w:t xml:space="preserve">, EBITDA </w:t>
      </w:r>
      <w:r>
        <w:rPr>
          <w:b/>
          <w:bCs/>
        </w:rPr>
        <w:t xml:space="preserve">5,1 %</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14.690 M en 2021 a 19.415 M en 2025 (TCAC del 7,2 %, con +27 % en 2022 por la inflación del cobre y las compras; +0,7 % en 2024 y 2025) [1, 3]. El margen EBITDA de la empresa bajó del 9,0 % de 2022 al 8,0 % de 2025 (−100 pb): menos inflación de precios, volúmenes débiles en Europa (ventas −1,5 % en 2025; Francia +2,8 %, con un residencial flojo) y costes de personal [1]. Las compras (≈ 2.000 M en cinco años) añadieron cerca de 2 puntos al año de crecimiento [1, 14]. El BPA publicado cayó de 3,04 € (2022) a 1,13 € (2024, con la multa de 124 M) y volvió a 1,99 € en 2025; en los últimos 12 meses a junio de 2026, 2,26 €, con el EBITDA a 1.601 M (8,2 %) [4, 5]. Lo que vigilar: la recuperación del margen en 2026 viene de Norteamérica (margen EBITA del 7,4 %) y no de Europa (5,7 %).</w:t>
      </w:r>
    </w:p>
    <w:p>
      <w:pPr>
        <w:pStyle w:val="Heading2"/>
      </w:pPr>
      <w:r>
        <w:t xml:space="preserve">Ajustes y partidas no recurrentes</w:t>
      </w:r>
    </w:p>
    <w:p>
      <w:pPr>
        <w:spacing w:after="100"/>
      </w:pPr>
      <w:r>
        <w:t xml:space="preserve">Usamos cifras publicadas. El EBITDA de la empresa excluye los otros ingresos y gastos (reestructuración, deterioros, multa de 2024, plusvalías), que en la cuenta van como no recurrentes dentro del EBITDA. La empresa publica además un EBITA corriente ajustado (sin efecto cobre): 1.163 M en 2025 (6,0 %) [1]; el consenso de EBIT es ese EBITA.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1S26 (27-jul) la dirección elevó la guía de 2026 (ventas a días constantes c. +5 % frente al 3-5 %, margen EBITA ≥ 6,2 %) por Norteamérica, centros de datos y servicios, pero avisó de que el margen del 2S podría no mejorar como de costumbre por la mezcla y los costes de explotación [4, 13]. En el 1T (22-abr) las ventas quedaron por debajo de lo esperado (+3,4 % a días constantes, −1,8 % publicado) y la acción cayó un 1,7 % [6, 43]. Entre una y otra cambió el tono sobre EE. UU. (más optimista) y algo mejor sobre Europa (Francia +4,1 % en el 1S26 y +6,3 % en el 2T, por climatización) [4]. En la llamada de GCG (25-sep) los analistas preguntaron por el múltiplo pagado (&lt; 8x EBITDAaL con sinergias), la ampliación y el riesgo de concentración en centros de datos; la dirección no dio cifras de EBITDA de GCG sin sinergias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Compras en Norteamérica y Europa en 2021-2023 (entre ellas Mayer, Buckles-Smith y Wasco): el crecimiento de 2022 lleva perímetro y la inflación del cobre; 2025: Venta de Oriente Medio (ene-25), Nueva Zelanda (feb-25) y Finlandia (sep-25, plusvalía de 39 M); compras de Warshauer, Schwing, Jacmar y Tecno Bi (c. 247 M de ventas anuales)).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con arrendamientos subió de 2.718 M (2021) a 4.076 M (2025) por las compras y las recompras, y a 4.892 M a 30-jun-2026; con GCG (1.247 M) y menos la ampliación (≈ 490 M netos), la deuda neta ajustada es de 5.949 M, 3,7 veces el EBITDA de los últimos 12 meses (3,0 sin pensiones y otros ajustes) [1, 5]. Es mucha deuda para un distribuidor cíclico: la empresa apunta a ≈ 2 veces sin arrendamientos y la cobertura de intereses ha bajado de 26x (2022) a 8,3x (2025). El circulante se mantiene en el 14-15 % de las ventas. Liquidez holgada: 1.034 M de caja y 900 M de línea sindicada sin disponer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2.376</w:t>
      </w:r>
      <w:r>
        <w:t xml:space="preserve">, conversión </w:t>
      </w:r>
      <w:r>
        <w:rPr>
          <w:b/>
          <w:bCs/>
        </w:rPr>
        <w:t xml:space="preserve">74 %</w:t>
      </w:r>
      <w:r>
        <w:t xml:space="preserve"> del beneficio neto; adquisiciones 2.031, dividendos 1.444, recompras 396.</w:t>
      </w:r>
    </w:p>
    <w:p>
      <w:pPr>
        <w:spacing w:after="100"/>
      </w:pPr>
      <w:r>
        <w:t xml:space="preserve">El FCF (flujo operativo − capex − pagos de arrendamientos) sumó 2.376 M en 2021-2025, con una conversión media del 74 % del beneficio [1]. 2024 (147 %) está inflado porque el beneficio bajó por la multa sin salida de caja; 2022 (54 %) refleja la subida del circulante con la inflación. El capex en inmovilizado es bajo (0,7-0,8 % de las ventas, sobre todo sistemas digitales y almacenes) y casi todo es de mantenimiento; los arrendamientos (≈ 250 M al año) son el coste real de la red. La caja se fue a compras (2.031 M), dividendos (1.444 M) y recompras (396 M): más de lo generado, por eso subió la deuda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KPMG (cocomisarios)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Auditan PwC y KPMG, con opinión sin salvedades [1]. Las señales son buenas: Beneish de −2,57 (sin manipulación aparente), Piotroski de 8 sobre 9 y Altman en zona gris (2,87), propia de un distribuidor apalancado. Los otros gastos se repiten todos los años (45-258 M en 2021-2025: reestructuración, deterioros en Asia y la multa de 2024), así que el BPA ajustado que usa el consenso es optimista; nosotros usamos el publicado. El fondo de comercio (3.908 M) es el 42 % del capital invertido; la UGE Francia lleva 1.363 M con un WACC del 8,7 % en la prueba de deterioro [1]. La titulización sin recurso (194 M) reduce la deuda contable. No vemos capitalización agresiva de gastos ni cambios de criterio.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(reestructuración y deterioros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45-258 M al año en 2021-2025: el BPA ajustado del consenso los excluye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Titulización de clientes sin recurso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193,6 M a junio de 2026, sumados a la deuda en el puente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alto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3.908 M, el 42 % del capital invertido; la UGE Francia (1.363 M) es sensible al WACC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 2024 (46,6 %)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no deducible de 124 M; puntual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3.908 M en 2025 (el 42 % del capital invertido medio); ha subido más de un 5 % en 2 de 4 años: compras pequeñas. ROIC publicado 8,3 %; sin fondo de comercio, 14,2 %.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2,1 % · </w:t>
      </w:r>
      <w:r>
        <w:rPr>
          <w:b/>
          <w:bCs/>
        </w:rPr>
        <w:t xml:space="preserve">WACC</w:t>
      </w:r>
      <w:r>
        <w:t xml:space="preserve">: 8,5 %.</w:t>
      </w:r>
    </w:p>
    <w:p>
      <w:pPr>
        <w:spacing w:after="100"/>
      </w:pPr>
      <w:r>
        <w:t xml:space="preserve">El ROIC (con fondo de comercio) fue del 10-13 % en 2021-2023, con los precios de pico, y bajó al 7,3 % en 2024 y al 8,3 % en 2025, igual que el WACC (8,49 %): hoy Rexel no crea valor sobre todo el capital, aunque sin el fondo de comercio el ROIC es del 14,2 %. Lo mueve el margen (EBITA del 5,8-7,1 %) más que la rotación (1,35 veces). El ROIC incremental de 2021-2025 fue del 2,1 %: las compras han añadido capital más deprisa que beneficio. Los distribuidores americanos (Grainger, Watsco, Ferguson) tienen ROIC del 15-30 % y WESCO de ≈ 9-10 % [32]. </w:t>
      </w:r>
      <w:r>
        <w:rPr>
          <w:b/>
        </w:rPr>
        <w:t xml:space="preserve">ROIC − WACC: −0,2 puntos</w:t>
      </w:r>
      <w:r>
        <w:t xml:space="preserv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1.034 M a 30-jun-26; la línea sindicada (900 M a 31-dic-25) estaba sin disponer [1, 5]; ampliación de capital de 500 M cobrada el 1-oct-26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Ba1, perspectiva estable (31-ago-26); S&amp;P BB+, perspectiva estable (3-ago-26) [11,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Titulización de clientes sin recurso fuera de balance (193,6 M; programa francés de 420 M), que sumamos a la deuda en el puente; pagos aplazados de compras (41,1 M) [1, 5].</w:t>
      </w:r>
    </w:p>
    <w:p>
      <w:pPr>
        <w:pStyle w:val="Heading1"/>
      </w:pPr>
      <w:r>
        <w:t xml:space="preserve">12. Asignación de capital</w:t>
      </w:r>
    </w:p>
    <w:p>
      <w:pPr>
        <w:pStyle w:val="Confianza"/>
        <w:spacing w:after="100"/>
      </w:pPr>
      <w:r>
        <w:t xml:space="preserve">Confianza: Media</w:t>
      </w:r>
    </w:p>
    <w:p>
      <w:pPr>
        <w:spacing w:after="100"/>
      </w:pPr>
      <w:r>
        <w:t xml:space="preserve">Dividendo de al menos el 40 % del beneficio neto recurrente: 1,20 EUR por acción con cargo a 2022, 2023, 2024 y 2025 (pagado el 13-may-26) [1]. Recompras de 96,6 M en 2025 y 102,0 M en 2024, con amortización de acciones (14,7 M de nominal en 2025) [1]. Prioridades de Axelerate 2028: compras selectivas autofinanciadas (2-3 puntos de crecimiento al año) y ratio de deuda en torno a 2x [7, 14]. En 2026: OCEANE de 400 M al 1 % con conversión a 50,30 EUR (mayo) [10] y ampliación de 500 M a 34,75 EUR (septiembre) para GCG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GCG (cable especial y conectividad, EE. UU.; c. 1.100 M USD de ventas, margen EBITA c. 11 %)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 800 M de deuda y ampliación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(previsto a final de 2026); &lt; 8x EBITDAaL 2026e con sinergias según la empresa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Revere Electrical Supply (automatización, Illinois; c. 330 M USD de ventas), TC 360 (Canadá, 85 M CAD) y DEE Electronics (50 M USD)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financiera de 398 M en el 1S26 (Revere y TC 360); precios no publicados por separado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Warshauer, Schwing (EE. UU.), Jacmar (Canadá), Tecno Bi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252,3 M, c. 247 M de ventas anuales; &lt; 1,5 % del EBITA en el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Talley (inalámbrico, EE. UU.), Itesa (seguridad, Francia), Electrical Supplier (Florida)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aplazado de Talley de 102,8 M en 2025; sin deterioros de esos fondos de comercio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Wasco (Países Bajos), Buckles-Smith (EE. UU.)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caja de 686,6 M en compras en 2023 [3]</w:t>
            </w:r>
          </w:p>
        </w:tc>
      </w:tr>
    </w:tbl>
    <w:p>
      <w:pPr>
        <w:spacing w:after="160" w:before="0"/>
      </w:pPr>
    </w:p>
    <w:p>
      <w:pPr>
        <w:spacing w:after="100"/>
      </w:pPr>
      <w:r>
        <w:t xml:space="preserve">La dirección reparte bien (dividendo de 1,20 € estable y recompras de ≈ 100 M al año) pero compra caro para lo que rinde: 2.031 M en compras en cinco años con un ROIC incremental del 2,1 % [1]. GCG (≈ 1.247 M, &lt; 8 veces el EBITDAaL con sinergias, ≈ 11 veces sin ellas) es la mayor compra desde 2012 y la primera financiada con una ampliación (500 M a 34,75 €, por encima del precio de hoy) [7, 8]: protege el rating, pero diluye un 4,8 % y contradice la política de compras autofinanciadas de Axelerate 2028 [14]. La OCEANE de 400 M al 1 % (conversión a 50,30 €) abarata la deuda [10]. Veredicto: correcta pero sin crear valor; el examen es el margen de GCG en 2027.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Texier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Saint-Gobain desde 2005, donde llegó a director financiero del grupo [1]. En Rexel desde sep-2021: margen EBITA ajustado entre el 5,9 % y el 7,3 % en 2022-2025, rotación hacia Norteamérica (46 % de las ventas en 2025) y 21 compras desde 2021 con 2.800 M de ventas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Agnès Touraine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febrero de 2017 y presidenta desde el 1-sep-2023; fundadora y consejera delegada de Act III Consultants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Auque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presidente de la comisión de auditoría y riesgos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director financiero de Aerospatiale Matra; consejero de Rexel desde mayo de 2019 y presidente de la comisión de auditoría y riesgos, reelegido en abril de 2026 [1,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Schuchna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(Cevian)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de Cevian Capital desde 2011; cooptado el 15-oct-2025 en sustitución de otro consejero de Cevian, ratificado en la junta de 2026 [1, 22]. Compró 15.000 acciones a 32,44 EUR el 3-dic-2025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febrero de 2024, rebajada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−2,4 % a días constantes; margen EBITA ajustado del 5,9 %; conversión de caja del 76 %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estables a ligeramente positivas, margen EBITA ajustado c. 6 %, conversión c. 65 % (sin la multa); elevada en oct-25 a «ligeramente positivas» y &gt; 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+2,5 %, margen 6,0 %, conversión 76 % sin la multa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+3-5 %, margen c. 6,2 %, conversión &gt; 65 % (feb-26); elevada el 27-jul a c. +5 % y al menos 6,2 %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+5,1 % a días constantes y margen del 6,2 %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Axelerate 2028: crecimiento del 5-8 % con 2-3 puntos de compras, margen EBITA ajustado &gt; 7 %, conversión media del 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Vigente; reiterado el 27-jul-26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Guillaume Texier, consejero delegado desde 2021, ha cumplido o elevado la guía en 2024-2026 salvo el margen de 2024 [4]. El equipo es estable. La venta de Texier el 17-jun-2026 (11.500 acciones a 38,00 €) es pequeña frente a su participación y la compra de Robert Schuchna (Cevian) en diciembre de 2025 (15.000 a 32,44 €) va en sentido contrario [23].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Agnès Touraine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Auque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Borges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Brigitte Cantaloube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Dalibard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gobierno y RSC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Labaye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Vandenborre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Schuchna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Texier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 Hermelin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Toni Killebrew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o más comisiones (detalle en el URD)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0,49 / ventas 0,44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Cevian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M de acciones sin cambios desde 2023: 23,3 % a dic-25, diluido a ≈ 22,2 % tras la ampliación del 1-oct-26 si no acudió [1,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5 % al alza (jun-25) y a la baja (dic-25)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5 % en ago-25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y FCPE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2,94 M de acciones a 1-oct-26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Guillaume Texier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Schuchna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Fijo de 820.227 EUR en 2025 y variable anual objetivo del 130 % del fijo desde 2026 (120 % en 2025), con criterios mayoritariamente financieros (EBITA, ventas, caja) y una parte ESG [1]. El variable a largo plazo son acciones de rendimiento valoradas en 1,86 M en 2025, sujetas a condiciones medidas en al menos tres años; el 78 % del paquete depende de resultados [1]. Total devengado de 4,02 M en 2025 frente a 3,16 M en 2024; la relación con la retribución media de la plantilla subió de 18 veces en 2021 a 51 en 2025 [1]. Indemnización por cese condicionada al EBITA y sin pacto de no competencia [1]. La junta del 22-abr-2026 aprobó todas las resoluciones de retribución; el porcentaje de voto no se ha comprobado [22].</w:t>
      </w:r>
    </w:p>
    <w:p>
      <w:pPr>
        <w:pStyle w:val="Heading2"/>
      </w:pPr>
      <w:r>
        <w:t xml:space="preserve">Operaciones vinculadas, estructura de control y defensas</w:t>
      </w:r>
    </w:p>
    <w:p>
      <w:pPr>
        <w:spacing w:after="100"/>
      </w:pPr>
      <w:r>
        <w:t xml:space="preserve">Sin accionista de control: Cevian, con ≈ 22 % tras la ampliación, tiene un consejero de once y apoyó al consejo cuando rechazó la propuesta de QXO a 28,00-28,40 EUR en septiembre de 2024 [1, 16]. Una acción, un voto (los estatutos no dan voto doble, aunque la ley francesa lo permitiría) [1]. Siete de los nueve consejeros no laborales son independientes, presidencia y dirección separadas. No hay operaciones vinculadas relevantes en el URD [1]. El riesgo para el minoritario es de liquidez y de precio, no de control: una venta de un bloque de Cevian (69 M de acciones, ≈ 2.300 M EUR al precio de hoy) pesaría en la cotización; la ampliación lleva un compromiso de no emitir 90 días hasta finales de diciembre de 2026 [8].</w:t>
      </w:r>
    </w:p>
    <w:p>
      <w:pPr>
        <w:pStyle w:val="Heading2"/>
      </w:pPr>
      <w:r>
        <w:t xml:space="preserve">Señales de alerta</w:t>
      </w:r>
    </w:p>
    <w:p>
      <w:pPr>
        <w:pStyle w:val="ListParagraph"/>
        <w:numPr>
          <w:ilvl w:val="0"/>
          <w:numId w:val="2"/>
        </w:numPr>
        <w:spacing w:after="60"/>
      </w:pPr>
      <w:r>
        <w:t xml:space="preserve">Multa de 124 M de la Autoridad de la Competencia francesa (29-oct-2024) por prácticas en precios con proveedores, recurrida, y demandas civiles derivadas [1].</w:t>
      </w:r>
    </w:p>
    <w:p>
      <w:pPr>
        <w:pStyle w:val="ListParagraph"/>
        <w:numPr>
          <w:ilvl w:val="0"/>
          <w:numId w:val="2"/>
        </w:numPr>
        <w:spacing w:after="60"/>
      </w:pPr>
      <w:r>
        <w:t xml:space="preserve">Venta del consejero delegado: 11.500 acciones a 38,00 EUR el 17-jun-2026 (0,44 M), tras recibir 85.542 acciones gratuitas el 21-abr-2026 [23].</w:t>
      </w:r>
    </w:p>
    <w:p>
      <w:pPr>
        <w:pStyle w:val="ListParagraph"/>
        <w:numPr>
          <w:ilvl w:val="0"/>
          <w:numId w:val="2"/>
        </w:numPr>
        <w:spacing w:after="60"/>
      </w:pPr>
      <w:r>
        <w:t xml:space="preserve">Posible bloque de Cevian (≈ 22 % del capital, siete años en el accionariado): riesgo de oferta secundaria acelerada.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elevada el 27-jul: crecimiento de las ventas a días constantes de c. +5 % (antes 3-5 %), margen EBITA corriente ajustado ≥ 6,2 % y conversión de FCF &gt; 65 % [4]. Axelerate 2028: crecimiento del 5-8 % al año (con compras) y margen EBITA &gt; 7 %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recogido por Rexel del 5 al 13-oct-26, media de 13 analistas (BPA ajustado; EBIT = EBITA corriente)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consenso, con GCG (4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consenso, con GCG (4 analistas)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30,00 – 46,00</w:t>
            </w:r>
          </w:p>
        </w:tc>
      </w:tr>
    </w:tbl>
    <w:p>
      <w:pPr>
        <w:spacing w:after="160" w:before="0"/>
      </w:pPr>
    </w:p>
    <w:p>
      <w:pPr>
        <w:pStyle w:val="Heading2"/>
      </w:pPr>
      <w:r>
        <w:t xml:space="preserve">Revisiones de estimaciones</w:t>
      </w:r>
    </w:p>
    <w:p>
      <w:pPr>
        <w:spacing w:after="100"/>
      </w:pPr>
      <w:r>
        <w:t xml:space="preserve">Consenso recogido por la empresa del 5 al 13-oct (13 analistas): BPA ajustado de 2,45 € en 2026e y 2,97 € en 2027e con GCG; objetivo medio de 41,44 € (30-46) [25]. Estable frente al consenso de julio, salvo la incorporación de GCG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Rexel ha ganado al mercado a 1, 3, 5 y 10 años (rentabilidad total del 16,6 % anual a 5 años frente al 9,5 % del STOXX 600) por la recuperación de 2021-2023 y la subida de 2025 (+43 %), con la oferta de QXO de 2024 como suelo [16, 31]. En 2026 se ha quedado atrás (+2,8 % frente al +11,6 %): la caída desde el máximo de 39,3 € (julio) viene de los resultados del 1S (−4,5 % el 28-jul) por la prudencia sobre los márgenes, de la compra de GCG y la ampliación a 34,75 €, y de la caída en octubre de los distribuidores americanos ligados a centros de datos (WESCO −10 % en el mes) [4, 8, 32]. Beta de 1,39 y volatilidad del 30 %.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 -15,7 % / -8,6 % / +11,4 %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 / +11,0 %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6 meses (hasta el 15-oct): compra de GCG (25-sep) y ampliación de 14,4 M de acciones a 34,75 € (29-sep), que dejó papel nuevo por encima del precio; caída sectorial de los distribuidores ligados a centros de datos en EE. UU. y −4,0 % el 15-oct con el CAC +0,8 % (sin noticia propia publicada) [7, 8, 31,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en 6 meses (hasta el 6-may): mejora de Jefferies a positivo (9-abr), ventas del 1T con guía confirmada y OCEANE de 400 M al 1 % [6, 10,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[4]. Unos resultados cercanos no aplazan la decisión (reglas 11 y 13 del método).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país: revisión de Moody's de la nota de Francia (Aa3 con perspectiva negativa, mantenida en abril [41]) prevista para el 23-oct, presupuesto de 2027 en debate y disturbios del 17-oct (estos dos, sin fuente primaria leída). Francia es el 19-20 % de las ventas y el 18-25 % del EBITA (estimación propia); la OAT está a 4,925 % y el diferencial con el Bund en 1,4 puntos [19, 20]. Una rebaja movería el CAC, pero difícilmente Rexel más de un 5 % por sí sola; su sensibilidad está en el DCF (−22 % con la OAT).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14.388.490 acciones a 34,75 € (500 M brutos, ≈ 4,6 % del capital), liquidada el 1-oct, con compromiso de no emitir durante 90 días [8]. Ya hecha: no queda colocación pendiente.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GCG (cable especial y conectividad en EE. UU.) por ≈ 1.400 M USD, cierre previsto a final de 2026 con autorizaciones de competencia [7]. Recogida en la proyección y en el puente.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guía de 2026 elevada, aviso de márgenes del 2S; −4,5 % el 28-jul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Armando Martínez (ex consejero delegado de Iberdrola) como censor, futuro consejero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consejero delegado de 11.500 acciones a 38,00 € (≈ 0,44 M); pequeña y aislada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OCEANE de 400 M al 1 % con vencimiento en 2031 y conversión a 50,30 € (fuera de dinero)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pasa a positivo por precios, recuperación industrial y centros de datos [42]. Consenso de octubre: 10 de 13 analistas compran, objetivo medio 41,44 €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16 % en tres meses tiene sobre todo causas propias y sectoriales: el aviso de márgenes del 2S (28-jul), la compra de GCG con una ampliación a 34,75 € y la caída de los distribuidores americanos ligados a centros de datos. El riesgo país explica una parte menor: desde el 31-jul Rexel cae un 7,7 %, como el CAC 40 (−7,5 %) y menos que BNP (−20 %) o Saint-Gobain (−18 %), frente al −1,5 % del STOXX 600 [31]; con solo el 19 % de las ventas en Francia, la caída no es la de una empresa doméstica. Hecho pendiente: Moody's sobre Francia el 23-oct; no creemos que mueva a Rexel más de un 5 % por sí solo. Sin avisos P1-P5.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Rexel cotiza a 9,9 veces el EBITDA y 14,6 veces el BPA de los últimos 12 meses, un 52-56 % por encima de la media de sus cierres de 2021-2025 (6,5x y 9,4x), en el percentil 75-100 de su historia. La prima se explica por la subida de 2025 (+43 %) y por la nueva mezcla, con Norteamérica (46 % de las ventas) y centros de datos; pero la historia está sesgada a la baja por el BPA de pico de 2022-2023. Excluimos 2024 (BPA con la multa). Sin cambio estructural claro: el ROIC no ha subido.</w:t>
      </w:r>
    </w:p>
    <w:p>
      <w:pPr>
        <w:pStyle w:val="Heading1"/>
      </w:pPr>
      <w:r>
        <w:t xml:space="preserve">18. Comparables cotizados</w:t>
      </w:r>
    </w:p>
    <w:p>
      <w:pPr>
        <w:pStyle w:val="Confianza"/>
        <w:spacing w:after="100"/>
      </w:pPr>
      <w:r>
        <w:t xml:space="preserve">Confianza: Media</w:t>
      </w:r>
    </w:p>
    <w:p>
      <w:pPr>
        <w:spacing w:after="100"/>
      </w:pPr>
      <w:r>
        <w:t xml:space="preserve">Distribuidores profesionales con red de sucursales: los de material eléctrico (WESCO, Solar), los de fontanería, climatización y técnicos (Ferguson, Watsco, Beijer Ref), y los de suministros industriales y consumibles (Grainger, RS Group, Bunzl). Fuera Sonepar, Graybar y CED (no cotizan) y Diploma y Fastenal (nichos con márgenes del 22-25 % y múltiplos de 28-37 veces, otro negocio). Cifras de Yahoo Finance al cierre del 19-oct-26 convertidas con los tipos del BCE de ese día; PER de los próximos 12 meses del consenso de Yahoo. El crecimiento esperado de ventas no está disponible gratis con el mismo criterio para todos y se deja vacío. Los estadounidenses (US GAAP) dejan los alquileres dentro del EBITDA y Rexel no (NIIF 16): su EV/EBITDA no es comparable y la referencia es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Rexel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Ferguson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Beijer Ref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Solar 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14,8x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17,4x / 22,3x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1,4x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ocho comparables cotizan a 10-26 veces el beneficio de los próximos 12 meses (mediana 17,4x) y a 14,8 veces el EBITDA de los últimos 12 meses [32]. Rexel, a 11,5x el BPA de consenso de los próximos 12 meses y 9,9x el EBITDA, cotiza con un descuento del 30-35 %. Parte está justificada: su margen EBITDA (8,3 %) y su ROIC (8,3 %) están por debajo de la mediana (10,2 % y 10,8 %), crece menos que Ferguson o Watsco y un 49 % de sus ventas son europeas, con construcción débil. WESCO, el más parecido (distribución eléctrica y de datos en EE. UU.), está a 17x; Solar, el europeo puro, a 10x. Usaríamos 12-14 veces, no la mediana: por eso los comparables no pesan en el valor real.</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GCG (cable especial, conectividad y soluciones de ingeniería,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1.400 M USD; &lt; 8x EBITDAaL 2026e con sinergias a régimen (sin ellas, más) sobre c. 1.100 M USD de ventas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FloWorks (válvulas y control de fluidos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Ferguson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 10 veces el EBITDA ajustado con sinergias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Foundation Building Materials (materiales de interior)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Lowe's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8.800 M USD; 6.500 M USD de ventas y 635 M USD de EBITDA ajustado 2024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SRS Distribution (tejados, piscinas, paisajismo)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Depot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18.250 M USD; ≈ 1.100 M USD de EBITDA ajustado 2023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(propuesta no vinculante, rechazada)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QXO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28,00-28,40 EUR por acción; valor empresa estimado (precio × ≈ 298 M de acciones + deuda neta y arrendamientos de fin de 2023) sobre el EBITDA de 2023; no hubo operación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(9,5x – 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30,76 – 54,87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cuatro operaciones válidas en distribución profesional se pagaron a 9,5-14,1 veces el EBITDA (mediana 11,7x), con prima de control [26, 27, 28]. GCG se paga a &lt; 8 veces el EBITDAaL con sinergias [7]. La única oferta por Rexel, la de QXO de 2024 a 28 €, se rechazó por baja [16]. Con Cevian en ≈ 22 % y sin accionista de control, Rexel podría volver a ser objetivo, pero no hay oferta ni rumor con fuente.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7,2 % anual en 2021-2025, sobre todo en 2022 por la inflación del cobre (+27 %); en 2023-2025, apenas un 0,7-2,4 % [1]. Para 2026e tomamos un 4,5 % (guía de c. +5 % a días constantes y efecto divisa negativo del dólar; el 1S26 creció un 2,2 % publicado y el 2T un 6,1 %) [4]; el consenso pide un 6,0 % [25]. 2027e suma GCG (≈ 945 M EUR de ventas, ≈ 4,7 puntos) [7] al 4,5 % orgánico. Después, 5 % bajando al 3 % en 2032e: precios del 2 % y volumen del 2-2,5 %, dentro del 5-8 % a medio plazo de la empresa (con compras) [14].</w:t>
      </w:r>
    </w:p>
    <w:p>
      <w:pPr>
        <w:keepNext/>
        <w:spacing w:after="100"/>
      </w:pPr>
      <w:r>
        <w:rPr>
          <w:b/>
          <w:bCs/>
        </w:rPr>
        <w:t xml:space="preserve">Márgenes.</w:t>
      </w:r>
    </w:p>
    <w:p>
      <w:pPr>
        <w:spacing w:after="100"/>
      </w:pPr>
      <w:r>
        <w:t xml:space="preserve">El margen EBITDA de la empresa fue del 8,7-9,0 % en 2021-2022 (precios de pico) y del 7,9-8,5 % en 2023-2025 [1]. Proyectamos el 8,3 % en 2026e (el del consenso, con la guía de margen EBITA ≥ 6,2 %) [25], el 8,7 % en 2027e por GCG (margen EBITA c. 11 %) y el 9,0 % desde 2029e, en línea con la ambición de margen EBITA &gt; 7 % de Axelerate 2028 [14] y por debajo de la mediana de los comparables (10,2 %).</w:t>
      </w:r>
    </w:p>
    <w:p>
      <w:pPr>
        <w:keepNext/>
        <w:spacing w:after="100"/>
      </w:pPr>
      <w:r>
        <w:rPr>
          <w:b/>
          <w:bCs/>
        </w:rPr>
        <w:t xml:space="preserve">Inversión y circulante.</w:t>
      </w:r>
    </w:p>
    <w:p>
      <w:pPr>
        <w:spacing w:after="100"/>
      </w:pPr>
      <w:r>
        <w:t xml:space="preserve">Capex del 2,1-2,25 % de las ventas: inversión en inmovilizado (0,7-0,8 % histórico) más altas de derechos de uso (≈ 1,3-1,4 %, sucursales y almacenes), porque los arrendamientos van en el puente como deuda [1]. La amortización (2,25-2,35 %) incluye la de derechos de uso y la de intangibles de compras; en el último año el capex la iguala. Circulante del 15 % de las ventas (14,8 % en 2025; 13,5-15,3 % en 2021-2025).</w:t>
      </w:r>
    </w:p>
    <w:p>
      <w:pPr>
        <w:keepNext/>
        <w:spacing w:after="100"/>
      </w:pPr>
      <w:r>
        <w:rPr>
          <w:b/>
          <w:bCs/>
        </w:rPr>
        <w:t xml:space="preserve">Coste del capital.</w:t>
      </w:r>
    </w:p>
    <w:p>
      <w:pPr>
        <w:spacing w:after="100"/>
      </w:pPr>
      <w:r>
        <w:t xml:space="preserve">Tasa libre: Bund a 10 años del 19-oct-2026, 3,49 % [19], porque los flujos son en euros (regla del repo). Beta ajustada de 1,26 (5 años, mensual, frente al STOXX 600; la bruta es 1,39) [31]. Prima de mercado del 5,5 %. Prima adicional de 0,3 puntos por la parte francesa del negocio: el 19 % de las ventas por un diferencial OAT-Bund de 1,4 puntos (4,925 % frente a 3,49 %) [19, 20]. Coste de la deuda del 4,5 % antes de impuestos (bonos de 2028 al 2,125 % y de 2030 al 5,25 %, OCEANE al 1 %, Ba1/BB+) [10, 11, 12] y peso de la deuda del 30 % a mercado. WACC del 8,49 %. Con la OAT en lugar del Bund (y sin la prima adicional duplicada), el WACC sube al 9,49 %.</w:t>
      </w:r>
    </w:p>
    <w:p>
      <w:pPr>
        <w:keepNext/>
        <w:spacing w:after="100"/>
      </w:pPr>
      <w:r>
        <w:rPr>
          <w:b/>
          <w:bCs/>
        </w:rPr>
        <w:t xml:space="preserve">Valor terminal.</w:t>
      </w:r>
    </w:p>
    <w:p>
      <w:pPr>
        <w:spacing w:after="100"/>
      </w:pPr>
      <w:r>
        <w:t xml:space="preserve">Gordon con el 2,25 %: crecimiento real del 0,25-0,5 % más la inflación esperada del euro (≈ 2 %), por debajo de la tasa libre menos medio punto (2,99 %). El múltiplo de salida de referencia (9x EBITDA) está por debajo de la mediana de los comparables (14,8x) y cerca de la historia de Rexel (5-9x al cierre de cada año).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(reinvierte el 60 %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(histórico: 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(hoy: 6,1 %)</w:t>
            </w:r>
          </w:p>
        </w:tc>
      </w:tr>
    </w:tbl>
    <w:p>
      <w:pPr>
        <w:spacing w:after="160" w:before="0"/>
      </w:pPr>
    </w:p>
    <w:p>
      <w:pPr>
        <w:spacing w:after="100"/>
      </w:pPr>
      <w:r>
        <w:t xml:space="preserve">La proyección apenas necesita inversión neta de la amortización (reinversión acumulada de 1.009 M, el 13 % del NOPAT, con un capex bruto medio del 2,2 % de las ventas). En un negocio de activos ligeros, el crecimiento medio del 4,8 % tiene que salir de subir precios y de ganar volumen sin capital nuevo, y la prueba es el poder de precios y la cuota (6,7 % del mercado en 2032e, frente al 6,1 %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(EE. UU. en positivo, Europa plana), precios 2 % (cobre y tarifas de proveedores) y 1 punto de compras (Revere, TC360, DEE) netas del efecto divisa, que resta [4,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GCG aporta ≈ 4,7 puntos (≈ 945 M EUR de ventas con un año completo) y las compras pequeñas ≈ 0,5; orgánico del 4 %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con la construcción europea estabilizada y centros de datos en EE. UU.; precios del 2 %; 0,5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precios del 2 %, compras pequeñas 0,5 puntos (la política es 2-3 puntos al año con compras)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y precios del 2 %; sin compras en la proyección.</w:t>
            </w:r>
          </w:p>
        </w:tc>
      </w:tr>
    </w:tbl>
    <w:p>
      <w:pPr>
        <w:spacing w:after="160" w:before="0"/>
      </w:pPr>
    </w:p>
    <w:p>
      <w:pPr>
        <w:spacing w:after="100"/>
      </w:pPr>
      <w:r>
        <w:t xml:space="preserve">En parte. Las pruebas del motor pasan: el crecimiento proyectado (4,8 % anual) apenas necesita capital (reinversión del 13 % del NOPAT) y la cuota sube poco, del 6,1 % al 6,7 % del mercado direccionable en 2032e. Pero el motor de ese crecimiento es más precio y compras que ventaja: el foso es estrecho (escala, logística y relación con proveedores) [1], el ROIC (8,3 %) es igual al WACC (8,49 %) y el ROIC incremental de 2021-2025 fue del 2,1 %, con 2.031 M en compras. Crecer comprando a 8-12 veces el EBITDA no crea valor si el ROIC no sube. El crecimiento es sostenible; que cree valor, solo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(base: 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8,5 %)</w:t>
            </w:r>
          </w:p>
        </w:tc>
      </w:tr>
    </w:tbl>
    <w:p>
      <w:pPr>
        <w:spacing w:after="160" w:before="0"/>
      </w:pPr>
    </w:p>
    <w:p>
      <w:pPr>
        <w:spacing w:after="100"/>
      </w:pPr>
      <w:r>
        <w:t xml:space="preserve">El DCF da 35,53 € por acción, un 7,4 % sobre el precio, con el valor terminal en el 71 % del valor. El DCF inverso dice que el precio de 33,07 € equivale a un crecimiento del 2,5 % anual en 2027-2032 (base: 4,9 %) o a un margen EBITDA del 8,7 % (base: 9,0 %), con una rentabilidad implícita del 8,8 %, casi igual al WACC (8,49 %). No es exigente ni barato: el precio descuenta poco más que el crecimiento con GCG y sin mejora de margen. </w:t>
      </w:r>
      <w:r>
        <w:rPr>
          <w:b/>
        </w:rPr>
        <w:t xml:space="preserve">Riesgo país, sensibilidad a la OAT</w:t>
      </w:r>
      <w:r>
        <w:t xml:space="preserve">: con la OAT a 10 años (4,925 %) en lugar del Bund (3,49 %), el WACC pasa del 8,49 % al 9,49 % y el DCF baja de 35,53 € a 27,85 € (−22 %); el valor real (60 % DCF, 40 % escenarios) baja de 34,96 € a 27,39 € (−22 %), un 17 % por debajo del precio. Sin la prima adicional francesa de 0,3 puntos, el valor real sería 36,86 €. Usamos el Bund porque el 81 % de las ventas está fuera de Francia y la deuda se financia a su propio diferencial (Ba1/BB+), no al del Estado.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Repite 2023-2024: ventas planas o a la baja en Europa (Europa −0,7 % en 2024 y −1,5 % en 2025), cobre a la baja y un frenazo de los centros de datos en EE. UU. que deja a GCG por debajo del plan. Es lo que pasó a WESCO en 2023-2024 y a Rexel en 2019-2020.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GCG integrado desde 2027 y márgenes que suben despacio hacia el 9 % de EBITDA con la mezcla de EE. UU. y los servicios.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construcción europea se recupera desde 2027 con tipos más bajos, la electrificación (bombas de calor, recarga, solar) vuelve a crecer en Francia y Alemania y GCG da sinergias por encima del plan.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33,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34,10 EUR (+3,1 %).</w:t>
      </w:r>
    </w:p>
    <w:p>
      <w:pPr>
        <w:spacing w:after="100"/>
      </w:pPr>
      <w:r>
        <w:t xml:space="preserve">En el DCF el alcista gana un 23,6 % y el bajista pierde un 26,1 %: asimetría de 0,90 veces, desfavorable. A 12 meses, con la regla de múltiplos, el bajista pierde un 58 % (5,9x × 2,34 €) y el alcista gana un 51 % (15,5x × 3,23 €). El bajista a 12 meses es extremo porque el mínimo del PER adelantado (2021) se mide sobre un BPA de pico; aun así, el bajista del DCF (−26 %) es verosímil: la acción cayó un 36 % en 2018 y un 32,8 % desde máximos en los últimos cinco años [31]. No compensa a este precio.</w:t>
      </w:r>
    </w:p>
    <w:p>
      <w:pPr>
        <w:pStyle w:val="Heading1"/>
      </w:pPr>
      <w:r>
        <w:t xml:space="preserve">22. Suma de partes</w:t>
      </w:r>
    </w:p>
    <w:p>
      <w:pPr>
        <w:pStyle w:val="Confianza"/>
        <w:spacing w:after="100"/>
      </w:pPr>
      <w:r>
        <w:t xml:space="preserve">Confianza: Media</w:t>
      </w:r>
    </w:p>
    <w:p>
      <w:pPr>
        <w:spacing w:after="100"/>
      </w:pPr>
      <w:r>
        <w:t xml:space="preserve">No aplica: los tres segmentos (Europa, Norteamérica, Asia-Pacífico) son el mismo negocio de distribución con márgenes del 1-7 %. Una suma de partes con Norteamérica a múltiplos de WESCO daría más, pero ningún comprador pagaría por separado la red europea a ese múltiplo.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33,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34,96 EUR (+5,7 % sobre 33,07).</w:t>
      </w:r>
    </w:p>
    <w:p>
      <w:pPr>
        <w:spacing w:after="100"/>
      </w:pPr>
      <w:r>
        <w:t xml:space="preserve">Pesamos el DCF un 60 % y los escenarios un 40 % (la ponderación del encargo para esta tanda), y dejamos a cero comparables y transacciones. El DCF (35,53 € con un WACC del 8,49 %) es el método más fiable para un distribuidor de márgenes estables y poca inversión; los escenarios (24,43-40,89 €) recogen el ciclo de la construcción. Los comparables darían mucho más (PER de los próximos 12 meses: 44-64 € por acción) porque los distribuidores americanos (Grainger, Watsco, Ferguson) cotizan a 18-26 veces con ROIC y crecimientos mayores; Rexel nunca ha cotizado así. Las transacciones (mediana 11,7x EV/EBITDA, 42,35 €) llevan prima de control, y la única oferta reciente por Rexel (QXO, 2024) fue a 28 € y se rechazó [16]. La dispersión es grande: el valor depende de si Rexel se parece a WESCO (17x) o a su propia historia (6-15x). El valor real es de 34,96 €, un 5,7 % sobre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(12.7x) ÷ 1.1 (tope: la mediana de 5 años, 9.8x,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bl>
    <w:p>
      <w:pPr>
        <w:spacing w:after="160" w:before="0"/>
      </w:pPr>
    </w:p>
    <w:p>
      <w:pPr>
        <w:spacing w:after="100"/>
      </w:pPr>
      <w:r>
        <w:rPr>
          <w:b/>
          <w:bCs/>
        </w:rPr>
        <w:t xml:space="preserve">Objetivo a 12 meses (ponderado):</w:t>
      </w:r>
      <w:r>
        <w:t xml:space="preserve"> 32,65 EUR · rentabilidad +2,3 % (base +4,5 %) · señal Mantener.</w:t>
      </w:r>
    </w:p>
    <w:p>
      <w:pPr>
        <w:spacing w:after="100"/>
      </w:pPr>
      <w:r>
        <w:t xml:space="preserve">Para comparar, con la regla v2 (historia al cierre, mismo precio): 6,1x / 9,4x / 12,2x, -14,6 % Vender; con el tope anterior del base (×1,3, 14-oct mediodía): -0,6 %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(2,61 €) queda un 12 % por debajo del consenso recogido por la empresa (2,97 €) y el de 2028e (2,90 €) un 11 % por debajo (3,27 €) [25]. La diferencia en ventas y EBITDA es pequeña (−3 %); el resto es de base: el consenso es BPA recurrente ajustado, sin otros gastos (≈ 50 M al año de reestructuración) ni la amortización de intangibles de compras, y nosotros usamos el BPA publicado, el mismo de la historia del PER. Nuestro objetivo base a 12 meses (33,35 €) queda un 20 % por debajo del objetivo medio de los analistas (41,44 €; rango 30-46), y nuestro bajista (13,81 €) muy por debajo de su mínimo.</w:t>
      </w:r>
    </w:p>
    <w:p>
      <w:pPr>
        <w:keepNext/>
        <w:spacing w:after="100"/>
      </w:pPr>
      <w:r>
        <w:rPr>
          <w:b/>
          <w:bCs/>
        </w:rPr>
        <w:t xml:space="preserve">Del valor intrínseco al objetivo a 12 meses.</w:t>
      </w:r>
    </w:p>
    <w:p>
      <w:pPr>
        <w:spacing w:after="100"/>
      </w:pPr>
      <w:r>
        <w:t xml:space="preserve">El objetivo a 12 meses (32,65 €, ponderado) y el valor intrínseco (34,96 €) están cerca del precio: no hay distancia que cerrar. La regla v3 lleva el PER actual (12,7x) hacia la mediana adelantada de cuatro años (9,8x), con el tope de ÷1,1 (11,5x): Rexel cotiza por encima de su historia porque la historia de 2021-2022 es la de un BPA de pico por la inflación del cobre. El bajista es muy duro (5,9x, el mínimo de 2021) y pesa en la ponderada; sin él, la rentabilidad del base es del 4,5 % con dividendo. Para que fuese una compra el precio tendría que bajar a 29,43 € o el BPA de 2028e subir a ≈ 3,30 €.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2S tras el aviso de márgenes; volumen en Europa y Francia y crecimiento de centros de datos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Moody's de la nota de Francia (Aa3, perspectiva negativa)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rebaja ensancharía el diferencial OAT-Bund (1,4 puntos) y pesaría en el CAC; en Rexel, por la vía del coste de capital y de la demanda francesa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prórroga o no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23,5 M en 2025 y 14,4 M en el 1S26 [1, 13]: su fin sumaría ≈ 0,08 €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GCG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945 M EUR de ventas con margen EBITA c. 11 % desde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compromiso de no emitir acciones (90 días desde el 29-sep)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directo; la empresa no ha anunciado más emisiones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GCG; el margen EBITA de 2026 frente al ≥ 6,2 %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 1,20-1,25 €)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construcción europea y francesa (Europa es el 48 % de las ventas; Francia el 19 %, con un 38 %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en el bajista del DCF; −58 % a 12 meses en el bajista de la regla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y servicios crecen; costes flexibles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Francia y Europa a días constantes negativas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Francia: diferencial OAT-Bund de 1,4 puntos, revisión de Moody's del 23-oct, presupuesto de 2027 y disturbios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 / 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del valor real si se descuenta con la OAT en lugar del Bund; ≈ −3 % del BPA por la contribución excepcional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81 % de las ventas fuera de Francia; deuda propia Ba1/BB+ a tipo fijo y OCEANE al 1 %; sin tarifas reguladas ni contratos públicos relevantes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Moody's, diferencial &gt; 1,6 puntos o prórroga del recargo en el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GCG y concentración en centros de datos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 sectorial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−1,5 € por acción si GCG no pasa del margen de Rexel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&lt; 8x EBITDAaL con sinergias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por debajo del 7 % en 2027 o caída de los pedidos de centros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3,7 veces el EBITDA (ajustada) tras GCG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Rebaja de rating y +0,5 puntos de coste de la deuda ≈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500 M y conversión del 65 % del EBITDA en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Moody's o S&amp;P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 16 % de las ventas en cable)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de ventas y ±0,3 puntos de margen por cada ±10 % del cobre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 con desfase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−15 %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fabricantes y plataformas digitales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margen ≈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logística y crédito a instaladores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24,5 %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con ROIC incremental bajo (2,1 % en 2021-2025)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 M al 6 % de ROIC resta ≈ 2 €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Cevian en el consejo vigila la disciplina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compra grande antes de bajar la deuda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mixto, más oportunidad que amenaza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digitales del 35 % y herramientas propias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gastos de personal sobre ventas</w:t>
            </w:r>
          </w:p>
        </w:tc>
      </w:tr>
    </w:tbl>
    <w:p>
      <w:pPr>
        <w:spacing w:after="160" w:before="0"/>
      </w:pPr>
    </w:p>
    <w:p>
      <w:pPr>
        <w:pStyle w:val="Heading2"/>
      </w:pPr>
      <w:r>
        <w:t xml:space="preserve">Pre-mortem</w:t>
      </w:r>
    </w:p>
    <w:p>
      <w:pPr>
        <w:spacing w:after="100"/>
      </w:pPr>
      <w:r>
        <w:t xml:space="preserve">Octubre de 2029: la acción ha perdido un 40 %. La construcción europea no se recuperó: Francia vivió tres años de presupuestos de ajuste tras la rebaja de su nota en 2026, la OAT siguió por encima del 5 % y el crédito a la vivienda y las ayudas a la renovación (MaPrimeRénov) se recortaron; las ventas de Rexel en Francia cayeron un 8 % acumulado y el margen de Europa bajó del 5 %. En EE. UU., la inversión en centros de datos se frenó en 2027 tras el exceso de capacidad y GCG, comprado en lo alto del ciclo, perdió un tercio de sus ventas. Con la deuda en 3,7 veces el EBITDA, Moody's rebajó a Ba2 y Rexel recortó el dividendo para no ampliar otra vez. El BPA volvió a 2 € y el mercado le dio el PER de 2021 (6-7 veces). Las señales: las ventas de Francia a días constantes negativas en el 3T26 y el 4T26, el margen de Norteamérica por debajo del 7 % y una perspectiva negativa en el rating de Rexel.</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 +3 % a 3-5 años (en el escenario alcista); sin efecto en el base</w:t>
      </w:r>
    </w:p>
    <w:p>
      <w:pPr>
        <w:spacing w:after="100"/>
      </w:pPr>
      <w:r>
        <w:t xml:space="preserve">La IA toca a Rexel por dos lados. Por la demanda, es una oportunidad: los centros de datos para IA son el motor de Norteamérica y la razón de comprar GCG (cable especial y conectividad) [7]; si la inversión se frena, es también el principal riesgo de la tesis americana. Por los costes, la empresa usa IA en ofertas, surtido y precios, con un 35 % de las ventas digitales [13]; puede ahorrar parte de los gastos generales (19,3 % de las ventas en 2025), pero los competidores harán lo mismo. La amenaza de desintermediación por agentes de compra de IA es baja: el valor está en la logística, el crédito al instalador y la disponibilidad en la sucursal. Señal: margen bruto y gastos de personal sobre ventas.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oro (top 5 %)</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Índices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FTSE4Good, DJSI Europe, Euronext Sustainable Europe 120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r>
    </w:tbl>
    <w:p>
      <w:pPr>
        <w:spacing w:after="160" w:before="0"/>
      </w:pPr>
    </w:p>
    <w:p>
      <w:pPr>
        <w:pStyle w:val="Heading2"/>
      </w:pPr>
      <w:r>
        <w:t xml:space="preserve">Asuntos materiales</w:t>
      </w:r>
    </w:p>
    <w:p>
      <w:pPr>
        <w:spacing w:after="100"/>
      </w:pPr>
      <w:r>
        <w:t xml:space="preserve">El asunto que más mueve cifras es la parte de ventas ligada a la transición energética (22 % en Europa, +15 % en el 2T26) [13] y las emisiones de alcance 3 por uso de los productos vendidos, ligadas a sus bonos sostenibles: el cupón de los bonos de 2021 subiría 25 puntos básicos si no cumple los objetivos (los cumplió a dic-23) [1]. La seguridad laboral (frecuencia de accidentes −19 % en 2025) y la ética de la competencia (multa de 2024) son los otros dos [1].</w:t>
      </w:r>
    </w:p>
    <w:p>
      <w:pPr>
        <w:pStyle w:val="Heading2"/>
      </w:pPr>
      <w:r>
        <w:t xml:space="preserve">Controversias</w:t>
      </w:r>
    </w:p>
    <w:p>
      <w:pPr>
        <w:spacing w:after="100"/>
      </w:pPr>
      <w:r>
        <w:t xml:space="preserve">Multa de 124 M de la Autoridad de la Competencia francesa (29-oct-2024) por prácticas en la fijación de precios con proveedores, pagada en abril de 2025; Rexel recurrió y hay acciones civiles de terceros derivadas de los mismos hechos, sin provisión adicional relevante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EBITA sale de Francia y cómo ha ido el residencial francés en 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EBITA por país; estimamos el 18-25 % y es la base del riesgo país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GCG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EBITDA de GCG sin sinergias y qué parte de sus ventas son centros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compra crea valor y la concentración del riesgo en EE. UU.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2S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EBITA de 2026 quedará cerca del 6,2 % o por encima, tras el aviso de julio?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de 2026e (2,29 €) y el consenso (2,45 €) [4, 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francés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supone para Rexel una prórroga de la contribución excepcional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23,5 M en 2025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volverá la deuda a ≈ 2 veces el EBITDA sin arrendamientos y se retomarán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ajustada es de 3,7 veces con GCG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hay 45-60 M de reestructuración cada año y cuándo dejarán de repetirse?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de base entre el BPA publicado y el ajustado del consenso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(hilos de resultados del 1S26, 27-28 jul)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los resultados «muy buenos» y la caída como recogida de beneficios antes de agosto; otros, que las expectativas no se cumplieron y que la prudencia sobre los márgenes del segundo semestre y la forma de comunicar inquietan [34,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(hilos de rebote de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rebote técnico; se recuerda la oferta de QXO de 2024 como prueba de que el valor interesa a compradores y se celebra la entrada en el consejo del antiguo consejero delegado de Iberdrola [36,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(hilos de la ampliación y de las mejoras de recomendación, sep-oct)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Sorpresa y enfado por la ampliación de capital tras la compra de GCG; a la vez se comentan mejoras de recomendación de la prensa y de un bróker y el interés por los centros de datos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(página de Rexel, RXEEY)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transcripciones de las conferencias (1T26, 1S26 y la de GCG del 25-sep) y un análisis de diciembre de 2025 a favor de la recuperación de los mercados finales; sin debate de lectores accesible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ampliación de capital tras la compra de GCG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ampliación (14,4 M de acciones a 34,75 €, ≈ 4,8 % del capital) financia un tercio de GCG; diluye el BPA de 2027 ≈ 1-2 % frente a una compra solo con deuda, pero protege el rating Ba1/BB+. La queja es razonable en el corto plazo; la acción cotiza por debajo del precio de colocación.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del segundo semestre y comunicación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avisó de que el margen del 2S26 podría no mejorar como de costumbre (mezcla, costes de explotación); la guía anual (margen ≥ 6,2 %) se mantiene. El foro exagera: el margen del 1S26 subió frente al del 1S25.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electrificación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 Norteamérica (≈ 46 % de las ventas) y la razón de GCG; pero en octubre el sector de distribuidores ligados a centros de datos ha caído, y el análisis lo trata como tendencia, no como garantía.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Interés de compradores (QXO 2024) y suelo de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de QXO a 28 € de 2024 se rechazó; hoy la acción cotiza un 18 % por encima. No hay oferta viva ni rumor con fuente: no entra en la valoración.</w:t>
            </w:r>
          </w:p>
        </w:tc>
      </w:tr>
    </w:tbl>
    <w:p>
      <w:pPr>
        <w:spacing w:after="160" w:before="0"/>
      </w:pPr>
    </w:p>
    <w:p>
      <w:pPr>
        <w:spacing w:after="100"/>
      </w:pPr>
      <w:r>
        <w:t xml:space="preserve">El inversor particular francés está dividido y algo más negativo que hace tres meses: la ampliación de capital de septiembre, a un precio por encima del actual, ha dejado mal sabor y se suma a la caída del valor desde el verano. No hay euforia ni capitulación. Lo que el foro no menciona es el riesgo país francés: la conversación gira sobre la ampliación, los márgenes y los centros de datos, no sobre la OAT ni Moody's. Coincide con el análisis en que la caída tiene causas propias (ampliación, sector en EE. UU.) más que francesas. No contradice al consenso de analistas (10 de 13 compran): lo matiza con desconfianza hacia la comunicación. Aporta poco a la decisión, y con un debate tan escaso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43 (21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46,6 %: explica la causa (créditos fiscales, regularizaciones, mezcla de países) y no lo proyectes en el DCF. Explicación: El 46,6 % de 2024 se debe a la multa de 124 M de la Autoridad de la Competencia (no deducible) y a deterioros sin efecto fiscal [1]. No se proyecta: el DCF usa el 28,5 % en 2026 (con la contribución excepcional francesa) y el 27 % después.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6,7 % en 2032e frente al 6,1 %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14,8 % real: genera una variación de circulante de 168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ventas trimestrales (solo ventas); 2) comunicado y estados del 1S26 (solo semestre); 3) presentaciones (sin EBITDA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19 del URD 2025; 2) nota 15 del 1S26; 3) informe de Moody's (sin cifra explícita)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y TCAC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cifra de 2025, estimación propia); 2) presentación Axelerate 2028 (sin serie); 3) informes sectoriales gratuitos (no publican el perímetro europeo y norteamericano junto)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Sonepar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de Sonepar (solo ventas); 2) prensa sectorial (TED, MDM); 3) informe anual (no publica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del 22-abr-2026 (solo dice que se aprobaron todas); 2) página de juntas de la web (resultados en PDF no descargado); 3) URD 2025 (no recoge votos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(sin consulta por emisor desde aquí); 2) foros (cifra de 2024, no válida); 3) prensa (sin dato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y 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PER adelantado y LTM); 2) MarketScreener (no abre sin WebFetch y no da la misma fecha para todos); 3) consenso de cada empresa (no gratuito con el mismo criterio)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adelantados de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histórico); 2) Stock Analysis (de pago para Euronext); 3) informes anuales (no los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ABC Bourse)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search.json (respuesta vacía, bloqueada); 2) Stocktwits RXEEY y RXL (símbolo no encontrado); 3) ABC Bourse, foro RXLp (sin mensajes en la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2025 Universal Registration Document (incluye el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 AMF D.26-0073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https://www.rexel.com/app/uploads/2026/03/Rexel-URD-2025-EN.pdf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2024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https://www.rexel.com/app/uploads/2025/05/rexel-urd-202412-en.pdf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ESEF 2022 y 2023 de Rexel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https://filings.xbrl.org/969500N6AVPA51648T62/2023-12-31/ESEF/FR/0/rexel-2023-12-31AR.json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sales &amp; H1 2026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https://www.rexel.com/app/uploads/2026/05/PR-Q2-sales-H1-2026-results.pdf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https://www.rexel.com/app/uploads/2026/07/Rexel-Financial-Statements-2026-06Y-def.pdf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sales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https://www.rexel.com/app/uploads/2026/04/PR-Q1-2026-sales-.pdf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to acquire GCG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https://www.rexel.com/app/uploads/2026/09/PR-2026-09-Rexel-to-acquire-GCG.pdf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announces the success of its c. €500 million Capital Increase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https://mfn.se/one/a/rexel/rexel-announces-the-success-of-its-c-eu500-million-capital-increase-without-shareholders-preferential-subscription-right-to-partially-fund-the-acquisition-of-gcg-2fac856b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relating to the total number of shares and voting rights as of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https://www.rexel.com/app/uploads/2026/10/Statement-relating-to-the-total-number-of-shares-and-voting-rights-as-of-October-1-2026.pdf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announces the success of its offering of OCEANEs due 2031 (400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https://mfn.se/one/a/rexel/rexel-rexel-announces-the-success-of-its-offering-of-bonds-due-2031-convertible-into-new-shares-and-or-exchangeable-for-existing-shares-oceanes-for-a-nominal-amount-of-eu400-million-6105c02b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Rexel S.A. credit opinion (Ba1 estable)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(publicado por 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https://www.rexel.com/app/uploads/2026/10/Moodys-Rating-260831.pdf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Rexel S.A. (BB+/Stable/B)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(publicado por 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https://www.rexel.com/app/uploads/2026/10/SP-Rating-260803.pdf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sales &amp; H1 2026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https://www.rexel.com/app/uploads/2026/05/Rexel-Second-quarter-sales-H1-2026-results.pdf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update Axelerate 2028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https://www.rexel.com/app/uploads/2025/10/2025-Rexel-Strategic-Update-Axelerate2028-Online.pdf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to acquire GCG (comunicado y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https://www.rexel.com/app/uploads/2026/09/2026-09-Rexel-to-acquire-GCG.pdf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Board of Directors rejects an unsolicited preliminary proposal from QXO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EMR)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https://www.emr-online.com/rexel-rexel-board-of-directors-rejects-an-unsolicited-preliminary-proposal-from-qxo/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Sonepar sets new records in 2025 with €33.6 billion sales and market leadership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Sonepar (vía EMR)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https://www.emr-online.com/sonepar-sonepar-sets-new-records-in-2025-with-e33-6-billion-sales-and-market-leadership/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Graybar Electric Company 10-K 2025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https://data.sec.gov/api/xbrl/companyfacts/CIK0000205402.json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10-Year Bond Yield, datos históricos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https://www.investing.com/rates-bonds/france-10-year-bond-yield-historical-data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WESCO (WCC) y Solar A/S (SOLAR-B.CO): ventas y EBIT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https://finance.yahoo.com/quote/WCC/financials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PR Post Combined Shareholders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https://mfn.se/one/a/rexel/rexel-pr-post-combined-shareholders-meeting-2026-c94e6b6d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(2026DD1122106, 2026DD1109902, 2025DD1072896)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https://bdif.amf-france.org/back/api/v1/informations?RechercheTexte=REXEL&amp;TypesInformation=DD&amp;From=0&amp;Size=40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Appointment of Armando Martinez as Observer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https://mfn.se/one/a/rexel/rexel-appointment-of-armando-martinez-as-observer-babb5522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consensus pre-Q3 2026 (recogido del 5 al 13-oct-2026, 13 de 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https://www.rexel.com/app/uploads/2026/10/Estimates-pre-Q3-2026.pdf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to Acquire FloWorks for $1.6 Billion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https://www.sec.gov/Archives/edgar/data/2011641/000201164126000035/exhibit991pressreleasedate.htm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Announces Agreement to Acquire Foundation Building Materials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https://www.sec.gov/Archives/edgar/data/60667/000006066725000162/exhibit991-08012025fbm.htm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presentación de la compra de SRS Distribution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https://www.sec.gov/Archives/edgar/data/354950/000110465924040163/tm2410002d1_ex99-2.htm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statistics (IRS), Francia y Alemania,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RXL.PA, EXSA.DE (STOXX 600), EXH4.DE, ^STOXX y ^FCHI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https://finance.yahoo.com/quote/RXL.PA/history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los comparables (WCC, FERG, GWW, WSO, BEIJ-B.ST, RS1.L, BNZL.L, SOLAR-B.CO) y objetivos de los analistas de RXL.PA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https://finance.yahoo.com/quote/RXL.PA/analysis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«les resultats sont encore tres bons»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https://www.boursorama.com/bourse/forum/1rPRXL/detail/468265335/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«Baisse?» y «REXEL - Rexel»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https://www.boursorama.com/bourse/forum/1rPRXL/detail/468268175/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«Jolie étoile filante le vendredi...»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https://www.boursorama.com/bourse/forum/1rPRXL/detail/468290882/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«youhou scenario baissier invalidé par la cloture»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https://www.boursorama.com/bourse/forum/1rPRXL/detail/468297858/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«une AK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https://www.boursorama.com/bourse/forum/1rPRXL/detail/468496745/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«upgrade investir!!»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https://www.boursorama.com/bourse/forum/1rPRXL/detail/468521086/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S.A. (RXEEY): noticias, análisis y transcripciones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https://seekingalpha.com/symbol/RXEEY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Moody's maintient la note souveraine à Aa3 avec perspective négative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https://allnews.ch/node/152441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d'analystes France : Jefferies passe positif sur Rexel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https://www.boursorama.com/bourse/actualites/avis-d-analystes-france-jefferies-passe-positif-sur-rexel-td-cowen-revalorise-kering-0edace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maintient ses objectifs (ventas del 1T26 por debajo de lo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rentabilidad</w:t>
      </w:r>
      <w:r>
        <w:t xml:space="preserve"> · Generado el 20 oct 2026.</w:t>
      </w:r>
    </w:p>
    <w:p>
      <w:pPr>
        <w:pStyle w:val="Nota"/>
        <w:spacing w:after="100"/>
      </w:pPr>
      <w:r>
        <w:t xml:space="preserve">Cuentas consolidadas NIIF-UE en millones de EUR; ejercicio natural. 2021-2023 salen del XBRL ESEF del regulador (filings.xbrl.org, LEI 969500N6AVPA51648T62) comprobado contra el URD 2024 [2, 3]; 2024 y 2025 no están en filings.xbrl.org y salen del URD 2025 [1]. El EBITDA es el de la empresa (resultado operativo antes de amortizaciones y de otros ingresos y gastos): en la cuenta, los otros gastos netos van como no recurrentes dentro del EBITDA, incluida la multa de 124 M de la Autoridad de la Competencia francesa de 2024. GCG (1.400 M USD, cierre previsto a final de 2026) entra en la proyección desde 2027 y su precio en el puente (otros_ajustes), con la caja de la ampliación de 500 M cobrada el 1-oct restada [7, 8]. Acciones: 308,9 M (311,39 M emitidas a 1-oct menos autocartera) [9]. Precio: cierre del lunes 19-oct-2026 en Euronext París (subasta de las 17:35 CEST), 33,07 EUR [31]; hoy, 20-oct, a las 10:18 CEST cotizaba a 32,22 EUR. La OAT a 10 años (4,925 %) sale de Investing.com, sin acceso a la serie diaria de la Banque de France; se contrasta con la media mensual del BCE [20, 30]. Las ventas del 3T26 se publican el 22-oct, dos días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Rexel S.A. (RXL)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33,07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(28,37 – 39,80)</c:v>
                </c:pt>
                <c:pt idx="1">
                  <c:v>Precio objetivo de los analistas (30,00 – 46,00)</c:v>
                </c:pt>
                <c:pt idx="2">
                  <c:v>Comparables: PER NTM (44,09 – 63,87)</c:v>
                </c:pt>
                <c:pt idx="3">
                  <c:v>Transacciones precedentes (EV/EBITDA) (30,76 – 54,87)</c:v>
                </c:pt>
                <c:pt idx="4">
                  <c:v>DCF (WACC y g ± 0,5) (28,85 – 44,73)</c:v>
                </c:pt>
                <c:pt idx="5">
                  <c:v>Escenarios (bajista – alcista) (24,43 – 40,89)</c:v>
                </c:pt>
                <c:pt idx="6">
                  <c:v>DCF con la prima implícita del mercado (4,2 %)</c:v>
                </c:pt>
                <c:pt idx="7">
                  <c:v>Precio actual (33,07)</c:v>
                </c:pt>
              </c:strCache>
            </c:strRef>
          </c:cat>
          <c:val>
            <c:numRef>
              <c:f>Hoja1!$B$2:$B$9</c:f>
              <c:numCache>
                <c:formatCode>#,##0.0</c:formatCode>
                <c:ptCount val="8"/>
                <c:pt idx="0">
                  <c:v>28.37</c:v>
                </c:pt>
                <c:pt idx="1">
                  <c:v>30</c:v>
                </c:pt>
                <c:pt idx="2">
                  <c:v>44.09</c:v>
                </c:pt>
                <c:pt idx="3">
                  <c:v>30.76</c:v>
                </c:pt>
                <c:pt idx="4">
                  <c:v>28.85</c:v>
                </c:pt>
                <c:pt idx="5">
                  <c:v>24.43</c:v>
                </c:pt>
                <c:pt idx="6">
                  <c:v>41.94</c:v>
                </c:pt>
                <c:pt idx="7">
                  <c:v>32.9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(28,37 – 39,80)</c:v>
                </c:pt>
                <c:pt idx="1">
                  <c:v>Precio objetivo de los analistas (30,00 – 46,00)</c:v>
                </c:pt>
                <c:pt idx="2">
                  <c:v>Comparables: PER NTM (44,09 – 63,87)</c:v>
                </c:pt>
                <c:pt idx="3">
                  <c:v>Transacciones precedentes (EV/EBITDA) (30,76 – 54,87)</c:v>
                </c:pt>
                <c:pt idx="4">
                  <c:v>DCF (WACC y g ± 0,5) (28,85 – 44,73)</c:v>
                </c:pt>
                <c:pt idx="5">
                  <c:v>Escenarios (bajista – alcista) (24,43 – 40,89)</c:v>
                </c:pt>
                <c:pt idx="6">
                  <c:v>DCF con la prima implícita del mercado (4,2 %)</c:v>
                </c:pt>
                <c:pt idx="7">
                  <c:v>Precio actual (33,07)</c:v>
                </c:pt>
              </c:strCache>
            </c:strRef>
          </c:cat>
          <c:val>
            <c:numRef>
              <c:f>Hoja1!$C$2:$C$9</c:f>
              <c:numCache>
                <c:formatCode>#,##0.0</c:formatCode>
                <c:ptCount val="8"/>
                <c:pt idx="0">
                  <c:v>11.429999999999996</c:v>
                </c:pt>
                <c:pt idx="1">
                  <c:v>16</c:v>
                </c:pt>
                <c:pt idx="2">
                  <c:v>19.779999999999994</c:v>
                </c:pt>
                <c:pt idx="3">
                  <c:v>24.109999999999996</c:v>
                </c:pt>
                <c:pt idx="4">
                  <c:v>15.879999999999995</c:v>
                </c:pt>
                <c:pt idx="5">
                  <c:v>16.46</c:v>
                </c:pt>
                <c:pt idx="6">
                  <c:v>13.5</c:v>
                </c:pt>
                <c:pt idx="7">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9619.1</c:v>
                </c:pt>
                <c:pt idx="1">
                  <c:v>9550.6</c:v>
                </c:pt>
                <c:pt idx="2">
                  <c:v>9403.2</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8231.6</c:v>
                </c:pt>
                <c:pt idx="1">
                  <c:v>8461.8</c:v>
                </c:pt>
                <c:pt idx="2">
                  <c:v>8906.8</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1302.7</c:v>
                </c:pt>
                <c:pt idx="1">
                  <c:v>1272.7</c:v>
                </c:pt>
                <c:pt idx="2">
                  <c:v>1104.7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Europa</c:v>
                </c:pt>
                <c:pt idx="1">
                  <c:v>Norteamérica</c:v>
                </c:pt>
                <c:pt idx="2">
                  <c:v>Asia-Pacífico</c:v>
                </c:pt>
                <c:pt idx="3">
                  <c:v>Corporativo</c:v>
                </c:pt>
              </c:strCache>
            </c:strRef>
          </c:cat>
          <c:val>
            <c:numRef>
              <c:f>Hoja1!$B$2:$B$5</c:f>
              <c:numCache>
                <c:formatCode>General</c:formatCode>
                <c:ptCount val="4"/>
                <c:pt idx="0">
                  <c:v>48.4</c:v>
                </c:pt>
                <c:pt idx="1">
                  <c:v>45.9</c:v>
                </c:pt>
                <c:pt idx="2">
                  <c:v>5.7</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Francia</c:v>
                </c:pt>
                <c:pt idx="2">
                  <c:v>DACH (Alemania, Austria, Suiza)</c:v>
                </c:pt>
                <c:pt idx="3">
                  <c:v>Benelux</c:v>
                </c:pt>
                <c:pt idx="4">
                  <c:v>Canadá</c:v>
                </c:pt>
                <c:pt idx="5">
                  <c:v>Reino Unido e Irlanda</c:v>
                </c:pt>
                <c:pt idx="6">
                  <c:v>Nórdicos</c:v>
                </c:pt>
                <c:pt idx="7">
                  <c:v>Asia-Pacífico</c:v>
                </c:pt>
              </c:strCache>
            </c:strRef>
          </c:cat>
          <c:val>
            <c:numRef>
              <c:f>Hoja1!$B$2:$B$9</c:f>
              <c:numCache>
                <c:formatCode>0"%"</c:formatCode>
                <c:ptCount val="8"/>
                <c:pt idx="0">
                  <c:v>38</c:v>
                </c:pt>
                <c:pt idx="1">
                  <c:v>19.3</c:v>
                </c:pt>
                <c:pt idx="2">
                  <c:v>11.3</c:v>
                </c:pt>
                <c:pt idx="3">
                  <c:v>8</c:v>
                </c:pt>
                <c:pt idx="4">
                  <c:v>7.9</c:v>
                </c:pt>
                <c:pt idx="5">
                  <c:v>4.9</c:v>
                </c:pt>
                <c:pt idx="6">
                  <c:v>3.8</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Rexel</c:v>
                </c:pt>
                <c:pt idx="1">
                  <c:v>Sonepar</c:v>
                </c:pt>
                <c:pt idx="2">
                  <c:v>WESCO International</c:v>
                </c:pt>
                <c:pt idx="3">
                  <c:v>Graybar Electric</c:v>
                </c:pt>
                <c:pt idx="4">
                  <c:v>Solar A/S</c:v>
                </c:pt>
              </c:strCache>
            </c:strRef>
          </c:cat>
          <c:val>
            <c:numRef>
              <c:f>Hoja1!$B$2:$B$6</c:f>
              <c:numCache>
                <c:formatCode>0.0"%"</c:formatCode>
                <c:ptCount val="5"/>
                <c:pt idx="0">
                  <c:v>5.8</c:v>
                </c:pt>
                <c:pt idx="2">
                  <c:v>5.3</c:v>
                </c:pt>
                <c:pt idx="3">
                  <c:v>4.5</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14690.2</c:v>
                </c:pt>
                <c:pt idx="1">
                  <c:v>18701.6</c:v>
                </c:pt>
                <c:pt idx="2">
                  <c:v>19153.4</c:v>
                </c:pt>
                <c:pt idx="3">
                  <c:v>19285.1</c:v>
                </c:pt>
                <c:pt idx="4">
                  <c:v>19414.6</c:v>
                </c:pt>
                <c:pt idx="5">
                  <c:v>20288</c:v>
                </c:pt>
                <c:pt idx="6">
                  <c:v>22155</c:v>
                </c:pt>
                <c:pt idx="7">
                  <c:v>23263</c:v>
                </c:pt>
                <c:pt idx="8">
                  <c:v>24309</c:v>
                </c:pt>
                <c:pt idx="9">
                  <c:v>25282</c:v>
                </c:pt>
                <c:pt idx="10">
                  <c:v>26167</c:v>
                </c:pt>
                <c:pt idx="11">
                  <c:v>26952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1272</c:v>
                </c:pt>
                <c:pt idx="1">
                  <c:v>1680.7</c:v>
                </c:pt>
                <c:pt idx="2">
                  <c:v>1633.1</c:v>
                </c:pt>
                <c:pt idx="3">
                  <c:v>1515.6000000000001</c:v>
                </c:pt>
                <c:pt idx="4">
                  <c:v>1552.6000000000001</c:v>
                </c:pt>
                <c:pt idx="5">
                  <c:v>1684</c:v>
                </c:pt>
                <c:pt idx="6">
                  <c:v>1927</c:v>
                </c:pt>
                <c:pt idx="7">
                  <c:v>2070</c:v>
                </c:pt>
                <c:pt idx="8">
                  <c:v>2188</c:v>
                </c:pt>
                <c:pt idx="9">
                  <c:v>2275</c:v>
                </c:pt>
                <c:pt idx="10">
                  <c:v>2355</c:v>
                </c:pt>
                <c:pt idx="11">
                  <c:v>2426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26.4</c:v>
                </c:pt>
                <c:pt idx="1">
                  <c:v>26</c:v>
                </c:pt>
                <c:pt idx="2">
                  <c:v>25.5</c:v>
                </c:pt>
                <c:pt idx="3">
                  <c:v>24.9</c:v>
                </c:pt>
                <c:pt idx="4">
                  <c:v>25.1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9</c:v>
                </c:pt>
                <c:pt idx="2">
                  <c:v>8.5</c:v>
                </c:pt>
                <c:pt idx="3">
                  <c:v>7.9</c:v>
                </c:pt>
                <c:pt idx="4">
                  <c:v>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6.5</c:v>
                </c:pt>
                <c:pt idx="1">
                  <c:v>7.1</c:v>
                </c:pt>
                <c:pt idx="2">
                  <c:v>6.6</c:v>
                </c:pt>
                <c:pt idx="3">
                  <c:v>5.7</c:v>
                </c:pt>
                <c:pt idx="4">
                  <c:v>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4.1</c:v>
                </c:pt>
                <c:pt idx="1">
                  <c:v>4.9</c:v>
                </c:pt>
                <c:pt idx="2">
                  <c:v>4</c:v>
                </c:pt>
                <c:pt idx="3">
                  <c:v>1.8</c:v>
                </c:pt>
                <c:pt idx="4">
                  <c:v>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-1.8</c:v>
                </c:pt>
                <c:pt idx="5">
                  <c:v>6.1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3</c:v>
                </c:pt>
                <c:pt idx="4">
                  <c:v>3.4</c:v>
                </c:pt>
                <c:pt idx="5">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c:v>
                </c:pt>
                <c:pt idx="1">
                  <c:v>51</c:v>
                </c:pt>
                <c:pt idx="2">
                  <c:v>50</c:v>
                </c:pt>
                <c:pt idx="3">
                  <c:v>51</c:v>
                </c:pt>
                <c:pt idx="4">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69</c:v>
                </c:pt>
                <c:pt idx="1">
                  <c:v>60</c:v>
                </c:pt>
                <c:pt idx="2">
                  <c:v>61</c:v>
                </c:pt>
                <c:pt idx="3">
                  <c:v>63</c:v>
                </c:pt>
                <c:pt idx="4">
                  <c:v>59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73</c:v>
                </c:pt>
                <c:pt idx="1">
                  <c:v>63</c:v>
                </c:pt>
                <c:pt idx="2">
                  <c:v>59</c:v>
                </c:pt>
                <c:pt idx="3">
                  <c:v>58</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419.5000000000001</c:v>
                </c:pt>
                <c:pt idx="1">
                  <c:v>496.6</c:v>
                </c:pt>
                <c:pt idx="2">
                  <c:v>562.8000000000001</c:v>
                </c:pt>
                <c:pt idx="3">
                  <c:v>499.69999999999993</c:v>
                </c:pt>
                <c:pt idx="4">
                  <c:v>396.9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597.2</c:v>
                </c:pt>
                <c:pt idx="1">
                  <c:v>922.3</c:v>
                </c:pt>
                <c:pt idx="2">
                  <c:v>774.7</c:v>
                </c:pt>
                <c:pt idx="3">
                  <c:v>339.1</c:v>
                </c:pt>
                <c:pt idx="4">
                  <c:v>588.9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10.1</c:v>
                </c:pt>
                <c:pt idx="1">
                  <c:v>13.2</c:v>
                </c:pt>
                <c:pt idx="2">
                  <c:v>11.1</c:v>
                </c:pt>
                <c:pt idx="3">
                  <c:v>7.3</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18.7</c:v>
                </c:pt>
                <c:pt idx="2">
                  <c:v>14.3</c:v>
                </c:pt>
                <c:pt idx="3">
                  <c:v>6.1</c:v>
                </c:pt>
                <c:pt idx="4">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2.14</c:v>
                </c:pt>
                <c:pt idx="1">
                  <c:v>1.58</c:v>
                </c:pt>
                <c:pt idx="2">
                  <c:v>2</c:v>
                </c:pt>
                <c:pt idx="3">
                  <c:v>2.55</c:v>
                </c:pt>
                <c:pt idx="4">
                  <c:v>2.63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2026-27 (corto plazo)</c:v>
                </c:pt>
                <c:pt idx="1">
                  <c:v>2028</c:v>
                </c:pt>
                <c:pt idx="2">
                  <c:v>2030</c:v>
                </c:pt>
                <c:pt idx="3">
                  <c:v>2031</c:v>
                </c:pt>
                <c:pt idx="4">
                  <c:v>Otros 2027-2031 (Schuldschein, titulización y bancos a largo)</c:v>
                </c:pt>
              </c:strCache>
            </c:strRef>
          </c:cat>
          <c:val>
            <c:numRef>
              <c:f>Hoja1!$B$2:$B$6</c:f>
              <c:numCache>
                <c:formatCode>#,##0</c:formatCode>
                <c:ptCount val="5"/>
                <c:pt idx="0">
                  <c:v>781</c:v>
                </c:pt>
                <c:pt idx="1">
                  <c:v>1000</c:v>
                </c:pt>
                <c:pt idx="2">
                  <c:v>800</c:v>
                </c:pt>
                <c:pt idx="3">
                  <c:v>400</c:v>
                </c:pt>
                <c:pt idx="4">
                  <c:v>1320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426.3</c:v>
                </c:pt>
                <c:pt idx="1">
                  <c:v>150</c:v>
                </c:pt>
                <c:pt idx="2">
                  <c:v>686.6</c:v>
                </c:pt>
                <c:pt idx="3">
                  <c:v>437.2</c:v>
                </c:pt>
                <c:pt idx="4">
                  <c:v>330.9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139.6</c:v>
                </c:pt>
                <c:pt idx="1">
                  <c:v>230.1</c:v>
                </c:pt>
                <c:pt idx="2">
                  <c:v>362.2</c:v>
                </c:pt>
                <c:pt idx="3">
                  <c:v>357.2</c:v>
                </c:pt>
                <c:pt idx="4">
                  <c:v>354.6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66.3</c:v>
                </c:pt>
                <c:pt idx="2">
                  <c:v>131.4</c:v>
                </c:pt>
                <c:pt idx="3">
                  <c:v>102</c:v>
                </c:pt>
                <c:pt idx="4">
                  <c:v>96.6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Dominical</c:v>
                </c:pt>
                <c:pt idx="2">
                  <c:v>Ejecutivo</c:v>
                </c:pt>
                <c:pt idx="3">
                  <c:v>Otro externo</c:v>
                </c:pt>
              </c:strCache>
            </c:strRef>
          </c:cat>
          <c:val>
            <c:numRef>
              <c:f>Hoja1!$B$2:$B$5</c:f>
              <c:numCache>
                <c:formatCode>0</c:formatCode>
                <c:ptCount val="4"/>
                <c:pt idx="0">
                  <c:v>7</c:v>
                </c:pt>
                <c:pt idx="1">
                  <c:v>1</c:v>
                </c:pt>
                <c:pt idx="2">
                  <c:v>1</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Cevian Capital</c:v>
                </c:pt>
                <c:pt idx="1">
                  <c:v>BlackRock</c:v>
                </c:pt>
                <c:pt idx="2">
                  <c:v>Norges Bank</c:v>
                </c:pt>
                <c:pt idx="3">
                  <c:v>Empleados y FCPE</c:v>
                </c:pt>
                <c:pt idx="4">
                  <c:v>Autocartera</c:v>
                </c:pt>
              </c:strCache>
            </c:strRef>
          </c:cat>
          <c:val>
            <c:numRef>
              <c:f>Hoja1!$B$2:$B$6</c:f>
              <c:numCache>
                <c:formatCode>0.0"%"</c:formatCode>
                <c:ptCount val="5"/>
                <c:pt idx="0">
                  <c:v>22.2</c:v>
                </c:pt>
                <c:pt idx="1">
                  <c:v>4.98</c:v>
                </c:pt>
                <c:pt idx="2">
                  <c:v>4.83</c:v>
                </c:pt>
                <c:pt idx="3">
                  <c:v>1.6</c:v>
                </c:pt>
                <c:pt idx="4">
                  <c:v>0.94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c:v>
                </c:pt>
                <c:pt idx="1">
                  <c:v>-0.6</c:v>
                </c:pt>
                <c:pt idx="2">
                  <c:v>-36.3</c:v>
                </c:pt>
                <c:pt idx="3">
                  <c:v>32.6</c:v>
                </c:pt>
                <c:pt idx="4">
                  <c:v>8.9</c:v>
                </c:pt>
                <c:pt idx="5">
                  <c:v>42.1</c:v>
                </c:pt>
                <c:pt idx="6">
                  <c:v>7.5</c:v>
                </c:pt>
                <c:pt idx="7">
                  <c:v>34.3</c:v>
                </c:pt>
                <c:pt idx="8">
                  <c:v>3.7</c:v>
                </c:pt>
                <c:pt idx="9">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6.4</c:v>
                </c:pt>
                <c:pt idx="1">
                  <c:v>4.9</c:v>
                </c:pt>
                <c:pt idx="2">
                  <c:v>6.6</c:v>
                </c:pt>
                <c:pt idx="3">
                  <c:v>7.4</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6.5</c:v>
                </c:pt>
                <c:pt idx="1">
                  <c:v>6.5</c:v>
                </c:pt>
                <c:pt idx="2">
                  <c:v>6.5</c:v>
                </c:pt>
                <c:pt idx="3">
                  <c:v>6.5</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Rexel</c:v>
                </c:pt>
                <c:pt idx="1">
                  <c:v>WESCO International</c:v>
                </c:pt>
                <c:pt idx="2">
                  <c:v>Ferguson Enterprises</c:v>
                </c:pt>
                <c:pt idx="3">
                  <c:v>W.W. Grainger</c:v>
                </c:pt>
                <c:pt idx="4">
                  <c:v>Watsco</c:v>
                </c:pt>
                <c:pt idx="5">
                  <c:v>Beijer Ref</c:v>
                </c:pt>
                <c:pt idx="6">
                  <c:v>RS Group</c:v>
                </c:pt>
                <c:pt idx="7">
                  <c:v>Bunzl</c:v>
                </c:pt>
                <c:pt idx="8">
                  <c:v>Solar A/S</c:v>
                </c:pt>
              </c:strCache>
            </c:strRef>
          </c:cat>
          <c:val>
            <c:numRef>
              <c:f>Hoja1!$B$2:$B$10</c:f>
              <c:numCache>
                <c:formatCode>0.0"x"</c:formatCode>
                <c:ptCount val="9"/>
                <c:pt idx="0">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GCG (cable especial, conectividad y soluciones de ingeniería, EE. UU.)</c:v>
                </c:pt>
                <c:pt idx="1">
                  <c:v>FloWorks (válvulas y control de fluidos industrial)</c:v>
                </c:pt>
                <c:pt idx="2">
                  <c:v>Foundation Building Materials (materiales de interior)</c:v>
                </c:pt>
                <c:pt idx="3">
                  <c:v>SRS Distribution (tejados, piscinas, paisajismo)</c:v>
                </c:pt>
                <c:pt idx="4">
                  <c:v>Rexel (propuesta no vinculante, rechazada)</c:v>
                </c:pt>
              </c:strCache>
            </c:strRef>
          </c:cat>
          <c:val>
            <c:numRef>
              <c:f>Hoja1!$B$2:$B$6</c:f>
              <c:numCache>
                <c:formatCode>0.0"x"</c:formatCode>
                <c:ptCount val="5"/>
                <c:pt idx="0">
                  <c:v>8</c:v>
                </c:pt>
                <c:pt idx="1">
                  <c:v>10</c:v>
                </c:pt>
                <c:pt idx="2">
                  <c:v>13.4</c:v>
                </c:pt>
                <c:pt idx="3">
                  <c:v>16.1</c:v>
                </c:pt>
                <c:pt idx="4">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740</c:v>
                </c:pt>
                <c:pt idx="1">
                  <c:v>791</c:v>
                </c:pt>
                <c:pt idx="2">
                  <c:v>981</c:v>
                </c:pt>
                <c:pt idx="3">
                  <c:v>1056</c:v>
                </c:pt>
                <c:pt idx="4">
                  <c:v>1116</c:v>
                </c:pt>
                <c:pt idx="5">
                  <c:v>1157</c:v>
                </c:pt>
                <c:pt idx="6">
                  <c:v>1210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4967</c:v>
                </c:pt>
                <c:pt idx="1">
                  <c:v>11969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33,07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24.43</c:v>
                </c:pt>
                <c:pt idx="1">
                  <c:v>35.53</c:v>
                </c:pt>
                <c:pt idx="2">
                  <c:v>40.89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33,07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(28,37 – 39,80)</c:v>
                </c:pt>
                <c:pt idx="1">
                  <c:v>Precio objetivo de los analistas (30,00 – 46,00)</c:v>
                </c:pt>
                <c:pt idx="2">
                  <c:v>Comparables: PER NTM (44,09 – 63,87)</c:v>
                </c:pt>
                <c:pt idx="3">
                  <c:v>Transacciones precedentes (EV/EBITDA) (30,76 – 54,87)</c:v>
                </c:pt>
                <c:pt idx="4">
                  <c:v>DCF (WACC y g ± 0,5) (28,85 – 44,73)</c:v>
                </c:pt>
                <c:pt idx="5">
                  <c:v>Escenarios (bajista – alcista) (24,43 – 40,89)</c:v>
                </c:pt>
                <c:pt idx="6">
                  <c:v>DCF con la prima implícita del mercado (4,2 %)</c:v>
                </c:pt>
                <c:pt idx="7">
                  <c:v>Precio actual (33,07)</c:v>
                </c:pt>
              </c:strCache>
            </c:strRef>
          </c:cat>
          <c:val>
            <c:numRef>
              <c:f>Hoja1!$B$2:$B$9</c:f>
              <c:numCache>
                <c:formatCode>#,##0.0</c:formatCode>
                <c:ptCount val="8"/>
                <c:pt idx="0">
                  <c:v>28.37</c:v>
                </c:pt>
                <c:pt idx="1">
                  <c:v>30</c:v>
                </c:pt>
                <c:pt idx="2">
                  <c:v>44.09</c:v>
                </c:pt>
                <c:pt idx="3">
                  <c:v>30.76</c:v>
                </c:pt>
                <c:pt idx="4">
                  <c:v>28.85</c:v>
                </c:pt>
                <c:pt idx="5">
                  <c:v>24.43</c:v>
                </c:pt>
                <c:pt idx="6">
                  <c:v>41.94</c:v>
                </c:pt>
                <c:pt idx="7">
                  <c:v>32.9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(28,37 – 39,80)</c:v>
                </c:pt>
                <c:pt idx="1">
                  <c:v>Precio objetivo de los analistas (30,00 – 46,00)</c:v>
                </c:pt>
                <c:pt idx="2">
                  <c:v>Comparables: PER NTM (44,09 – 63,87)</c:v>
                </c:pt>
                <c:pt idx="3">
                  <c:v>Transacciones precedentes (EV/EBITDA) (30,76 – 54,87)</c:v>
                </c:pt>
                <c:pt idx="4">
                  <c:v>DCF (WACC y g ± 0,5) (28,85 – 44,73)</c:v>
                </c:pt>
                <c:pt idx="5">
                  <c:v>Escenarios (bajista – alcista) (24,43 – 40,89)</c:v>
                </c:pt>
                <c:pt idx="6">
                  <c:v>DCF con la prima implícita del mercado (4,2 %)</c:v>
                </c:pt>
                <c:pt idx="7">
                  <c:v>Precio actual (33,07)</c:v>
                </c:pt>
              </c:strCache>
            </c:strRef>
          </c:cat>
          <c:val>
            <c:numRef>
              <c:f>Hoja1!$C$2:$C$9</c:f>
              <c:numCache>
                <c:formatCode>#,##0.0</c:formatCode>
                <c:ptCount val="8"/>
                <c:pt idx="0">
                  <c:v>11.429999999999996</c:v>
                </c:pt>
                <c:pt idx="1">
                  <c:v>16</c:v>
                </c:pt>
                <c:pt idx="2">
                  <c:v>19.779999999999994</c:v>
                </c:pt>
                <c:pt idx="3">
                  <c:v>24.109999999999996</c:v>
                </c:pt>
                <c:pt idx="4">
                  <c:v>15.879999999999995</c:v>
                </c:pt>
                <c:pt idx="5">
                  <c:v>16.46</c:v>
                </c:pt>
                <c:pt idx="6">
                  <c:v>13.5</c:v>
                </c:pt>
                <c:pt idx="7">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