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Compagnie de Saint-Gobain SA</w:t>
      </w:r>
    </w:p>
    <w:p>
      <w:pPr>
        <w:spacing w:after="60"/>
        <w:rPr>
          <w:color w:val="52514E"/>
          <w:sz w:val="22"/>
          <w:szCs w:val="22"/>
        </w:rPr>
      </w:pPr>
      <w:r>
        <w:rPr>
          <w:color w:val="52514E"/>
          <w:sz w:val="22"/>
          <w:szCs w:val="22"/>
        </w:rPr>
        <w:t xml:space="preserve">SGO · Euronext París · ISIN FR0000125007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66,42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73,40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+14,0 % (base +18,8 %)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91,28 EUR · mercado 118,51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32.479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Compagnie de Saint-Gobain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SGO / FR0000125007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 Euro Stoxx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Materiales de construcción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Courbevoie (París-La Défense) · 1665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www.saint-gobain.com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66,42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63,52 – 91,30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32.479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44.938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73,40 EUR</w:t>
      </w:r>
      <w:r>
        <w:t xml:space="preserve"> frente a 66,42 · Rentabilidad a 12 meses </w:t>
      </w:r>
      <w:r>
        <w:rPr>
          <w:b/>
          <w:bCs/>
        </w:rPr>
        <w:t xml:space="preserve">+14,0 % (base +18,8 %)</w:t>
      </w:r>
      <w:r>
        <w:t xml:space="preserve"> · Valor intrínseco 91,28 EUR · con la prima implícita del mercado: 118,51 (+78,4 %) · Alcista / bajista +71,9 % / -6,9 %</w:t>
      </w:r>
    </w:p>
    <w:p>
      <w:pPr>
        <w:spacing w:after="100"/>
      </w:pPr>
      <w:r>
        <w:rPr>
          <w:b/>
        </w:rPr>
        <w:t xml:space="preserve">La recomendación y por qué.</w:t>
      </w:r>
      <w:r>
        <w:t xml:space="preserve"> Mantener, con convicción media. Con nuestro BPA y la regla común de múltiplos, el objetivo a 12 meses es de 73,40 EUR frente a 66,42 EUR de cierre del 19 de octubre en Euronext París: +14,0 % con el dividendo, y +18,8 % en el caso base (76,59 EUR). El base pasa su umbral y el valor intrínseco (91,28 EUR: DCF 60 % y escenarios 40 %) está un 37 % por encima del precio, pero la ponderada se queda a un punto del 15 %. La señal tampoco aguanta las pruebas: con la regla v2 da un 8,9 % y con un BPA un 10 % menor la ponderada cae al 3,0 %. Y no pasa nuestro filtro de calidad: el ROIC (10,7 %) supera al WACC (9,07 %) en solo 1,6 puntos. Es una empresa barata por flujos (rentabilidad implícita del 11,0 %) pero no una compra con nuestras reglas. La convicción es media porque las dos reglas del valor intrínseco coinciden y nuestras cifras están cerca del consenso, pero la señal a 12 meses está en el filo; subiría con un 3T y un 4T con volumen positivo en Europa y el diferencial francés a la baja, y bajaría con ventas comparables negativas o una crisis presupuestaria en Francia.</w:t>
      </w:r>
    </w:p>
    <w:p>
      <w:pPr>
        <w:spacing w:after="100"/>
      </w:pPr>
      <w:r>
        <w:rPr>
          <w:b/>
        </w:rPr>
        <w:t xml:space="preserve">Francia y la caída.</w:t>
      </w:r>
      <w:r>
        <w:t xml:space="preserve"> Francia es el 23,1 % de las ventas (10.715 M EUR) y, por nuestra estimación, un 12-15 % del resultado de explotación, porque allí pesa la distribución [1]. Desde el 31 de julio la acción cae un 18,1 %, frente al −1,3 % del STOXX 600: unos 9 puntos son de sector y tipos, unos 6 de prima de Francia (diferencial OAT-Bund de ≈85-90 a 142 pb) y unos 3 propios (expediente de la UE, rebaja de RBC, vuelta atrás tras julio) [20, 26]. Los canales del riesgo país son sobre todo el consumo interno y la renovación (ayudas públicas en el presupuesto de 2027); el impuesto francés es pequeño (77 M de impuesto corriente en 2025) y el recargo a las grandes empresas se prorroga a un tipo menor; la deuda está en bonos a tipo fijo; no tiene tarifas reguladas ni depende de contratos públicos [1, 13, 28]. Con la OAT (4,85 %) en lugar del Bund como tasa libre, el valor intrínseco baja un 16,9 %, a 75,89 EUR, todavía por encima del precio.</w:t>
      </w:r>
    </w:p>
    <w:p>
      <w:pPr>
        <w:spacing w:after="100"/>
      </w:pPr>
      <w:r>
        <w:rPr>
          <w:b/>
        </w:rPr>
        <w:t xml:space="preserve">El negocio.</w:t>
      </w:r>
      <w:r>
        <w:t xml:space="preserve"> Líder mundial de la construcción ligera: yeso, aislamiento, química de la construcción, vidrio y cubiertas, y primer distribuidor de materiales en Francia; 46.483 M EUR de ventas en 2025, margen EBITDA del 15,5 % y 3.752 M de flujo libre con su definición [1]. Foso estrecho que mejora con la química de la construcción; crecimiento sostenible (veredicto: Sí), con un 3,1 % medio sin compras.</w:t>
      </w:r>
    </w:p>
    <w:p>
      <w:pPr>
        <w:spacing w:after="100"/>
      </w:pPr>
      <w:r>
        <w:rPr>
          <w:b/>
        </w:rPr>
        <w:t xml:space="preserve">Finanzas.</w:t>
      </w:r>
      <w:r>
        <w:t xml:space="preserve"> En el 1S26, ventas comparables +0,7 % (2T +3,5 %), margen EBITDA del 15,4 % y BPA de 2,89 EUR (3,29 un año antes); deuda neta con arrendamientos de 11.519 M, 1,6 veces el EBITDA; BBB+/Baa1 [2].</w:t>
      </w:r>
    </w:p>
    <w:p>
      <w:pPr>
        <w:spacing w:after="100"/>
      </w:pPr>
      <w:r>
        <w:rPr>
          <w:b/>
        </w:rPr>
        <w:t xml:space="preserve">Equipo y gobierno.</w:t>
      </w:r>
      <w:r>
        <w:t xml:space="preserve"> Neutral. Presidente ejecutivo (Bazin) con consejero coordinador independiente y mayoría de independientes; sin accionista de control (empleados 7,7 % del capital y 13,7 % de los votos) [1]. Remuneración moderada ligada al ROCE.</w:t>
      </w:r>
    </w:p>
    <w:p>
      <w:pPr>
        <w:spacing w:after="100"/>
      </w:pPr>
      <w:r>
        <w:rPr>
          <w:b/>
        </w:rPr>
        <w:t xml:space="preserve">Valoración.</w:t>
      </w:r>
      <w:r>
        <w:t xml:space="preserve"> A 66,42 EUR el DCF inverso descuenta ventas cayendo un 1,5 % al año o un margen EBITDA del 13,7 %. Cotiza a 10,5 veces nuestro BPA de 2027e (mediana adelantada de 11,8) y a 6,4 veces el EBITDA, por debajo de sus comparables (≈8 veces). Nuestro BPA está un 4-5 % por debajo del consenso.</w:t>
      </w:r>
    </w:p>
    <w:p>
      <w:pPr>
        <w:spacing w:after="100"/>
      </w:pPr>
      <w:r>
        <w:rPr>
          <w:b/>
        </w:rPr>
        <w:t xml:space="preserve">Riesgos y catalizadores.</w:t>
      </w:r>
      <w:r>
        <w:t xml:space="preserve"> El mayor riesgo es que la construcción europea no se recupere con tipos largos altos (bajista del DCF −34 %); el segundo, Francia. La IA es una oportunidad pequeña (centros de datos, Microsoft), exposición baja. Catalizadores: Moody's sobre Francia el 23-oct, ventas del 3T el 27-oct y presupuesto de 2027. El precio y las noticias no cambian la decisión (regla 13: no cambia).</w:t>
      </w:r>
    </w:p>
    <w:p>
      <w:pPr>
        <w:spacing w:after="100"/>
      </w:pPr>
      <w:r>
        <w:rPr>
          <w:b/>
        </w:rPr>
        <w:t xml:space="preserve">Qué cambiaría la decisión.</w:t>
      </w:r>
      <w:r>
        <w:t xml:space="preserve"> Compraríamos a 12 meses por debajo de unos 65,85 EUR (y de forma robusta, por debajo de 59,49 EUR), aunque seguiría sin pasar el filtro de calidad; venderíamos por encima de unos 84 EUR o si una crisis de deuda francesa recorta la demanda de renovación.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73,40 EUR</w:t>
      </w:r>
      <w:r>
        <w:t xml:space="preserve"> (rentabilidad +14,0 % (base +18,8 %)) · Valor intrínseco: 91,28 EUR (+37,4 % sobre 66,42) · con la prima implícita del mercado: 118,51 (+78,4 %)</w:t>
      </w:r>
    </w:p>
    <w:p>
      <w:pPr>
        <w:spacing w:after="100"/>
      </w:pPr>
      <w:r>
        <w:t xml:space="preserve">Saint-Gobain es el líder mundial de la construcción ligera y sostenible, con marcas fuertes (Placo, Isover, Weber, CertainTeed, Chryso), 1.170 centros industriales cerca del cliente y una rotación de cartera que ha llevado el margen EBITDA del 11,6 % de 2020 al 15,5 % de 2025 [1]. Genera unos 3.700 M EUR de flujo libre al año, recompra acciones y tiene un balance BBB+.</w:t>
      </w:r>
    </w:p>
    <w:p>
      <w:pPr>
        <w:spacing w:after="100"/>
      </w:pPr>
      <w:r>
        <w:t xml:space="preserve">El precio, 66,42 EUR (un 27 % por debajo del máximo de febrero), equivale a 10,5 veces nuestro BPA de 2027e y 6,4 veces el EBITDA. El mercado ha deshecho la revalorización de 2024-2025 por tres motivos: la construcción europea tarda en recuperarse, los tipos largos han subido y Francia, el 23 % de las ventas, paga una prima de riesgo de 142 pb sobre Alemania.</w:t>
      </w:r>
    </w:p>
    <w:p>
      <w:pPr>
        <w:spacing w:after="100"/>
      </w:pPr>
      <w:r>
        <w:t xml:space="preserve">Nuestro valor intrínseco (91,28 EUR) está muy por encima del precio, también con la OAT como tasa libre (75,89 EUR). Pero la regla a 12 meses, que manda, da un 14,0 %, a un punto de comprar, y la señal no aguanta las pruebas (v2 8,9 %, BPA −10 % 3,0 %), y el ROIC apenas supera el coste del capital: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5,46 = 47,50 · 11,1x × 6,90 = 76,59 · 13,4x × 7,78 = 104,25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 / 18,8 %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95,84 (nuestro base -20,1 %)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 /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frente a 9,1 %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 frente a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65,82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65,82 y 84,11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84,11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unos 65,85 EUR, la regla a 12 meses daría Comprar (sin pasar el filtro de calidad); de forma robusta, por debajo de 59,49 EUR.</w:t>
      </w:r>
    </w:p>
    <w:p>
      <w:pPr>
        <w:pStyle w:val="ListParagraph"/>
        <w:numPr>
          <w:ilvl w:val="0"/>
          <w:numId w:val="2"/>
        </w:numPr>
        <w:spacing w:after="60"/>
      </w:pPr>
      <w:r>
        <w:t xml:space="preserve">Si el precio supera unos 84 EUR, Vender.</w:t>
      </w:r>
    </w:p>
    <w:p>
      <w:pPr>
        <w:pStyle w:val="ListParagraph"/>
        <w:numPr>
          <w:ilvl w:val="0"/>
          <w:numId w:val="2"/>
        </w:numPr>
        <w:spacing w:after="60"/>
      </w:pPr>
      <w:r>
        <w:t xml:space="preserve">Si las ventas comparables del 3T son negativas en Europa y en EE. UU., bajaríamos el base.</w:t>
      </w:r>
    </w:p>
    <w:p>
      <w:pPr>
        <w:pStyle w:val="ListParagraph"/>
        <w:numPr>
          <w:ilvl w:val="0"/>
          <w:numId w:val="2"/>
        </w:numPr>
        <w:spacing w:after="60"/>
      </w:pPr>
      <w:r>
        <w:t xml:space="preserve">Si la multa de la Comisión supera 1.000 M EUR, revisaríamos el riesgo regulatorio.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construcción europea no se recupera y que Francia arrastra al grupo: el precio pide ventas cayendo un 1,5 % al año con nuestro margen.</w:t>
      </w:r>
    </w:p>
    <w:p>
      <w:pPr>
        <w:keepNext/>
        <w:spacing w:after="100"/>
      </w:pPr>
      <w:r>
        <w:rPr>
          <w:b/>
          <w:bCs/>
        </w:rPr>
        <w:t xml:space="preserve">Lo que creemos nosotros.</w:t>
      </w:r>
    </w:p>
    <w:p>
      <w:pPr>
        <w:spacing w:after="100"/>
      </w:pPr>
      <w:r>
        <w:t xml:space="preserve">Recuperación lenta del volumen desde 2027 con el margen en el 15,5-16 %; Francia pesa en el múltiplo más que en las cuentas (≈12-15 % del resultado).</w:t>
      </w:r>
    </w:p>
    <w:p>
      <w:pPr>
        <w:keepNext/>
        <w:spacing w:after="100"/>
      </w:pPr>
      <w:r>
        <w:rPr>
          <w:b/>
          <w:bCs/>
        </w:rPr>
        <w:t xml:space="preserve">Por qué podemos tener razón.</w:t>
      </w:r>
    </w:p>
    <w:p>
      <w:pPr>
        <w:spacing w:after="100"/>
      </w:pPr>
      <w:r>
        <w:t xml:space="preserve">El 1S26 ya mostró volumen positivo en las cuatro regiones en el 2T y la guía de margen se cumple; el impuesto francés y la deuda apenas cambian el beneficio [1, 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6,4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Barata por flujos</w:t>
      </w:r>
      <w:r>
        <w:t xml:space="preserve">: rentabilidad implícita del 11,0 % frente a un WACC del 9,07 %; valor intrínseco de 91,28 EUR.</w:t>
      </w:r>
    </w:p>
    <w:p>
      <w:pPr>
        <w:pStyle w:val="ListParagraph"/>
        <w:numPr>
          <w:ilvl w:val="0"/>
          <w:numId w:val="2"/>
        </w:numPr>
        <w:spacing w:after="60"/>
      </w:pPr>
      <w:r>
        <w:rPr>
          <w:b/>
        </w:rPr>
        <w:t xml:space="preserve">Múltiplo bajo</w:t>
      </w:r>
      <w:r>
        <w:t xml:space="preserve">: 10,5 veces el BPA de 2027e y 6,4 veces el EBITDA, por debajo de la historia y de los comparables.</w:t>
      </w:r>
    </w:p>
    <w:p>
      <w:pPr>
        <w:pStyle w:val="ListParagraph"/>
        <w:numPr>
          <w:ilvl w:val="0"/>
          <w:numId w:val="2"/>
        </w:numPr>
        <w:spacing w:after="60"/>
      </w:pPr>
      <w:r>
        <w:rPr>
          <w:b/>
        </w:rPr>
        <w:t xml:space="preserve">Caja y recompras</w:t>
      </w:r>
      <w:r>
        <w:t xml:space="preserve">: ≈3.700 M de flujo libre con su definición y 2.000 M de recompras netas en el plan 2026-2030 [2].</w:t>
      </w:r>
    </w:p>
    <w:p>
      <w:pPr>
        <w:pStyle w:val="ListParagraph"/>
        <w:numPr>
          <w:ilvl w:val="0"/>
          <w:numId w:val="2"/>
        </w:numPr>
        <w:spacing w:after="60"/>
      </w:pPr>
      <w:r>
        <w:rPr>
          <w:b/>
        </w:rPr>
        <w:t xml:space="preserve">Francia pesa menos de lo que parece</w:t>
      </w:r>
      <w:r>
        <w:t xml:space="preserve">: 23 % de las ventas y ≈12-15 % del resultado [1].</w:t>
      </w:r>
    </w:p>
    <w:p>
      <w:pPr>
        <w:pStyle w:val="ListParagraph"/>
        <w:numPr>
          <w:ilvl w:val="0"/>
          <w:numId w:val="2"/>
        </w:numPr>
        <w:spacing w:after="60"/>
      </w:pPr>
      <w:r>
        <w:rPr>
          <w:b/>
        </w:rPr>
        <w:t xml:space="preserve">Balance sólido</w:t>
      </w:r>
      <w:r>
        <w:t xml:space="preserve">: 1,6 veces deuda neta/EBITDA y BBB+ [2].</w:t>
      </w:r>
    </w:p>
    <w:p>
      <w:pPr>
        <w:pStyle w:val="Heading2"/>
      </w:pPr>
      <w:r>
        <w:t xml:space="preserve">En contra</w:t>
      </w:r>
    </w:p>
    <w:p>
      <w:pPr>
        <w:pStyle w:val="ListParagraph"/>
        <w:numPr>
          <w:ilvl w:val="0"/>
          <w:numId w:val="2"/>
        </w:numPr>
        <w:spacing w:after="60"/>
      </w:pPr>
      <w:r>
        <w:rPr>
          <w:b/>
        </w:rPr>
        <w:t xml:space="preserve">Regla a 12 meses justa</w:t>
      </w:r>
      <w:r>
        <w:t xml:space="preserve">: 14,0 % ponderada, por debajo del 15 %.</w:t>
      </w:r>
    </w:p>
    <w:p>
      <w:pPr>
        <w:pStyle w:val="ListParagraph"/>
        <w:numPr>
          <w:ilvl w:val="0"/>
          <w:numId w:val="2"/>
        </w:numPr>
        <w:spacing w:after="60"/>
      </w:pPr>
      <w:r>
        <w:rPr>
          <w:b/>
        </w:rPr>
        <w:t xml:space="preserve">Señal frágil</w:t>
      </w:r>
      <w:r>
        <w:t xml:space="preserve">: v2 8,9 % y BPA −10 % 3,0 %.</w:t>
      </w:r>
    </w:p>
    <w:p>
      <w:pPr>
        <w:pStyle w:val="ListParagraph"/>
        <w:numPr>
          <w:ilvl w:val="0"/>
          <w:numId w:val="2"/>
        </w:numPr>
        <w:spacing w:after="60"/>
      </w:pPr>
      <w:r>
        <w:rPr>
          <w:b/>
        </w:rPr>
        <w:t xml:space="preserve">Calidad insuficiente</w:t>
      </w:r>
      <w:r>
        <w:t xml:space="preserve">: ROIC 10,7 % frente a WACC 9,07 % (+1,6 puntos).</w:t>
      </w:r>
    </w:p>
    <w:p>
      <w:pPr>
        <w:pStyle w:val="ListParagraph"/>
        <w:numPr>
          <w:ilvl w:val="0"/>
          <w:numId w:val="2"/>
        </w:numPr>
        <w:spacing w:after="60"/>
      </w:pPr>
      <w:r>
        <w:rPr>
          <w:b/>
        </w:rPr>
        <w:t xml:space="preserve">Ciclo y tipos</w:t>
      </w:r>
      <w:r>
        <w:t xml:space="preserve">: la construcción europea y EE. UU. dependen de los tipos largos, que suben [32].</w:t>
      </w:r>
    </w:p>
    <w:p>
      <w:pPr>
        <w:pStyle w:val="ListParagraph"/>
        <w:numPr>
          <w:ilvl w:val="0"/>
          <w:numId w:val="2"/>
        </w:numPr>
        <w:spacing w:after="60"/>
      </w:pPr>
      <w:r>
        <w:rPr>
          <w:b/>
        </w:rPr>
        <w:t xml:space="preserve">Riesgo Francia y expediente de la UE</w:t>
      </w:r>
      <w:r>
        <w:t xml:space="preserve"> [15, 26].</w:t>
      </w:r>
    </w:p>
    <w:p>
      <w:pPr>
        <w:pStyle w:val="Heading2"/>
      </w:pPr>
      <w:r>
        <w:t xml:space="preserve">Qué tiene que pasar para que la tesis funcione</w:t>
      </w:r>
    </w:p>
    <w:p>
      <w:pPr>
        <w:spacing w:after="100"/>
      </w:pPr>
      <w:r>
        <w:t xml:space="preserve">La tesis depende de que el volumen siga creciendo (2T26 +3,5 %) y de que el margen EBITDA se mantenga por encima del 15 %. La señal de que no se cumple sería un 3T o un 4T con ventas comparables negativas, o un presupuesto francés que recorte la renovación con el diferencial por encima de 200 pb.</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 (1S26; 2T +3,5 %)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caso central.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y palanca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Diferencial OAT-Bund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pb (19-oct)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200 pb</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país de Francia.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o caída del EBITDA.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Francia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10.715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de volumen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Canal de consumo interno del riesgo país.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6,4x / 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10,4x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Saint-Gobain nace en 1665 como Manufacture royale de glaces, creada por Colbert para fabricar los espejos de Versalles, y es una de las empresas industriales más antiguas del mundo [1]. Nacionalizada en 1982 y privatizada en 1986, creció con compras en distribución (Point.P, Lapeyre, Jewson) y en materiales (BPB en 2005) hasta ser un conglomerado de vidrio, materiales y distribución [1]. Desde 2019 (plan «Transform &amp; Grow») y con Benoit Bazin como consejero delegado desde 2021, ha vendido negocios de poco margen y comprado química de la construcción para centrarse en la construcción ligera y sostenible [1,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1665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Manufacture royale de glaces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BPB (yeso y placas, Reino Unido)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«Transform &amp; Grow»: nueva organización por países y rotación de cartera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Benoit Bazin, consejero delegado; compra de Chryso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GCP Applied Technologies (EE. UU.)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CSR (Australia) y Building Products of Canada; Bazin, presidente y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organización en cuatro regiones (1-jul) y plan «Lead &amp; Grow» 2026-2030 [1,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Saint-Gobain diseña, fabrica y distribuye materiales y soluciones para la construcción ligera y sostenible: química de la construcción (Chryso, GCP, aditivos y morteros Weber), yeso y placas (Placo, Gyproc), aislamiento (Isover), vidrio plano y para fachadas, cubiertas en Norteamérica (CertainTeed), tuberías, y materiales de alto rendimiento para la industria [1]. En Francia es además el primer distribuidor de materiales (Point.P, Cedeo, La Plateforme du Bâtiment) [1]. Desde el 1-jul-2025 se organiza en cuatro regiones: Europa del Norte, Europa del Sur-Oriente Medio-África, Américas y Asia-Pacífico [1]. En 2025 vendió 46.483 M EUR; Francia es el 23,1 % de las ventas y Norteamérica el 19,8 % [1].</w:t>
      </w:r>
    </w:p>
    <w:p>
      <w:pPr>
        <w:pStyle w:val="Heading2"/>
      </w:pPr>
      <w:r>
        <w:t xml:space="preserve">Cómo gana dinero</w:t>
      </w:r>
    </w:p>
    <w:p>
      <w:pPr>
        <w:spacing w:after="100"/>
      </w:pPr>
      <w:r>
        <w:t xml:space="preserve">Gana con productos pesados de fabricación local (el transporte limita la competencia lejana), marcas fuertes ante instaladores y una red de distribución en Francia y los nórdicos que cobra margen de comerciante, menor que el de fábrica [1]. El margen EBITDA fue del 15,5 % en 2025 (7.203 M EUR) y del 15,4 % en el 1S26, frente al 13,9 % de 2022 antes de las rotaciones de cartera [1, 2]. Américas (20,5 % de margen EBITDA en 2025) y Asia-Pacífico (17,7 %) ganan mucho más que Europa (12,1-12,2 %), donde pesa la distribución [1]. Las palancas son el precio (la empresa mantuvo un diferencial positivo precio-coste en 2023-2026), la mezcla hacia química de la construcción y la rotación de cartera: vendió negocios de bajo margen (distribución en Reino Unido y Países Bajos, Telhanorte en Brasil) y compró GCP, Chryso, CSR, Building Products of Canada y Cemix [1,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del Norte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del Sur, Oriente Medio y África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entre regiones y holding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del Norte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del Sur, Oriente Medio y África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entre regiones y holding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atomizada: instaladores, constructores, distribuidores e industria; ningún cliente es relevante en las cuentas [1]. Francia vendió 10.715 M EUR en 2025 (23,1 % del grupo), frente a 12.341 M en 2022: ha perdido peso por la caída de la construcción nueva en Francia en 2023-2025 y por el crecimiento fuera [1, 3]. Por nuestra estimación, Francia aporta solo un 12-15 % del resultado de explotación, porque la mitad de sus ventas es distribución con margen de un dígito; la empresa no lo publica por país [1]. La renovación y las infraestructuras son el 50 % de las ventas de 2025, más estables que la obra nueva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(like-for-like)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 (2025); +0,7 % (1S26; 2T +3,5 %)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Vuelve a crecer</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positivos desde el 4T25; el 1T26 fue débil por el tiempo [1, 2,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(2025); 15,4 % (1S26, 16,0 % en el 1S25)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pb en el semestre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más del 15,0 %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 M (1S26; 2.190 M en el 1S25)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65 % del EBITDA menos arrendamientos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las compras recientes y el margen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Francia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12.341 M (2022)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en tres años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positivo desde el 4T25; supera al mercado según la empresa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Materiales y soluciones para la construcción (yeso, aislamiento, química de la construcción, vidrio plano, cubiertas, morteros) y distribución de materiales; se compara con fabricantes de materiales pesados (cemento: Holcim, Heidelberg, CRH), de química de la construcción (Sika) y de aislamiento y fachadas (Kingspan, Rockwool, Owens Corning, Wienerberger)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una cifra fiable del mercado total de materiales para el perímetro de Saint-Gobain; la química de la construcción, su línea de mayor crecimiento, movió ≈82.500 M USD en 2025 y se espera que llegue a ≈101.900 M en 2030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Salida de la recesión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energética de edificios (normativa europea de eficiencia, ayudas como MaPrimeRénov' en Francia)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e infraestructuras son el 50 % de las ventas de 2025 [1]; las ayudas francesas dependen del presupuesto público, hoy bajo presión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e hipotecas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nueva en Francia y los nórdicos cayó en 2023-2025 con la subida de tipos; la OAT a 10 años ha subido ≈113 pb desde julio de 2026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ligera y descarbonización (menos cemento y acero, más placas, aislamiento y química)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química de la construcción supera los 4.000 M EUR de ventas en el grupo y crece por encima del mercado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Infraestructuras, centros de datos y crecimiento de India y el Sudeste asiático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creció un 11 % en 2025 (+CSR) con margen EBITDA del 17,7 % [1]; acuerdo marco con Microsoft para centros de datos (jul-2026)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 la energía (gas para hornos de vidrio, yeso y lana)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diferencial positivo precio-coste se ha mantenido desde 2022, pero se estrecha en 2026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locales con dos o tres grandes por producto (Knauf y Etex en yeso, Rockwool y Knauf en aislamiento, Sika en química)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y grandes constructoras negocian; los instaladores, fragmentados, prescriben marcas (Placo, Isover, Weber).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y materias primas comunes (arena, yeso, sosa); la energía es el insumo crítico.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intensivas en capital, con normas técnicas y certificaciones por país; el transporte limita la importación de materiales pesados.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construcción ligera sustituye a la pesada a favor de Saint-Gobain; en aislamiento compiten lanas minerales y espumas.</w:t>
            </w:r>
          </w:p>
        </w:tc>
      </w:tr>
    </w:tbl>
    <w:p>
      <w:pPr>
        <w:spacing w:after="160" w:before="0"/>
      </w:pPr>
    </w:p>
    <w:p>
      <w:pPr>
        <w:pStyle w:val="Heading2"/>
      </w:pPr>
      <w:r>
        <w:t xml:space="preserve">Ciclo</w:t>
      </w:r>
    </w:p>
    <w:p>
      <w:pPr>
        <w:spacing w:after="100"/>
      </w:pPr>
      <w:r>
        <w:t xml:space="preserve">La construcción europea tocó fondo en 2024-2025 (volúmenes negativos en Francia y los nórdicos) y volvió a crecer desde el 4T25; el 2T26 creció un 3,5 % comparable [1, 2]. La subida de tipos de largo plazo desde agosto de 2026 (Bund y sobre todo OAT) amenaza con retrasar la recuperación de la obra nueva en Francia [14].</w:t>
      </w:r>
    </w:p>
    <w:p>
      <w:pPr>
        <w:pStyle w:val="Heading2"/>
      </w:pPr>
      <w:r>
        <w:t xml:space="preserve">Regulación</w:t>
      </w:r>
    </w:p>
    <w:p>
      <w:pPr>
        <w:spacing w:after="100"/>
      </w:pPr>
      <w:r>
        <w:t xml:space="preserve">Normas de eficiencia energética de la UE (directiva de eficiencia energética de los edificios, RE2020 en Francia), mecanismo de ajuste en frontera por carbono (CBAM) y derechos de emisión para vidrio y yeso, y ayudas públicas a la renovación (MaPrimeRénov', certificados de ahorro energético) [1]. La Comisión Europea investiga un cártel de aditivos de hormigón en Francia, Alemania y España en 2021-22 que afecta a Chryso; las multas pueden llegar al 10 % de las ventas mundiales [15].</w:t>
      </w:r>
    </w:p>
    <w:p>
      <w:pPr>
        <w:pStyle w:val="Heading2"/>
      </w:pPr>
      <w:r>
        <w:t xml:space="preserve">Tendencias y disrupción</w:t>
      </w:r>
    </w:p>
    <w:p>
      <w:pPr>
        <w:spacing w:after="100"/>
      </w:pPr>
      <w:r>
        <w:t xml:space="preserve">Tres tendencias: la construcción ligera y descarbonizada (placas, aislamiento, química que reduce el cemento), la industrialización y digitalización de la obra (prefabricados, herramientas de IA para distribuidores e instaladores) y la consolidación de la química de la construcción, donde compiten Sika, Saint-Gobain (Chryso, GCP), Holcim y MAPEI [1,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de la construcción ligera: 1.º o 2.º en yeso y placas, aislamiento y morteros, 2.º en química de la construcción (tras Sika) y primer distribuidor de materiales en Francia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Mejorando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Sika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química de la construcción; margen EBITDA del 18,4 % y PER de 22,5 veces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Holcim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Cemento y soluciones de cubierta en Europa tras la escisión de Amrize; margen EBITDA del 25,4 %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Kingspan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Paneles aislantes y fachadas; crece con compras (13,8 % esperado)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Rockwool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ROCK-B</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Lana de roca; competidor directo de Isover; margen EBITDA del 22,3 % y sin deuda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Owens Corning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Cubiertas y aislamiento en Norteamérica, rival de CertainTeed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Knauf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Familiar, no cotiza; principal rival en yeso y aislamiento en Europa.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distribución francesa (Point.P, Cedeo) da salida a sus marcas, sin efecto de red propiamente dicho.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Prescripción técnica de sistemas (placa + perfil + aislamiento + mortero) por arquitectos e instaladores formados en sus marcas.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Placo, Isover, Weber, CertainTeed, Gyproc; certificaciones técnicas por país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local: 1.170 centros industriales cerca del cliente a fin de 2025; materiales pesados que no viajan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locales de yeso y vidrio con dos o tres fábricas por país.</w:t>
            </w:r>
          </w:p>
        </w:tc>
      </w:tr>
    </w:tbl>
    <w:p>
      <w:pPr>
        <w:spacing w:after="160" w:before="0"/>
      </w:pPr>
    </w:p>
    <w:p>
      <w:pPr>
        <w:pStyle w:val="Heading2"/>
      </w:pPr>
      <w:r>
        <w:t xml:space="preserve">Amenazas</w:t>
      </w:r>
    </w:p>
    <w:p>
      <w:pPr>
        <w:spacing w:after="100"/>
      </w:pPr>
      <w:r>
        <w:t xml:space="preserve">La amenaza principal no es tecnológica sino de ciclo y de capital: una recaída de la construcción europea (tipos de largo plazo al alza, presupuesto francés que recorta ayudas a la renovación) y compras caras en química de la construcción, donde Sika, Holcim y los fondos pagan múltiplos altos [1,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2020-2025: ingresos </w:t>
      </w:r>
      <w:r>
        <w:rPr>
          <w:b/>
          <w:bCs/>
        </w:rPr>
        <w:t xml:space="preserve">4,0 %</w:t>
      </w:r>
      <w:r>
        <w:t xml:space="preserve">, EBITDA </w:t>
      </w:r>
      <w:r>
        <w:rPr>
          <w:b/>
          <w:bCs/>
        </w:rPr>
        <w:t xml:space="preserve">10,3 %</w:t>
      </w:r>
      <w:r>
        <w:t xml:space="preserve">, BPA </w:t>
      </w:r>
      <w:r>
        <w:rPr>
          <w:b/>
          <w:bCs/>
        </w:rPr>
        <w:t xml:space="preserve">46,7 %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38.128 M EUR en 2020 a un máximo de 51.197 M en 2022 (inflación de precios) y bajan a 46.483 M en 2025 por las ventas de negocios de distribución (Reino Unido, Países Bajos, Brasil) y por la caída de la construcción nueva en Europa [1, 3]. El margen sí ha subido: EBITDA del 11,6 % en 2020, 13,9 % en 2022 y 15,5 % en 2024-2025 [1]. El beneficio neto atribuido se estabiliza en 2.669-3.003 M desde 2022; el BPA diluido sube de 5,23 EUR (2023) a 5,78 (2025) gracias a las recompras (de 539 M de acciones diluidas en 2020 a 498 M en 2025) [1, 5]. En el 1S26 las ventas cayeron un 1,1 % (comparable +0,7 %; efecto divisa y perímetro negativo) y el beneficio neto un 13 %, a 1.417 M (BPA de 2,89 EUR frente a 3,29) [2]. Los últimos 12 meses (a junio de 2026) se calculan con el 1S26 y el 1S25.</w:t>
      </w:r>
    </w:p>
    <w:p>
      <w:pPr>
        <w:pStyle w:val="Heading2"/>
      </w:pPr>
      <w:r>
        <w:t xml:space="preserve">Ajustes y partidas no recurrentes</w:t>
      </w:r>
    </w:p>
    <w:p>
      <w:pPr>
        <w:spacing w:after="100"/>
      </w:pPr>
      <w:r>
        <w:t xml:space="preserve">EBITDA y EBIT de esta nota: EBITDA publicado por la empresa (resultado de explotación + amortizaciones de explotación con derechos de uso + otros gastos operativos recurrentes) y EBIT = EBITDA − amortización de explotación (con derechos de uso) [1]. Por debajo del EBIT, en el resultado financiero de esta nota, quedan las partidas que la empresa separa: amortización de los intangibles de las compras (290 M en 2025, 233 M en 2024), deterioros, plusvalías y minusvalías por ventas de negocios, reestructuración y otros no recurrentes, además del coste financiero; así EBIT + resultado financiero = BAI (beneficio neto + minoritarios + impuestos) [1]. La empresa publica además un BPA «corriente» (sin plusvalías, deterioros ni provisiones no recurrentes): 6,70 EUR en 2025 (3.309 M) y 3,44 EUR en el 1S26 (3,63 en el 1S25) [1, 2]. El objetivo a 12 meses usa el BPA publicado NIIF, la base del consenso de MarketScreener (5,83 EUR en 2025 según su serie)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empresa publica cuentas por semestre y ventas por trimestre. El 30-jul-2026 presentó un 1S26 con ventas comparables +0,7 % (1T débil por el tiempo; 2T +3,5 %, con crecimiento en las cuatro regiones), margen EBITDA del 15,4 % y flujo libre de 2.105 M; confirmó la guía de margen EBITDA de 2026 por encima del 15,0 % y la acción subió más de un 5 % porque los resultados superaron lo esperado [2, 6]. En marzo, con las cuentas de 2025, la guía prudente de margen castigó la acción (−5,7 % el 3-mar) [10]. El plan «Lead &amp; Grow» 2026-2030 apunta a un margen EBITDA del 15-18 %, conversión de flujo libre superior al 50 %, 2.000 M de recompras netas y rotación de más del 20 % de las ventas [2]. Los semestres segundos de 2025 llevan menos margen por estacionalidad. Las ventas del 3T26 se publican el martes 27-oct-2026 tras el cierre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Compra de Chryso (química de la construcción; EV 1.020 M EUR) y anuncio de GCP; ventas de distribución en Reino Unido y Países Bajos [4]; 2022: GCP Applied Technologies (≈2.300 M USD), consolidada desde mayo de 2022 [3]; 2023: Venta de Jewson (distribución en Reino Unido, ventas de ≈2.700 M EUR) y de otros negocios de distribución; ventas −6,4 % publicadas [3]; 2024: CSR (Australia, EV 4.500 M AUD), Building Products of Canada y Bailey; 3.331 M EUR de compras en el año [1]; 2025-2026: Cemix (México), FOSROC y otras compras de química de la construcción (1.770 M EUR en 2025); venta de Telhanorte (Brasil) y de otros negocios; en 2026, Xypex (cerrada el 1-oct), QSI (Perú), compras en Vietnam y Japón y acuerdo por D.S. Brown (EE. UU.) [1, 7, 8, 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sano y conservador para el sector: deuda neta con arrendamientos de 1,6 veces el EBITDA, calificación BBB+/Baa1 y vencimientos repartidos (2.681 M en 2026; 7.546 M en 2027-2030) [1, 2]. El fondo de comercio y los intangibles (19.697 M en 2025) son el 32 % del activo, por las compras de 2021-2025 [1]. El coste medio de la deuda subió de un 2,2 % en 2021 a un 3,2 % en 2025 (479 M de gastos financieros sobre ≈15.000 M de deuda bruta) por la refinanciación a tipos más altos; con la OAT al 4,85 % y el diferencial francés en 142 pb, la deuda nueva costaría hoy en torno al 3,9-4,2 % [1, D].</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16.831</w:t>
      </w:r>
      <w:r>
        <w:t xml:space="preserve">, conversión </w:t>
      </w:r>
      <w:r>
        <w:rPr>
          <w:b/>
          <w:bCs/>
        </w:rPr>
        <w:t xml:space="preserve">117 %</w:t>
      </w:r>
      <w:r>
        <w:t xml:space="preserve"> del beneficio neto; adquisiciones 11.573, dividendos 4.673, recompras 4.710.</w:t>
      </w:r>
    </w:p>
    <w:p>
      <w:pPr>
        <w:spacing w:after="100"/>
      </w:pPr>
      <w:r>
        <w:t xml:space="preserve">El flujo operativo pasa de 4.439 M EUR en 2021 a 5.638 M en 2025, y el capex sube del 3,3 % de las ventas al 4,7 % (2.174 M) por la descarbonización y las fábricas nuevas en Norteamérica e India [1, 5]. Con los pagos de arrendamientos (756 M), el flujo libre de 2025 fue de 2.708 M con nuestra definición y de 3.752 M con la de la empresa, que no resta la variación del circulante ni otros conceptos [1]. En el 1S26 el flujo libre de la empresa fue de 2.105 M (2.190 M en el 1S25) y el capex de 664 M [2]. El capital se reparte en tres usos parecidos: compras (11.573 M en seis años, netos de las ventas de negocios de distribución), dividendos (4.673 M) y recompras (4.710 M brutos; 3.614 M netos de las ampliaciones del plan de empleados) [1, 5]. Las desinversiones del XBRL están incompletas antes de 2025 (solo se etiqueta la venta de filiales).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KPMG Audit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(cuentas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de 2025 tienen opinión favorable de los dos auditores titulares: KPMG (desde 2004, 22 años, una rotación larga) y Deloitte (desde 2022) [1]. La calidad del beneficio es buena: el flujo operativo (5.638 M en 2025) supera al EBITDA menos impuestos pagados, y la diferencia entre el BPA corriente (6,70 EUR) y el publicado (5,78) se explica por deterioros, pérdidas en ventas de negocios y reestructuraciones ligadas a la rotación de cartera, que se repiten cada año (≈300-450 M antes de impuestos) [1]. Por eso tratamos esos cargos como parte del negocio y usamos el BPA publicado. La amortización de los intangibles de las compras (290 M en 2025) crece con cada compra.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«no recurrentes» todos los años por la rotación de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y minusvalías por ventas de negocios: el BPA corriente supera al publicado en ≈0,9 EUR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mantenidos para la venta de 1.882 M (jun-26)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ventas de negocios en curso; pueden traer minusvalías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Expediente de la Comisión Europea por cártel de aditivos (Chryso)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Conclusiones preliminares del 20-jul-2026; sin provisión publicada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14.401 M en 2025 (el 40 % del capital invertido medio); ha subido más de un 5 % en 3 de 5 años: comprador en serie. ROIC publicado 10,7 %; sin fondo de comercio, 18,0 %.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22,7 % · </w:t>
      </w:r>
      <w:r>
        <w:rPr>
          <w:b/>
          <w:bCs/>
        </w:rPr>
        <w:t xml:space="preserve">WACC</w:t>
      </w:r>
      <w:r>
        <w:t xml:space="preserve">: 9,1 %.</w:t>
      </w:r>
    </w:p>
    <w:p>
      <w:pPr>
        <w:spacing w:after="100"/>
      </w:pPr>
      <w:r>
        <w:t xml:space="preserve">El ROIC con el fondo de comercio fue del 11,7 % en 2021, del 12,6 % en 2022 y baja al 10,7 % en 2025, por las compras recientes (19.697 M de fondo de comercio e intangibles) y por el margen plano; sin el fondo de comercio sube al 18-21 %, y el ROIC incremental de 2021-2025 es del 22,7 % [1]. Frente a nuestro WACC del 9,07 %, el diferencial es de solo 1,6 puntos: crea algo de valor, pero no pasa nuestro filtro de calidad (ROIC − WACC ≥ 5 puntos). La empresa mide un ROCE del 14 % en 2025 y del 12,8 % en el 1S26 con su definición (antes de impuestos y sin todo el fondo de comercio) [1, 2]. El rendimiento del capital sube con la mezcla (química de la construcción, Asia y Américas) pero se diluye con cada compra pagada a 11-13 veces el EBITDA.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7.582 M EUR a cierre de 2025 y de 5.498 M (más 253 M de inversiones a corto) a 30-jun-2026, más una línea de crédito sindicada de 4.000 M sin compromisos financieros (covenants) [1, 2]. Deuda neta a 30-jun-2026 de 11.519 M EUR con arrendamientos (deuda bruta 14.379, arrendamientos 2.891, caja e inversiones a corto 5.751), 1,6 veces el EBITDA de los últimos 12 meses [2]. La deuda es casi toda en bonos en euros a tipo fijo (12.992 M de bonos en 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estable (S&amp;P, desde abr-2023) y Baa1 estable (Moody's, desde jun-2022)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y prestaciones a empleados de 1.320 M EUR a 30-jun-2026 (menos 328 M de excedentes de planes: neto 992 M); participaciones en asociadas de 944 M; minoritarios contables de 648 M [2]. Activos mantenidos para la venta de 1.882 M y pasivos asociados de 1.181 M (negocios en venta) [2]. Provisión por litigios de amianto en EE. UU. de unos 278 M USD; los pagos anuales son estables y pequeños frente a la caja [1].</w:t>
      </w:r>
    </w:p>
    <w:p>
      <w:pPr>
        <w:pStyle w:val="Heading1"/>
      </w:pPr>
      <w:r>
        <w:t xml:space="preserve">12. Asignación de capital</w:t>
      </w:r>
    </w:p>
    <w:p>
      <w:pPr>
        <w:pStyle w:val="Confianza"/>
        <w:spacing w:after="100"/>
      </w:pPr>
      <w:r>
        <w:t xml:space="preserve">Confianza: Alta</w:t>
      </w:r>
    </w:p>
    <w:p>
      <w:pPr>
        <w:spacing w:after="100"/>
      </w:pPr>
      <w:r>
        <w:t xml:space="preserve">Dividendo de 2,30 EUR por acción con cargo a 2025 (2,20 en 2024), pagado en efectivo (+4,5 %); en 2025 devolvió 1.500 M al accionista entre dividendo y 402 M de recompra neta [1]. Recompras de unos 800 M brutos al año desde 2021 y, en el plan «Lead &amp; Grow» 2026-2030, 2.000 M de recompras netas [2]. A 30-jun-2026 la empresa había recomprado 270 M en el año (292 M a fin de julio) [2]. Prioriza las compras de química de la construcción y la rotación de cartera (vender más del 20 % de las ventas en cinco años)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Chryso (aditivos de hormigón,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química de la construcción; afectada por el expediente de cártel de la UE (2021-22)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GCP Applied Technologies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química de la construcción supera los 4.000 M EUR de ventas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CSR (Australia) y Building Products of Canada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sube su margen EBITDA al 17,7 %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Cemix (México), FOSROC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≈8,5 veces con sinergias según la empresa [1].</w:t>
            </w:r>
          </w:p>
        </w:tc>
      </w:tr>
    </w:tbl>
    <w:p>
      <w:pPr>
        <w:spacing w:after="160" w:before="0"/>
      </w:pPr>
    </w:p>
    <w:p>
      <w:pPr>
        <w:spacing w:after="100"/>
      </w:pPr>
      <w:r>
        <w:t xml:space="preserve">La dirección usa el balance con equilibrio: compras (11.573 M en seis años) financiadas con la caja y la venta de negocios de poco margen, y a la vez dividendo creciente (de 1,33 a 2,30 EUR) y recompras que han reducido las acciones diluidas un 8 % desde 2020 [1, 5]. Las compras se pagaron a 11,7-13,2 veces el EBITDA (8-9 con sinergias), por encima de lo que hoy cotiza la propia Saint-Gobain (≈7 veces), lo que limita el rendimiento del capital: ROCE de la empresa del 12,8 % en el 1S26 y ROIC con fondo de comercio en torno al 10-11 % [2]. Las ventas de negocios han sido a múltiplos bajos (Jewson a 0,31 veces las ventas) y con minusvalías contables.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Benoit Bazin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1999; director general delegado desde 2019, consejero delegado desde el 1-jul-2021 y presidente y consejero delegado desde junio de 2024. Artífice de los planes «Transform &amp; Grow», «Grow &amp; Impact» y «Lead &amp; Grow»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Maud Thuaudet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a 1-feb-2026 a cargo de las finanzas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Dupin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a 1-feb-2026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Benoit d'Iribarne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soluciones industriales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comité ejecutivo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«Grow &amp; Impact» (oct-2021): crecimiento orgánico del 3-5 % anual, margen operativo del 9-11 %, ROCE del 12-15 % y conversión de flujo libre superior al 50 %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11,4 % en 2025, ROCE del 14 %, conversión del 58 %; crecimiento orgánico por debajo del 3 % en 2024-2025 por la construcción europea. La empresa dice haber cumplido todos los objetivos financieros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dos dígitos y alto, flujo libre fuerte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11,4 % y flujo libre de 3.752 M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superior al 15,0 % (mar-2026)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15,4 % en el 1S26 (16,0 % en el 1S25); confirmada en julio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es estable y de la casa: Bazin lleva más de 25 años en el grupo y dirige desde 2021 la transformación de cartera (ventas de distribución, compras de química de la construcción) [1]. La credibilidad es buena: el plan 2021-2025 cumplió margen, ROCE y caja aunque el crecimiento se quedó corto por el ciclo, y la guía de 2026, prudente, se ha cumplido en el primer semestre [1, 2]. En 2025-2026 el comité ejecutivo se reorganizó por regiones (Europa del Norte, Europa del Sur, Norteamérica, Latinoamérica, Asia-Pacífico) y en septiembre de 2026 se creó la dirección de inteligencia artificial (Annica Hagen) [1, 9].</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Benoit Bazin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Jean-François Cirelli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Thierry Delaporte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 independientes (Brochu, Hari, Leroy, Revedin, Roux de Bézieux, de Saint-Affrique, Sohlström, de Tissot)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RSE (presidida por Brochu), 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Lydie Cortès y Philippe Thibaudet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representantes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Agnès Daunis Opfermann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representante de los trabajadores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(cuentas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0,45 / ventas 0,08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(plan de ahorro del grupo, FCPE)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Planes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13,70 % de los votos por el doble derecho de voto; ampliación anual reservada (6.525 participaciones suscritas por Bazin a 62,30 EUR en mayo de 2026) [1,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6,38 % de los votos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270 M en el 1S26, que se amortizan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accionista de control; posición corta de AQR del 0,60 % (2-oct-2026)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Benoit Bazin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Otro</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Agnès Daunis Opfermann (consejera, trabajadores accionistas)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Benoit Bazin (suscripción en el plan de empleados a 62,30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Agnès Daunis Opfermann (suscripción en el plan de empleados a 62,30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Bazin cobra 1,3 M EUR de fijo, sin cambios desde 2024 y por debajo de la mediana del CAC 40 industrial (1,425 M); el variable anual puede llegar al 170 % del fijo, con un 60 % ligado a flujo libre, resultado de explotación, ROCE y BPA corriente, un 15 % a objetivos RSE y un 25 % cualitativo [1]. En 2025 la parte financiera se cumplió al 93,5 % (1,24 M EUR de 1,33 M posibles) [1]. Recibe además acciones de desempeño (64.000 el 25-nov-2025) [16]. Su remuneración es 130 veces la media de los empleados en Francia (135 en 2024) [1]. Es una remuneración moderada para el tamaño y bien ligada a la rentabilidad del capital (ROCE).</w:t>
      </w:r>
    </w:p>
    <w:p>
      <w:pPr>
        <w:pStyle w:val="Heading2"/>
      </w:pPr>
      <w:r>
        <w:t xml:space="preserve">Operaciones vinculadas, estructura de control y defensas</w:t>
      </w:r>
    </w:p>
    <w:p>
      <w:pPr>
        <w:spacing w:after="100"/>
      </w:pPr>
      <w:r>
        <w:t xml:space="preserve">No hay accionista de control: el mayor bloque son los empleados (7,71 % del capital y 13,70 % de los votos) y BlackRock (7,01 %) [1]. El doble derecho de voto para las acciones nominativas con más de dos años (ley Florange) da a los empleados más peso en la junta, una defensa suave frente a una opa [1]. El presidente es ejecutivo, pero hay consejero coordinador independiente con poderes (Cirelli) y una mayoría de independientes en el consejo [1].</w:t>
      </w:r>
    </w:p>
    <w:p>
      <w:pPr>
        <w:pStyle w:val="Heading2"/>
      </w:pPr>
      <w:r>
        <w:t xml:space="preserve">Señales de alerta</w:t>
      </w:r>
    </w:p>
    <w:p>
      <w:pPr>
        <w:pStyle w:val="ListParagraph"/>
        <w:numPr>
          <w:ilvl w:val="0"/>
          <w:numId w:val="2"/>
        </w:numPr>
        <w:spacing w:after="60"/>
      </w:pPr>
      <w:r>
        <w:t xml:space="preserve">Presidencia y dirección ejecutiva unidas desde junio de 2024, mitigado por un consejero coordinador independiente [1].</w:t>
      </w:r>
    </w:p>
    <w:p>
      <w:pPr>
        <w:pStyle w:val="ListParagraph"/>
        <w:numPr>
          <w:ilvl w:val="0"/>
          <w:numId w:val="2"/>
        </w:numPr>
        <w:spacing w:after="60"/>
      </w:pPr>
      <w:r>
        <w:t xml:space="preserve">Doble derecho de voto: los empleados tienen el 13,70 % de los votos con el 7,71 % del capital [1].</w:t>
      </w:r>
    </w:p>
    <w:p>
      <w:pPr>
        <w:pStyle w:val="ListParagraph"/>
        <w:numPr>
          <w:ilvl w:val="0"/>
          <w:numId w:val="2"/>
        </w:numPr>
        <w:spacing w:after="60"/>
      </w:pPr>
      <w:r>
        <w:t xml:space="preserve">Expediente de la Comisión Europea por cártel de aditivos de hormigón (Chryso, 2021-22) [15].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la empresa espera un margen EBITDA superior al 15,0 % (15,4 % en el 1S26), un capex de unos 2.000 M EUR y un flujo libre alto; no da guía de ventas [2]. El plan «Lead &amp; Grow» 2026-2030 (presentado con las cuentas de 2025) apunta a un margen EBITDA del 15-18 % en el ciclo, conversión de flujo libre superior al 50 %, 2.000 M de recompras netas y rotación de más del 20 % de las ventas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20-oct-2026: BPA NIIF (2025 = 5,83 en su serie), beneficio neto 2.933 M; el EBIT es el resultado de explotación de la empresa, que no resta los otros gastos operativos (−231 M en 2025)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20-oct-2026: beneficio neto 3.211 M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20-oct-2026: beneficio neto 3.530 M; deuda neta 7.340 M [21]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65,00 – 132,60</w:t>
            </w:r>
          </w:p>
        </w:tc>
      </w:tr>
    </w:tbl>
    <w:p>
      <w:pPr>
        <w:spacing w:after="160" w:before="0"/>
      </w:pPr>
    </w:p>
    <w:p>
      <w:pPr>
        <w:pStyle w:val="Heading2"/>
      </w:pPr>
      <w:r>
        <w:t xml:space="preserve">Revisiones de estimaciones</w:t>
      </w:r>
    </w:p>
    <w:p>
      <w:pPr>
        <w:spacing w:after="100"/>
      </w:pPr>
      <w:r>
        <w:t xml:space="preserve">Las revisiones de objetivo van a la baja desde junio: UBS en Vender con 70 EUR (jun) [31], Redburn en Comprar con 101 (antes 103, 29-sep) [34], Jefferies en Comprar con 132,60 (antes 137, 2-oct) [35], RBC baja a Neutral con 80 (antes 97, 9-oct) por los tipos, los volúmenes de EE. UU. (−3 % en el 4T y −1 % en 2027, frente a un consenso de +1,6 % y +2,3 %) y las presidenciales francesas de 2027 [32, 33], y Deutsche Bank en Mantener con 80 (antes 82, 20-oct) [36]. La recomendación media de MarketScreener sigue en Sobreponderar con 16 analistas y un objetivo medio de 95,84 EUR, un 44 % sobre el precio [21]. El consenso de BPA (6,54 EUR en 2027e) está por encima del nuestro (6,34).</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r>
    </w:tbl>
    <w:p>
      <w:pPr>
        <w:spacing w:after="160" w:before="0"/>
      </w:pPr>
    </w:p>
    <w:p>
      <w:pPr>
        <w:spacing w:after="100"/>
      </w:pPr>
      <w:r>
        <w:t xml:space="preserve">Índice: iShares STOXX Europe 600 (EXSA.DE); sector: iShares STOXX Europe 600 Construction &amp; Materials (EXV8.DE); todo en rentabilidad total hasta el 16-oct-2026 [20]. Saint-Gobain fue de las mejores de Europa en 2021-2024 (+69 %, +52 % y +32 % en tres de esos años) por la subida del margen y la rotación de cartera, pero en 2026 pierde un 21 % frente a un STOXX 600 que gana un 12 % y un sector que pierde un 7 % [20]. La caída tiene tres partes: el ciclo y los tipos (el sector europeo de construcción cae un 8,8 % desde el 31-jul con el Bund del 3,21 % al 3,49 %), la prima de riesgo de Francia (el CAC 40 cae un 7,5 % desde el 31-jul frente al −1,3 % del STOXX 600, con el diferencial OAT-Bund de ≈85 a 142 pb) y causas propias (guía prudente en marzo, expediente de la UE, rebaja de RBC) [15, 20, 23, 26, 32]. La beta es alta (1,63 mensual a 5 años; 1,42 ajustada) y la posición corta declarada de AQR es del 0,60 % (2-oct) [18, 20].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 -11,3 % / -15,2 % / -26,2 %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-27,2 % / +2,1 %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 2025 con una guía de margen EBITDA de 2026 prudente (más del 15,0 %) por un 1T débil por el tiempo; el mercado esperaba más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31-jul a 7-ago-2026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mejores de lo esperado (2T +3,5 % comparable, guía confirmada) y recompras: subida de más del 5 % el 31-jul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 a 14-sep-2026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atrás tras el salto de julio, subida de los tipos largos (Bund del 3,21 % al ≈3,4 %; OAT +113 pb desde julio) y del diferencial OAT-Bund de 85 a 117 pb en septiembre, con todo el sector a la baja; −3,9 % el 9-sep al romper un soporte técnico (73,70 EUR) sin noticia propia [14, 23, 26,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mantiene Vender y baja el objetivo a 70 EUR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Comisión Europea envía conclusiones preliminares a fabricantes de aditivos de hormigón por un cártel en Francia, Alemania y España en 2021-22; Saint-Gobain (Chryso) colabora; multa máxima del 10 % de las ventas mundiales; la acción cae un 2,1 %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multa anunciada supera unos 1.000 M EUR (≈2 EUR por acción) o el expediente se amplía a otros productos, rehacer el riesgo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Vietnam y Japón y acuerdo marco con Microsoft para centros de datos e IA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ventas comparables +0,7 % (2T +3,5 %), margen EBITDA del 15,4 %, BPA de 2,89 EUR, guía confirmada; por encima de lo esperado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QSI (química de la construcción, Perú) y nueva línea de placas de yeso en Brasil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Annica Hagen como directora de inteligencia artificial, un cargo nuevo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Redburn mantiene Comprar con objetivo de 101 EUR (antes 103)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Xypex (Canadá, impermeabilización del hormigón; 69 M EUR de ventas)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mantiene Comprar con objetivo de 132,60 EUR (antes 137); AQR declara una posición corta del 0,60 % (0,50 % en septiembre) [18,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RBC baja a Neutral (de Superior) con objetivo de 80 EUR (antes 97): tipos, volúmenes de EE. UU. −3 % en el 4T y −1 % en 2027 y presidenciales francesas de 2027 [32,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definitivo para comprar D.S. Brown (EE. UU., juntas y protección de infraestructuras; 90 M USD de ventas), con cierre previsto antes de fin de año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país de Francia: diferencial OAT-Bund de 142 pb y OAT a 10 años del 4,85 % (19-oct), frente a ≈85-90 pb a principios de agosto; presupuesto de 2027 en el Parlamento (54.000 M de esfuerzo, prórroga del recargo del impuesto de sociedades a las grandes empresas a un tipo menor) y revisión de Moody's (Aa3, perspectiva negativa) el 23-oct [13, 26, 27,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 y ya en el precio en buena parte; Francia es el 23 % de las ventas y ≈12-15 % del resultado. Revisar si el diferencial supera 200 pb o si el presupuesto recorta las ayudas a la renovación (MaPrimeRénov') más de lo previsto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Bank mantiene Mantener con objetivo de 80 EUR (antes 82)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del 3T26, el martes 27-oct tras el cierre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Desde el 31 de julio Saint-Gobain cae un 18,1 %, frente al −1,3 % del STOXX 600, el −7,5 % del CAC 40 y el −8,8 % del sector europeo de construcción [20]. Lo descomponemos en tres partes: unos 9 puntos son de sector y tipos (Bund del 3,21 % al 3,49 %; Holcim −11,8 %, Heidelberg −10,3 %, CRH −12,5 %), unos 6 puntos son la prima de Francia (diferencial OAT-Bund de ≈85-90 pb a 142 pb, con los valores franceses ligados al ciclo a la baja: Bouygues −14,9 %, Vinci −11,8 %) y unos 3 puntos son propios (vuelta atrás tras el salto del 31-jul, expediente de la UE por cártel y rebaja de RBC por los volúmenes de EE. UU.) [15, 23, 26, 32]. Es una estimación por diferencias, no una medida exacta. Ninguna noticia toca la tesis: no hay colocaciones, ampliaciones ni ventas de directivos (el presidente suscribió acciones en mayo), y el expediente de la UE no tiene fecha [15, 17]. Los avisos P4 y P5 (mínimos de 52 semanas, 14,5 % bajo la media de 200) tienen causa explicada. Las ventas del 3T (27-oct) no retrasan nada (reglas 11 y 13).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nuestro BPA de 2027e (6,30 EUR), la acción cotiza a 10,5 veces, por debajo de la mediana adelantada de 2021-2025 (11,8 veces) y del máximo de 2024-2025 (14,8-15,2 veces), aunque por encima del mínimo de 2022 (8,7 veces, en plena subida de tipos) [21]. El EV/EBITDA de los próximos 12 meses (6,1 veces) está también por debajo del de los cierres de 2024 y 2025 (7,4-7,6 veces) y cerca de los de 2021 y 2023 (5,7-5,8). El mercado ha deshecho en diez meses la revalorización de 2024-2025, cuando premió la rotación hacia química de la construcción: vuelve a pagar Saint-Gobain como un grupo cíclico europeo con exposición a Francia.</w:t>
      </w:r>
    </w:p>
    <w:p>
      <w:pPr>
        <w:pStyle w:val="Heading1"/>
      </w:pPr>
      <w:r>
        <w:t xml:space="preserve">18. Comparables cotizados</w:t>
      </w:r>
    </w:p>
    <w:p>
      <w:pPr>
        <w:pStyle w:val="Confianza"/>
        <w:spacing w:after="100"/>
      </w:pPr>
      <w:r>
        <w:t xml:space="preserve">Confianza: Media</w:t>
      </w:r>
    </w:p>
    <w:p>
      <w:pPr>
        <w:spacing w:after="100"/>
      </w:pPr>
      <w:r>
        <w:t xml:space="preserve">Ocho cotizadas europeas y norteamericanas de materiales de construcción: cemento y soluciones (Holcim, Heidelberg Materials, CRH), química de la construcción (Sika, el rival directo de Chryso y GCP), aislamiento, fachadas y cubiertas (Kingspan, Rockwool, Owens Corning) y ladrillo y tejas (Wienerberger). No se incluyen distribuidores puros ni Knauf o Etex (no cotizan o sin consenso). Todos con cifras de MarketScreener a 20-oct-2026, convertidos a EUR con el cambio del BCE del 19-oct.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Saint-Gobain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Holcim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Heidelberg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Sika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Kingspan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Wienerberger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Rockwool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Owens Corning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 / 7,4x / 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 / 7,8x / 10,8x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 / 13,4x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1,8x / 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6,4 + 0,32 × crecimiento; R² = 0,16. El crecimiento explica poco los múltiplos de estos comparables (R² &lt; 0,3): la regresión no se usa en la valoración.</w:t>
      </w:r>
    </w:p>
    <w:p>
      <w:pPr>
        <w:spacing w:after="100"/>
      </w:pPr>
      <w:r>
        <w:t xml:space="preserve">Saint-Gobain cotiza a 6,4 veces el EBITDA de los últimos 12 meses y 6,1 veces el de los próximos, y a 10,4 veces el BPA de los próximos 12 meses, frente a una mediana de sus comparables de unas 8 veces y 13,35 veces [37]. El descuento tiene explicación: su margen EBITDA (15,2 %) es el más bajo de la muestra salvo Kingspan, porque un tercio largo de las ventas en Francia y los nórdicos es distribución, y su crecimiento esperado (2,4 %) es menor. Frente a los que se le parecen en margen y ciclo (Heidelberg 6,1 veces, Rockwool 6,5, Owens Corning 6,7), está en línea; frente a Sika (14,4 veces), la química de la construcción del grupo vale mucho más que el conjunto. La muestra es inestable (la mediana va de 6,7 a 8,1 veces según qué comparable se quite) y la regresión no explica nada (R² 0,16): los comparables no pesan en el valor.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Chryso (aditivos de hormigón)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Saint-Gobain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≈400 M y EBITDA ≈85 M EUR; 7,6 veces con sinergias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GCP Applied Technologies (química de la construcción,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Saint-Gobain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M USD; 13,2 veces el EBITDA ajustado de 2022 (170 M USD), 8,8 con sinergias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CSR (materiales ligeros,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Saint-Gobain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4.500 M AUD (1.900 M EUR netos de la participación en aluminio y del inmobiliario)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Cemix, FOSROC y otras compras de química de la construcción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Saint-Gobain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862 M y EBITDA de 160 M en año completo; ≈8,5 veces con sinergias según la empresa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Jewson (distribución, Reino Unido) — venta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Stark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un distribuidor de margen bajo (≈2 %): otro negocio [3].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 (11,9x – 12,6x)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144,40 – 155,15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química de la construcción se pagaron a 11,7-13,2 veces el EBITDA (8-9 veces con sinergias), muy por encima de las ≈6,4 veces a las que cotiza hoy Saint-Gobain sobre el EBITDA de los últimos 12 meses [1, 3, 4]. No sirven como valor de la empresa entera, que mezcla negocios de más y menos margen (distribución), pero dicen dos cosas: la química de la construcción vale mucho más que el múltiplo del grupo (Sika cotiza a 16 veces), y la rotación hacia ella sube el margen a costa de un capital invertido alto [11].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2026e con un +0,5 % publicado (fijo: semestre cerrado con −1,1 % publicado y +0,7 % comparable, un 2T de +3,5 % y efecto divisa negativo) [2], algo por debajo del consenso (46.825 M) [21]. Para 2027-28 usamos un 2,5 % y un 4,0 % (consenso: 2,2 % y 4,3 %), sin compras: volumen del 1,5-2,5 % con la recuperación de la construcción europea y precio del 1-1,5 %. Desde 2029 el crecimiento baja al 2,5 % de 2035, por debajo del 4,0 % anual de 2020-2025 y del 4,3 % esperado para la química de la construcción [12].</w:t>
      </w:r>
    </w:p>
    <w:p>
      <w:pPr>
        <w:keepNext/>
        <w:spacing w:after="100"/>
      </w:pPr>
      <w:r>
        <w:rPr>
          <w:b/>
          <w:bCs/>
        </w:rPr>
        <w:t xml:space="preserve">Márgenes.</w:t>
      </w:r>
    </w:p>
    <w:p>
      <w:pPr>
        <w:spacing w:after="100"/>
      </w:pPr>
      <w:r>
        <w:t xml:space="preserve">El margen EBITDA fue del 13,9 % en 2022, del 15,5 % en 2024-2025 y del 15,4 % en el 1S26 [1, 2]. Usamos el 15,3 % en 2026 (guía: más del 15,0 %), el 15,5 % en 2027, el 15,8 % en 2028 y el 16,0 % desde 2029, en la parte baja del 15-18 % del plan «Lead &amp; Grow» [2]: la mezcla mejora con la química de la construcción y Asia, pero Europa (12 % de margen) sigue débil.</w:t>
      </w:r>
    </w:p>
    <w:p>
      <w:pPr>
        <w:keepNext/>
        <w:spacing w:after="100"/>
      </w:pPr>
      <w:r>
        <w:rPr>
          <w:b/>
          <w:bCs/>
        </w:rPr>
        <w:t xml:space="preserve">Inversión y circulante.</w:t>
      </w:r>
    </w:p>
    <w:p>
      <w:pPr>
        <w:spacing w:after="100"/>
      </w:pPr>
      <w:r>
        <w:t xml:space="preserve">La amortización de explotación (4,7 % de las ventas, como en los últimos 12 meses) incluye la de derechos de uso [1]. El capex (5,8 % en 2026 bajando al 5,2 %) suma el del estado de flujos (4,7 % en 2025, ≈2.000 M de guía en 2026) y las altas de derechos de uso, porque los arrendamientos van en la deuda del puente; al final queda por encima de la amortización (4,8 %) para sostener el crecimiento terminal [1, 2]. Circulante del 10,4 % de las ventas (2025) e impuesto del 25,5 % (24,7 % efectivo en 2025) [1]. No incluimos los gastos de reestructuración y las minusvalías por ventas de negocios que la empresa deja por debajo del EBITDA (≈150 M al año en caja): restarían un 2-3 % al valor.</w:t>
      </w:r>
    </w:p>
    <w:p>
      <w:pPr>
        <w:keepNext/>
        <w:spacing w:after="100"/>
      </w:pPr>
      <w:r>
        <w:rPr>
          <w:b/>
          <w:bCs/>
        </w:rPr>
        <w:t xml:space="preserve">Coste del capital.</w:t>
      </w:r>
    </w:p>
    <w:p>
      <w:pPr>
        <w:spacing w:after="100"/>
      </w:pPr>
      <w:r>
        <w:t xml:space="preserve">Regla del repo: tasa libre = Bund a 10 años (3,49 % el 19-oct, Bundesbank) [23] y el riesgo país en la prima adicional. Beta de 1,30: la mensual de 5 años frente al STOXX 600 es 1,63, la ajustada 1,42 y la semanal de 2 años 1,74 [20]; tomamos un valor entre la ajustada y la del sector de materiales de construcción reapalancada (≈1,2), porque la beta histórica recoge la caída de 2022 y la de 2026. Prima de mercado del 5,5 % y prima adicional del 0,6 %: primas de riesgo país de Damodaran ponderadas por ventas (Francia 0,78 % sobre el 23 %, Latinoamérica 2,5-3,2 % sobre el 7,7 %, India, Oriente Medio) [29]. Coste de la deuda del 3,9 % antes de impuestos (bonos BBB+ a tipos de hoy; coste medio contable del 3,2 % en 2025 [1]) y peso de la deuda del 26 % (11.519 M de deuda neta con arrendamientos sobre 44.000 M de capitalización más deuda) [2]. WACC: 9,07 %. Con la prima implícita del mercado (4,2 %) sería del 7,82 % [30].</w:t>
      </w:r>
    </w:p>
    <w:p>
      <w:pPr>
        <w:keepNext/>
        <w:spacing w:after="100"/>
      </w:pPr>
      <w:r>
        <w:rPr>
          <w:b/>
          <w:bCs/>
        </w:rPr>
        <w:t xml:space="preserve">Valor terminal.</w:t>
      </w:r>
    </w:p>
    <w:p>
      <w:pPr>
        <w:spacing w:after="100"/>
      </w:pPr>
      <w:r>
        <w:t xml:space="preserve">Gordon con un 2,5 % de crecimiento (inflación del euro más medio punto), por debajo de la tasa libre. El valor terminal pesa el 57 % del valor y equivale a 7,5 veces el EBITDA final, por encima de las 6,1 veces de hoy y por debajo de la mediana de los comparables (≈8 veces) [37].</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134,22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(reinvierte el 69 %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(histórico: 22,7 %)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frente al 2,8 %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5.025 M, el 11 % del NOPAT, con un capex bruto medio del 5,4 % de las ventas). En un negocio de activos ligeros, el crecimiento medio del 2,8 %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ligeramente positivos (2T26: +3,5 % comparable) y efecto divisa y de perímetro negativo (dólar y ventas de negocios), en línea con el −1,1 % publicado del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1,5 % (recuperación lenta en Europa, EE. UU. plano según RBC [32]) y precio del 1 %; sin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con la construcción europea en recuperación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(renovación energética, Asia, infraestructuras)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2 % y precio del 1,5 %, por debajo del 4,3 % anual esperado para la química de la construcción [12].</w:t>
            </w:r>
          </w:p>
        </w:tc>
      </w:tr>
    </w:tbl>
    <w:p>
      <w:pPr>
        <w:spacing w:after="160" w:before="0"/>
      </w:pPr>
    </w:p>
    <w:p>
      <w:pPr>
        <w:spacing w:after="100"/>
      </w:pPr>
      <w:r>
        <w:t xml:space="preserve">La proyección pide un 3,1 % de crecimiento medio, por debajo del 4,0 % anual de 2020-2025 (con inflación y compras) y del 4,3 % esperado para la química de la construcción [1, 12], y no supone compras. El motor da el mismo veredicto: con una reinversión del 11 % del beneficio operativo después de impuestos y un ROIC incremental histórico del 22,7 %, el crecimiento es financiable. El riesgo no es de sostenibilidad sino de ciclo: si la construcción europea no se recupera en 2027-28, el crecimiento sería del 1 % (caso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(base: 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 (base: 16,0 %)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 (WACC: 9,1 %)</w:t>
            </w:r>
          </w:p>
        </w:tc>
      </w:tr>
    </w:tbl>
    <w:p>
      <w:pPr>
        <w:spacing w:after="160" w:before="0"/>
      </w:pPr>
    </w:p>
    <w:p>
      <w:pPr>
        <w:spacing w:after="100"/>
      </w:pPr>
      <w:r>
        <w:t xml:space="preserve">El DCF da 93,40 EUR por acción (rango de 80,74 a 110,46 con el WACC y el crecimiento terminal ±0,5 puntos), un 40,6 % por encima del precio, con el valor terminal en el 57 %. El DCF inverso dice que a 66,42 EUR el mercado descuenta que las ventas caigan un 1,5 % al año en 2027-2035 con nuestro margen, o un margen EBITDA del 13,7 % con nuestro crecimiento (el de 2022): una rentabilidad implícita del 11,0 %, por encima de nuestro WACC del 9,07 %. Sensibilidad al riesgo país pedida: si en lugar del Bund (3,49 %) usamos la OAT a 10 años (4,85 % el 19-oct) como tasa libre, con todo lo demás igual, el WACC sube al 10,08 %, el DCF baja a 77,65 EUR (−16,9 %) y el valor intrínseco (DCF 60 % y escenarios 40 %) de 91,28 a 75,89 EUR (−16,9 %), todavía un 14 % por encima del precio. Es una cota alta del efecto: supone que todo el negocio tiene riesgo francés, cuando Francia es el 23 % de las ventas y ≈12-15 % del resultado; aplicando el diferencial (1,36 puntos) solo a esa parte, el valor bajaría en torno a un 4 %.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europea no se recupera en 2027-28 (tipos largos altos, presupuesto francés que recorta ayudas a la renovación, presidenciales de 2027) y EE. UU. se frena como prevé RBC: el crecimiento cae 2 puntos al año y el margen EBITDA 1,5 puntos, al 14,5 %, cerca del de 2022 [32].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lenta del volumen en Europa desde 2027, Américas y Asia estables, precio algo por encima de la inflación y margen EBITDA que sube al 16 % con la mezcla, en la parte baja del plan 2026-2030.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renovación energética y las infraestructuras (centros de datos, química de la construcción) aceleran el volumen y el margen EBITDA llega al 16,8 %, aún lejos del 18 % del techo del plan.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66,4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88,09 EUR (+32,6 %).</w:t>
      </w:r>
    </w:p>
    <w:p>
      <w:pPr>
        <w:spacing w:after="100"/>
      </w:pPr>
      <w:r>
        <w:t xml:space="preserve">En el DCF el bajista (61,85 EUR) pierde un 6,9 % y el alcista (114,16 EUR) gana un 71,9 %: con nuestro WACC la asimetría es favorable (10,4 veces). A 12 meses, con el PER de la regla común, el bajista pierde un 28 % (8,7 veces × 5,46 EUR) y el alcista gana un 57 % (13,4 veces × 7,78 EUR). El caso bajista lleva un doble castigo (BPA un 21 % menor y PER mínimo de cinco años); sin él la ponderada sube al 14,4 %.</w:t>
      </w:r>
    </w:p>
    <w:p>
      <w:pPr>
        <w:pStyle w:val="Heading1"/>
      </w:pPr>
      <w:r>
        <w:t xml:space="preserve">22. Suma de partes</w:t>
      </w:r>
    </w:p>
    <w:p>
      <w:pPr>
        <w:pStyle w:val="Confianza"/>
        <w:spacing w:after="100"/>
      </w:pPr>
      <w:r>
        <w:t xml:space="preserve">Confianza: Media</w:t>
      </w:r>
    </w:p>
    <w:p>
      <w:pPr>
        <w:spacing w:after="100"/>
      </w:pPr>
      <w:r>
        <w:t xml:space="preserve">No aplica: las regiones mezclan fabricación y distribución y no se publica el resultado de cada negocio (química de la construcción, yeso, aislamiento, distribución).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66,4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91,28 EUR (+37,4 % sobre 66,42).</w:t>
      </w:r>
    </w:p>
    <w:p>
      <w:pPr>
        <w:spacing w:after="100"/>
      </w:pPr>
      <w:r>
        <w:t xml:space="preserve">Pesos: DCF 60 % y escenarios 40 %, sin comparables ni transacciones, como en los demás informes del repo de grupos industriales estables. El DCF es el método más fiable para un grupo que genera 3.700 M de flujo libre con su definición [1, 2]; los escenarios recogen el ciclo de la construcción europea. Los comparables no pesan porque la muestra es inestable y mezcla negocios de márgenes muy distintos; las transacciones (11,7-13,2 veces el EBITDA) son compras de química de la construcción, no del grupo entero. El valor intrínseco (91,28 EUR) está un 37,4 % por encima del precio; con la OAT como tasa libre, 75,89 EUR (+14,3 %).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(10.5x) a mitad de camino hacia la mediana de 5 años (11.8x)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+60,4 %</w:t>
            </w:r>
          </w:p>
        </w:tc>
      </w:tr>
    </w:tbl>
    <w:p>
      <w:pPr>
        <w:spacing w:after="160" w:before="0"/>
      </w:pPr>
    </w:p>
    <w:p>
      <w:pPr>
        <w:spacing w:after="100"/>
      </w:pPr>
      <w:r>
        <w:rPr>
          <w:b/>
          <w:bCs/>
        </w:rPr>
        <w:t xml:space="preserve">Objetivo a 12 meses (ponderado):</w:t>
      </w:r>
      <w:r>
        <w:t xml:space="preserve"> 73,40 EUR · rentabilidad +14,0 % (base +18,8 %) · señal Mantener.</w:t>
      </w:r>
    </w:p>
    <w:p>
      <w:pPr>
        <w:spacing w:after="100"/>
      </w:pPr>
      <w:r>
        <w:t xml:space="preserve">Para comparar, con la regla v2 (historia al cierre, mismo precio): 7,9x / 10,5x / 13,4x, 8,9 %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(6,30 EUR) queda un 4 % por debajo del consenso (6,54) y el de 2028e (6,90) un 5 % por debajo (7,26) [21]: suponemos un margen EBITDA algo menor (15,8 % frente al 15,9 % en 2028e) y más cargos no recurrentes por la rotación de cartera, que la empresa repite cada año. Nuestro precio base a 12 meses (76,59 EUR) queda un 20 % por debajo del objetivo medio de los 16 analistas (95,84 EUR), que aplican un PER cercano a la media de 2024-2025.</w:t>
      </w:r>
    </w:p>
    <w:p>
      <w:pPr>
        <w:keepNext/>
        <w:spacing w:after="100"/>
      </w:pPr>
      <w:r>
        <w:rPr>
          <w:b/>
          <w:bCs/>
        </w:rPr>
        <w:t xml:space="preserve">Del valor intrínseco al objetivo a 12 meses.</w:t>
      </w:r>
    </w:p>
    <w:p>
      <w:pPr>
        <w:spacing w:after="100"/>
      </w:pPr>
      <w:r>
        <w:t xml:space="preserve">Con la regla común (v3), el objetivo ponderado es de 73,40 EUR (+14,0 % con el dividendo) y el base de 76,59 EUR (11,1 veces × 6,90 EUR: +18,8 %). La base pasa el umbral (12 %) y el valor intrínseco (91,28 EUR) está por encima del precio, pero la ponderada se queda a un punto del 15 %: Mantener. La v2 de control da un 8,9 % y, con un BPA un 10 % menor, la ponderada cae al 3,0 %: la señal es frágil y depende del múltiplo, no del negocio. Comprar con la regla exigiría bajar de unos 65,85 EUR; el límite robusto (v3 y v2 con BPA −10 %) es de 59,49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Moody's sobre la deuda de Francia (Aa3, perspectiva negativa) [27]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rebaja ampliaría el diferencial OAT-Bund y presionaría a los valores franceses; Saint-Gobain tiene el 23 % de las ventas en Francia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recuperación del volumen (2T +3,5 %) y de EE. UU., donde RBC espera −3 % en el 4T [32]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Oct-dic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del presupuesto francés de 2027 (54.000 M de esfuerzo; recargo del impuesto de sociedades prorrogado a un tipo menor) [13, 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presupuesto aprobado sin crisis de gobierno reduciría la prima de Francia; recortes en ayudas a la renovación serían negativos para el volumen francés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Comisión Europea sobre el cártel de aditivos de hormigón (Chryso) [15]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e incertidumbre resuelta; a la vista, decenas o algún centenar de millones, no miles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año (guía &gt; 15,0 %) y recompras del plan 2026-2030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Presidenciales francesas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RBC cita la incertidumbre como freno al gasto en Francia [32]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de Francia: diferencial OAT-Bund de 142 pb, OAT al 4,85 %, presupuesto de 2027 y presidenciales; canales: consumo interno y renovación (23 % de las ventas), impuestos y coste de la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(diferencial sobre la parte francesa) a −17 % (OAT como tasa libre para todo 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es ≈12-15 % del resultado; el impuesto francés es pequeño (77 M de 937 M de impuesto corriente en 2025); deuda en bonos a tipo fijo con vencimientos repartidos; no tiene tarifas reguladas ni depende de contratos públicos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por encima de 200 pb, rebaja de Moody's y S&amp;P, o recorte de MaPrimeRénov' en el presupuesto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Recaída de la construcción europea y de EE. UU. por los tipos largos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(bajista del DCF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e infraestructuras son el 50 % de las ventas; precio por encima de los costes desde 2022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comparables negativas en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 de la Comisión Europea por el cártel de aditivos de hormigón (Chryso, 2021-22)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−0,2 a −2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Colabora con la investigación; mercado afectado acotado a tres países y dos años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Comisión o provisión en las cuentas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y rotación de cartera con minusvalías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Limita el ROIC (10,7 %) y el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y de complemento en 2026 (Xypex, QSI, D.S. Brown) [7,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de más de 3.000 M a más de 12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(gas) y márgenes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Coberturas y precio; contratos a largo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Diferencial precio-coste negativo</w:t>
            </w:r>
          </w:p>
        </w:tc>
      </w:tr>
    </w:tbl>
    <w:p>
      <w:pPr>
        <w:spacing w:after="160" w:before="0"/>
      </w:pPr>
    </w:p>
    <w:p>
      <w:pPr>
        <w:pStyle w:val="Heading2"/>
      </w:pPr>
      <w:r>
        <w:t xml:space="preserve">Pre-mortem</w:t>
      </w:r>
    </w:p>
    <w:p>
      <w:pPr>
        <w:spacing w:after="100"/>
      </w:pPr>
      <w:r>
        <w:t xml:space="preserve">Es octubre de 2028 y la acción vale 45 EUR. Francia entró en crisis de deuda tras las presidenciales de 2027: la OAT superó el 5,5 %, el nuevo gobierno subió el impuesto a las grandes empresas y recortó las ayudas a la renovación, y la obra nueva no se recuperó. A la vez, EE. UU. entró en recesión de vivienda y la Comisión impuso una multa alta por el cártel de aditivos. Saint-Gobain mantuvo la caja, pero su margen EBITDA cayó al 14 % y el mercado le pagó 5 veces el EBITDA, como en 2022.</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0 % a +3 %</w:t>
      </w:r>
    </w:p>
    <w:p>
      <w:pPr>
        <w:spacing w:after="100"/>
      </w:pPr>
      <w:r>
        <w:t xml:space="preserve">La IA no amenaza el negocio: los materiales de construcción no se sustituyen por software. Le toca como cliente y como proveedor: acuerdo marco con Microsoft (jul-2026) para centros de datos y uso interno de IA, una cartera de proyectos de centros de datos que crece y nombramiento de una directora de IA (Annica Hagen, 7-sep-2026) [9]. El efecto en valor sale de la demanda de centros de datos (química de la construcción, placas, aislamiento, vidrio) y de ahorros en distribución y formulación; es pequeño frente al ciclo de la construcción.</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materiales son las emisiones de los hornos (vidrio, lana, yeso), el consumo de energía, la seguridad en las fábricas y la economía circular; la empresa tiene objetivos de reducción de emisiones para 2030 con la metodología SBTi y de neutralidad en carbono para 2050 y publica un informe de sostenibilidad auditado (CSRD) por Deloitte [1]. Los productos de aislamiento y construcción ligera son, a la vez, una oportunidad por la renovación energética.</w:t>
      </w:r>
    </w:p>
    <w:p>
      <w:pPr>
        <w:pStyle w:val="Heading2"/>
      </w:pPr>
      <w:r>
        <w:t xml:space="preserve">Controversias</w:t>
      </w:r>
    </w:p>
    <w:p>
      <w:pPr>
        <w:spacing w:after="100"/>
      </w:pPr>
      <w:r>
        <w:t xml:space="preserve">Expediente de la Comisión Europea por cártel de aditivos de hormigón en 2021-22 (Chryso) [15]; litigios de amianto en EE. UU. (CertainTeed), provisionados [1]; antecedentes: multa europea de 2008 por el cártel del vidrio del automóvil.</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tiene Francia y qué parte es distribución (Point.P, Cedeo)?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Cuantifica el riesgo país y la empresa no lo publica desde la nueva organización.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volumen ganó en el 3T en Europa y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 RBC espera EE. UU. negativo.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Regulador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del grupo afecta el expediente de la Comisión sobre aditivos y hay provisión?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Acota la multa (máximo legal del 10 % de las ventas mundiales).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negocios están en los 1.882 M de activos mantenidos para la venta y con qué múltiplo se venderán?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 cartera y posibles minusvalías.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plan de margen EBITDA del 15-18 % depende del volumen y qué parte de la mezcla?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distancia entre el valor y el precio se cierra con margen.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Boursorama (SGO): «-25 % depuis le premier janvier» y «Dépenser des milliards pour décarboner dans un marché en chute libre»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Cansancio tras la caída: varios mensajes hablan de un objetivo de «28 €», critican el gasto en descarbonización con el mercado a la baja y la falta de comunicación; otros atribuyen la caída a las ventas a corto de fondos estadounidenses sobre valores franceses (AQR) [38,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Boursorama: «On va descendre jusque où ?» y «On est parti pour creuser»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Análisis técnico (soporte de 72,5 roto, siguiente en 65,8) y algunos que empiezan a comprar «por cucharadas» tras bajar de 87 a 69 EUR sin rebote [40,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Boursorama: «La boîte noire du reporting» y «Le poids et la marge de la distribution»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Crítica a la información por regiones desde 2025, que ya no deja ver el peso ni el margen de la distribución, y a la destrucción de capital de compras antiguas (Jewson, Telhanorte); otros responden que la caída viene de Oriente Medio y el petróleo, no de la información [42,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(transcripciones y noticias, RSS)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Conferencias del 1T26 (23-abr) y del 2T26 (31-jul) sin debate de particulares visible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Francia y ventas a corto de valores franceses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el CAC cae un 7,5 % desde el 31-jul frente al −1,3 % del STOXX 600 y AQR subió su corto al 0,60 % [18]; pero Francia es el 23 % de las ventas y ≈12-15 % del resultado, y el impuesto francés pesa poco (77 M de 937 M de impuesto corriente en 2025) [1].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Opacidad del nuevo reporting por regiones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desde jul-2025 la distribución francesa ya no se ve aparte; nosotros estimamos su margen en un dígito [1].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≈10,5 veces nuestro BPA de 2027e frente a una mediana adelantada de 11,8 y a 13,4 de los comparables; el consenso de objetivos (95,84 EUR) está un 44 % por encima [21].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de «28 €»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base: sería 4 veces el EBITDA, menos que la venta de Jewson, un distribuidor de margen bajo [D].</w:t>
            </w:r>
          </w:p>
        </w:tc>
      </w:tr>
    </w:tbl>
    <w:p>
      <w:pPr>
        <w:spacing w:after="160" w:before="0"/>
      </w:pPr>
    </w:p>
    <w:p>
      <w:pPr>
        <w:spacing w:after="100"/>
      </w:pPr>
      <w:r>
        <w:t xml:space="preserve">El sentimiento de los particulares franceses es negativo y empeora con la caída: se mezcla el cansancio (de 87 a 66 EUR sin rebote), la desconfianza en la información por regiones y el miedo a Francia. Los institucionales están divididos pero siguen mayoritariamente en Comprar o Sobreponderar con objetivos recortados. Un sentimiento así, con el negocio estable, suele ser el de un suelo más que el de un techo, pero no es una señal de compra por sí solo.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44 (13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10,4 % frente a 10,4 % real: genera una variación de circulante de 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R² de 0,16: los múltiplos del sector dependen del margen y del negocio (química de la construcción frente a cemento o ladrillo), no del crecimiento; la regresión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6,7x a 8,1x según qué comparable se quite (76,06 a 97,27 por acción): la muestra es frágil; explícalo y no le des mucho peso. Explicación: La mediana del EV/EBITDA de los próximos 12 meses va de 6,7 a 8,1 veces según qué comparable se quite (Sika y Kingspan cotizan al doble que el cemento). Por eso los comparables no pesan en el valor (peso 0) y solo sirven de contraste.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19, 24, 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Proveedor de datos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Académica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(texto ESEF): calendario por tramos, sin vida media; 2) comunicado del 1S26: solo deuda neta y bonos emitidos; 3) web de la empresa (inversores):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Francia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ventas y activos por país, resultado solo por región; 2) comunicado del 1S26: región Europa del Sur-MO-África; 3) presentación a analistas: web de la empresa con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(12-15 % del resultado de explotación,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solo ventas; 2) semestres: sí, usados; 3) proveedores de datos: semestrales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Sustituido por semestres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CR5 del mercado total de materiales de construcción ligera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describe mercados y posiciones sin cifra total; 2) estudios de mercado: solo química de la construcción (usado); 3) búsqueda de «construction materials market size Europe 2025»: cifras de cemento y agregados, otro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Parcial (química de la construcción); mercado_final =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cita índices y CDP sin nota con fecha legible en el texto extraído; 2) búsqueda MSCI/Sustainalytics: páginas con acceso restringido; 3) web de la empresa: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posiciones de liderazgo sin porcentaje; 2) estudios sectoriales: sin cuota del perímetro; 3) presentaciones a inversores: web con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Votaciones de remuneración de las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(texto ESEF): recoge la política aprobada el 5-jun-2025 sin el porcentaje; 2) web de la empresa (juntas): 403; 3) búsqueda de «Saint-Gobain assemblée générale 2026 résultats des votes»: sin documento con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total del consejero delegado de 2025 y año de nombramiento de cada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tablas partidas en el texto extraído; 2) búsqueda de la cifra total en prensa; 3) web de la empresa: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Parcial (fijo, variable financiero y ratio)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(comprar, mantener, 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recomendación media (Sobreponderar) y 16 analistas; 2) Stock Analysis: bloqueado (Cloudflare); 3) API de Yahoo: 429</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y rentabilidad por flujo libre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sin ROIC en la ficha; 2) Stock Analysis: bloqueado; 3) informes del repo: no hay comparables de construcción analizados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X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recientes en Reddit sobre Saint-Gobain: sin resultados de 2026; 2) Stocktwits: sin cobertura del valor francés; 3) foro de ABC Bourse: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 d'enregistrement universel 2025 (paquete ESEF, informe anual en xhtml)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Compagnie de Saint-Gobain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https://filings.xbrl.org/NFONVGN05Z0FMN5PEC35/2025-12-31/ESEF/FR/0/com-2025-12-31-fr/reports/com-2025-12-31-fr.xhtml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First-half 2026 results (comunicado completo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Compagnie de Saint-Gobain (copia en L'Avenir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https://bourse.lavenir.net/news/saint-gobain/SGO/FR/1425221/first-half-2026-results.html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2023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de Saint-Gobain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https://filings.xbrl.org/NFONVGN05Z0FMN5PEC35/2023-12-31/ESEF/FR/0/com-2023-12-31-fr/reports/com-2023-12-31-fr.xhtml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2021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de Saint-Gobain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https://filings.xbrl.org/NFONVGN05Z0FMN5PEC35/2021-12-31/ESEF/FR/0/NFONVGN05Z0FMN5PEC35-2021-12-31AR/reports/NFONVGN05Z0FMN5PEC35-2021-12-31AR.xhtml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informes anuales 2020-2025 en xBRL-JSON (extraídos con 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https://filings.xbrl.org/NFONVGN05Z0FMN5PEC35/2022-12-31/ESEF/FR/0/com-2022-12-31-fr/reports/com-2022-12-31-fr.xhtml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maintient sa prévision de marge pour 2026 après une baisse de ses résultats (y titular del 20-jul sobre el expediente de la 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https://www.abcbourse.com/marches/saint-gobain-maintient-sa-prevision-de-marge-pour-2026-apres-une-baisse-de-ses-r_700757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a bouclé le rachat de la société canadienne Xypex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https://www.abcbourse.com/marches/saint-gobain-a-boucle-le-rachat-de-la-societe-canadienne-xypex_703579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finalise l'acquisition de D.S. Brown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https://www.abcbourse.com/marches/saint-gobain-finalise-l-acquisition-de-ds-brown_704237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se renforce en Amérique latine avec une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https://www.abcbourse.com/marches/saint-gobain-se-renforce-en-amerique-latine-avec-une-acquisition-et-une-nouvelle_701554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se montre prudent sur sa rentabilité pour 2026, la Bourse sanctionne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https://www.tradingsat.com/saint-gobain-FR0000125007/actualites/saint-gobain-en-raison-notamment-d-une-meteo-capricieuse-saint-gobain-se-montre-prudent-sur-sa-rentabilite-pour-2026-la-bourse-sanctionne-1157545.html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financieras de Holcim, Heidelberg Materials, CRH, Sika, Kingspan, Wienerberger, Rockwool y Owens Corning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de 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https://www.marketscreener.com/quote/stock/SIKA-AG-44231526/finances/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Construction Chemicals Market Forecast Report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https://www.globenewswire.com/news-release/2025/08/19/3135462/0/en/Construction-Chemicals-Market-Forecast-Report-2025-BASF-SE-and-Sika-AG-Lead-Innovation-in-Sustainable-Construction-Chemicals.html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Publication du PLF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KPMG Avocats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https://kpmg.com/av/fr/avocats/eclairages/2026/10/publication-du-plf-2027.html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L'écart entre l'OAT et le Bund atteint 120 points de base, un niveau inédit depuis 2012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Épargne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https://www.france-epargne.fr/news/lecart-entre-loat-et-le-bund-atteint-120-points-de-base-un-niveau-inedit-depuis-2012.md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L'UE cible des groupes de matériaux de construction pour entente sur les prix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https://www.abcbourse.com/marches/l-ue-cible-des-groupes-de-materiaux-de-construction-pour-entente-sur-les-prix-s_699932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Benoit Bazin, atribución de 64.000 acciones de desempeño (25-nov-2025)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https://bdif.amf-france.org/back/api/v1/documents/2025/2025DD1071803/DB3BD03EFDC65D30412522650205F8B4ADB287F51B580AEB964A8CD700D45C79.pdf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Benoit Bazin, suscripción en el FCPE a 62,30 EUR (19-may-2026)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https://bdif.amf-france.org/back/api/v1/documents/2026/2026DD1115806/EE26C084EE9BF591DA3C1F061FC3E2D0365C015B2A2118ABE6E20C85530AB579.pdf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 position courte nette: AQR Capital Management, 0,60 %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https://bdif.amf-france.org/back/api/v1/documents/2026/2026E1142247/050B4AFA0EAA0C793353CE82B4BA46BC2DB6FBE1430D14846127BAE7A64E1992.pdf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Agnès Daunis Opfermann, venta de 1.000 acciones a 83,04 EUR (22-ene-2026)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https://bdif.amf-france.org/back/api/v1/documents/2026/2026DD1090692/8E0E3539C1F264D80F5F3BEF6CB663D0FAF6DF82C7101B45811423CE24309397.pdf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SGO.PA, EXSA.DE y EXV8.DE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de 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https://query1.finance.yahoo.com/v8/finance/chart/SGO.PA?range=10d&amp;interval=1d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de Saint-Gobain: finanzas y consenso (estimaciones 2026-2028, objetivos,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de 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https://www.marketscreener.com/quote/stock/COMPAGNIE-DE-SAINT-GOBAIN-4697/finances/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historial de cotizaciones (CSV, 2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https://live.euronext.com/en/ajax/AwlHistoricalPrice/getFullDownloadAjax/FR0000125007-XPAR?format=csv&amp;decimal_separator=.&amp;date_form=d/m/Y&amp;op=&amp;adjusted=Y&amp;base100=&amp;startdate=2024-10-20&amp;enddate=2026-10-20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statistics (OAT y Bund, medias mensuales)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https://data-api.ecb.europa.eu/service/data/IRS/M.FR+DE.L.L40.CI.0000.EUR.N.Z?lastNObservations=6&amp;format=csvdata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Spread OAT-Bund: écart de taux France-Allemagne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https://www.ideal-investisseur.fr/marches/spread-oat-bund.html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la note de la France revue le 23 octobre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Selectra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https://selectra.info/finance/actualites/marche/moody-note-france-23-octobre-credit-immobilier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PLF 2027: prorogation de la contribution exceptionnelle sur les bénéfices des grandes entreprises à taux bas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Legifiscal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https://www.legifiscal.fr/actualites-fiscales/4660-plf-2027-prorogation-contribution-exceptionnelle-benefices-grandes-entreprises-taux-bas.html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Académica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Académica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Toujours à la vente sur Saint-Gobain, UBS réduit son objectif de cours à 70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https://www.abcbourse.com/marches/toujours-a-la-vente-sur-saint-gobain-ubs-reduit-son-objectif-de-cours-a-70-euro_698225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pourrait pâtir de la hausse des taux et des incertitudes politiques (RBC)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 (Agefi-Dow Jones)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https://www.abcbourse.com/marches/saint-gobain-pourrait-patir-de-la-hausse-des-taux-et-des-incertitudes-politiques_703951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RBC Capital Markets dégrade à performance sectorielle et réduit son objectif de 97 à 80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(vía Google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https://news.google.com/rss/articles/CBMi8AFBVV95cUxOV1ZXWjczaWJkVEV6SzgtRDhsaUZmV21QUlU1bjZIR25lRDFVUWpiWXFCQVFOSWI2MUIzelVhUUJrNXJpczV1eGhua0x4ZGVSRGRfUEMzdndweXBEbmFnaC14NEthdWdEWEdZLThCRmx2WTJrUTh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Rothschild &amp; Co Redburn maintient l'achat avec un objectif réduit de 103 à 101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(vía Google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https://news.google.com/rss/articles/CBMi7gFBVV95cUxNRm5SRkhuOS1OZmU0UG90d2tFX0lzUGFLZzg2OThiM3BjT1dXeFRQN0NXMmhBMU83Qjc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Jefferies reste à l'achat avec un objectif réduit de 137 à 132,60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(vía Google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https://news.google.com/rss/articles/CBMi5gFBVV95cUxQNER6Q3dzZVBjd3g5VmRpcnM4TUtGMS1NYmFzSE1zMnNNQ3FIeWwyS1JlOXVRSDNNZS1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Deutsche Bank reste à conserver avec un objectif réduit de 82 à 80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(vía Google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https://news.google.com/rss/articles/CBMi5wFBVV95cUxPOFFzOVJOTVZJUlR2VEpINWZMd2QzNzBIVXlBOWJYUk83cmMtRlRYZGt1MTdfSGdjNU8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financieras de los comparables (Holcim, Heidelberg Materials, CRH, Sika, Kingspan, Wienerberger, Rockwool, Owens Corning)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de 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https://www.marketscreener.com/quote/stock/HOLCIM-LTD-2956274/finances/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SAINT-GOBAIN: «- 25 % depuis le premier janvier»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https://www.boursorama.com/bourse/forum/1rPSGO/detail/468526445/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SAINT-GOBAIN: «Dépenser des milliards pour décarboner dans un marché en chute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https://www.boursorama.com/bourse/forum/1rPSGO/detail/468526572/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SAINT-GOBAIN: «On va descendre jusque où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https://www.boursorama.com/bourse/forum/1rPSGO/detail/468443515/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SAINT-GOBAIN: «On est parti pour creuser»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https://www.boursorama.com/bourse/forum/1rPSGO/detail/468427023/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SAINT-GOBAIN: «La boîte noire du reporting SAINT GOBAIN»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https://www.boursorama.com/bourse/forum/1rPSGO/detail/468391399/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SAINT-GOBAIN: «Le poids et la marge d'exploitation de la distribution»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https://www.boursorama.com/bourse/forum/1rPSGO/detail/468271962/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de Saint-Gobain (CODGF): noticias y transcripciones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https://seekingalpha.com/api/sa/combined/CODGF.xml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89,3 %</w:t>
      </w:r>
      <w:r>
        <w:t xml:space="preserve"> · Secciones con menos del 60 % de campos cubiertos: </w:t>
      </w:r>
      <w:r>
        <w:rPr>
          <w:b/>
          <w:bCs/>
        </w:rPr>
        <w:t xml:space="preserve">ninguna</w:t>
      </w:r>
      <w:r>
        <w:t xml:space="preserve"> · Generado el 20 oct 2026.</w:t>
      </w:r>
    </w:p>
    <w:p>
      <w:pPr>
        <w:pStyle w:val="Nota"/>
        <w:spacing w:after="100"/>
      </w:pPr>
      <w:r>
        <w:t xml:space="preserve">Cotiza en Euronext París en EUR y publica en EUR (NIIF-UE): tipo 1. Cuentas 2020-2025 del ESEF del grupo (LEI NFONVGN05Z0FMN5PEC35) extraído con cuentas.mjs y completado con el texto de los documentos de registro universal de 2025, 2023 y 2021 (EBITDA, amortizaciones, dividendos del año, deuda de 2020) [1, 3, 4, 5]; 1S26 del comunicado completo de resultados del 30-jul (copia íntegra en L'Avenir Bourse, porque la web de la empresa devuelve 403) [2]. El precio es el cierre oficial del 19-oct-2026 (66,42 EUR, Euronext París), leído en el CSV de Euronext hacia las 10:36 CEST del 20-oct con la sesión en curso; Yahoo aún no tenía ese cierre [22]. La cifra de movimiento usa el intradía del 20-oct (66,14). La empresa publica cuentas semestrales y ventas trimestrales: la sección de trimestres va por semestres. El EBIT de este informe es el EBITDA de la empresa menos la amortización de explotación; la amortización de los intangibles de compras, los deterioros y las minusvalías por ventas de negocios van con el resultado financiero, para que EBIT + resultado financiero = BAI. El objetivo a 12 meses usa el BPA publicado (NIIF), la misma base del consenso y de la historia del PER. Los comparables son de MarketScreener a 20-oct; el ROIC de los comparables no está disponible.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Compagnie de Saint-Gobain SA (SGO)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66,42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(63,52 – 91,30)</c:v>
                </c:pt>
                <c:pt idx="1">
                  <c:v>Precio objetivo de los analistas (65,00 – 132,60)</c:v>
                </c:pt>
                <c:pt idx="2">
                  <c:v>Comparables: EV/EBITDA NTM (71,51 – 114,32)</c:v>
                </c:pt>
                <c:pt idx="3">
                  <c:v>Comparables: PER NTM (73,71 – 105,44)</c:v>
                </c:pt>
                <c:pt idx="4">
                  <c:v>DCF (WACC y g ± 0,5) (80,74 – 110,46)</c:v>
                </c:pt>
                <c:pt idx="5">
                  <c:v>Escenarios (bajista – alcista) (61,85 – 114,16)</c:v>
                </c:pt>
                <c:pt idx="6">
                  <c:v>DCF con la prima implícita del mercado (4,2 %)</c:v>
                </c:pt>
                <c:pt idx="7">
                  <c:v>Precio actual (66,42)</c:v>
                </c:pt>
              </c:strCache>
            </c:strRef>
          </c:cat>
          <c:val>
            <c:numRef>
              <c:f>Hoja1!$B$2:$B$9</c:f>
              <c:numCache>
                <c:formatCode>#,##0</c:formatCode>
                <c:ptCount val="8"/>
                <c:pt idx="0">
                  <c:v>63.52</c:v>
                </c:pt>
                <c:pt idx="1">
                  <c:v>65</c:v>
                </c:pt>
                <c:pt idx="2">
                  <c:v>71.51</c:v>
                </c:pt>
                <c:pt idx="3">
                  <c:v>73.71</c:v>
                </c:pt>
                <c:pt idx="4">
                  <c:v>80.74</c:v>
                </c:pt>
                <c:pt idx="5">
                  <c:v>61.85</c:v>
                </c:pt>
                <c:pt idx="6">
                  <c:v>108.72</c:v>
                </c:pt>
                <c:pt idx="7">
                  <c:v>66.09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(63,52 – 91,30)</c:v>
                </c:pt>
                <c:pt idx="1">
                  <c:v>Precio objetivo de los analistas (65,00 – 132,60)</c:v>
                </c:pt>
                <c:pt idx="2">
                  <c:v>Comparables: EV/EBITDA NTM (71,51 – 114,32)</c:v>
                </c:pt>
                <c:pt idx="3">
                  <c:v>Comparables: PER NTM (73,71 – 105,44)</c:v>
                </c:pt>
                <c:pt idx="4">
                  <c:v>DCF (WACC y g ± 0,5) (80,74 – 110,46)</c:v>
                </c:pt>
                <c:pt idx="5">
                  <c:v>Escenarios (bajista – alcista) (61,85 – 114,16)</c:v>
                </c:pt>
                <c:pt idx="6">
                  <c:v>DCF con la prima implícita del mercado (4,2 %)</c:v>
                </c:pt>
                <c:pt idx="7">
                  <c:v>Precio actual (66,42)</c:v>
                </c:pt>
              </c:strCache>
            </c:strRef>
          </c:cat>
          <c:val>
            <c:numRef>
              <c:f>Hoja1!$C$2:$C$9</c:f>
              <c:numCache>
                <c:formatCode>#,##0</c:formatCode>
                <c:ptCount val="8"/>
                <c:pt idx="0">
                  <c:v>27.779999999999994</c:v>
                </c:pt>
                <c:pt idx="1">
                  <c:v>67.6</c:v>
                </c:pt>
                <c:pt idx="2">
                  <c:v>42.80999999999999</c:v>
                </c:pt>
                <c:pt idx="3">
                  <c:v>31.730000000000004</c:v>
                </c:pt>
                <c:pt idx="4">
                  <c:v>29.72</c:v>
                </c:pt>
                <c:pt idx="5">
                  <c:v>52.309999999999995</c:v>
                </c:pt>
                <c:pt idx="6">
                  <c:v>27.879999999999995</c:v>
                </c:pt>
                <c:pt idx="7">
                  <c:v>0.6599999999999966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Europa del Norte</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13773</c:v>
                </c:pt>
                <c:pt idx="1">
                  <c:v>13783</c:v>
                </c:pt>
              </c:numCache>
            </c:numRef>
          </c:val>
        </c:ser>
        <c:ser>
          <c:idx val="1"/>
          <c:order val="1"/>
          <c:tx>
            <c:strRef>
              <c:f>Hoja1!$C$1</c:f>
              <c:strCache>
                <c:ptCount val="1"/>
                <c:pt idx="0">
                  <c:v>Europa del Sur, Oriente Medio y África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16176</c:v>
                </c:pt>
                <c:pt idx="1">
                  <c:v>16068</c:v>
                </c:pt>
              </c:numCache>
            </c:numRef>
          </c:val>
        </c:ser>
        <c:ser>
          <c:idx val="2"/>
          <c:order val="2"/>
          <c:tx>
            <c:strRef>
              <c:f>Hoja1!$D$1</c:f>
              <c:strCache>
                <c:ptCount val="1"/>
                <c:pt idx="0">
                  <c:v>Américas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13558</c:v>
                </c:pt>
                <c:pt idx="1">
                  <c:v>12957</c:v>
                </c:pt>
              </c:numCache>
            </c:numRef>
          </c:val>
        </c:ser>
        <c:ser>
          <c:idx val="3"/>
          <c:order val="3"/>
          <c:tx>
            <c:strRef>
              <c:f>Hoja1!$E$1</c:f>
              <c:strCache>
                <c:ptCount val="1"/>
                <c:pt idx="0">
                  <c:v>Asia-Pacífico</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4733</c:v>
                </c:pt>
                <c:pt idx="1">
                  <c:v>5256</c:v>
                </c:pt>
              </c:numCache>
            </c:numRef>
          </c:val>
        </c:ser>
        <c:ser>
          <c:idx val="4"/>
          <c:order val="4"/>
          <c:tx>
            <c:strRef>
              <c:f>Hoja1!$F$1</c:f>
              <c:strCache>
                <c:ptCount val="1"/>
                <c:pt idx="0">
                  <c:v>Eliminaciones entre regiones y holding</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-1669</c:v>
                </c:pt>
                <c:pt idx="1">
                  <c:v>-1581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Europa del Norte</c:v>
                </c:pt>
                <c:pt idx="1">
                  <c:v>Europa del Sur, Oriente Medio y África</c:v>
                </c:pt>
                <c:pt idx="2">
                  <c:v>Américas</c:v>
                </c:pt>
                <c:pt idx="3">
                  <c:v>Asia-Pacífico</c:v>
                </c:pt>
                <c:pt idx="4">
                  <c:v>Eliminaciones entre regiones y holding</c:v>
                </c:pt>
              </c:strCache>
            </c:strRef>
          </c:cat>
          <c:val>
            <c:numRef>
              <c:f>Hoja1!$B$2:$B$6</c:f>
              <c:numCache>
                <c:formatCode>General</c:formatCode>
                <c:ptCount val="5"/>
                <c:pt idx="0">
                  <c:v>29.7</c:v>
                </c:pt>
                <c:pt idx="1">
                  <c:v>34.6</c:v>
                </c:pt>
                <c:pt idx="2">
                  <c:v>27.9</c:v>
                </c:pt>
                <c:pt idx="3">
                  <c:v>11.3</c:v>
                </c:pt>
                <c:pt idx="4">
                  <c:v>-3.4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Francia</c:v>
                </c:pt>
                <c:pt idx="1">
                  <c:v>Europa del Norte (nórdicos 11,5 %)</c:v>
                </c:pt>
                <c:pt idx="2">
                  <c:v>Norteamérica</c:v>
                </c:pt>
                <c:pt idx="3">
                  <c:v>Asia-Pacífico</c:v>
                </c:pt>
                <c:pt idx="4">
                  <c:v>Latinoamérica</c:v>
                </c:pt>
                <c:pt idx="5">
                  <c:v>España e Italia</c:v>
                </c:pt>
                <c:pt idx="6">
                  <c:v>Resto (Oriente Medio, África y otros)</c:v>
                </c:pt>
              </c:strCache>
            </c:strRef>
          </c:cat>
          <c:val>
            <c:numRef>
              <c:f>Hoja1!$B$2:$B$8</c:f>
              <c:numCache>
                <c:formatCode>0"%"</c:formatCode>
                <c:ptCount val="7"/>
                <c:pt idx="0">
                  <c:v>23.1</c:v>
                </c:pt>
                <c:pt idx="1">
                  <c:v>28.3</c:v>
                </c:pt>
                <c:pt idx="2">
                  <c:v>19.8</c:v>
                </c:pt>
                <c:pt idx="3">
                  <c:v>10.9</c:v>
                </c:pt>
                <c:pt idx="4">
                  <c:v>7.7</c:v>
                </c:pt>
                <c:pt idx="5">
                  <c:v>5.6</c:v>
                </c:pt>
                <c:pt idx="6">
                  <c:v>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82548</c:v>
                </c:pt>
                <c:pt idx="1">
                  <c:v>101889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entrantes</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Saint-Gobain</c:v>
                </c:pt>
                <c:pt idx="1">
                  <c:v>Sika</c:v>
                </c:pt>
                <c:pt idx="2">
                  <c:v>Holcim</c:v>
                </c:pt>
                <c:pt idx="3">
                  <c:v>Kingspan</c:v>
                </c:pt>
                <c:pt idx="4">
                  <c:v>Rockwool</c:v>
                </c:pt>
                <c:pt idx="5">
                  <c:v>Owens Corning</c:v>
                </c:pt>
                <c:pt idx="6">
                  <c:v>Knauf</c:v>
                </c:pt>
              </c:strCache>
            </c:strRef>
          </c:cat>
          <c:val>
            <c:numRef>
              <c:f>Hoja1!$B$2:$B$8</c:f>
              <c:numCache>
                <c:formatCode>0.0"%"</c:formatCode>
                <c:ptCount val="7"/>
                <c:pt idx="0">
                  <c:v>10.9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38128</c:v>
                </c:pt>
                <c:pt idx="1">
                  <c:v>44160</c:v>
                </c:pt>
                <c:pt idx="2">
                  <c:v>51197</c:v>
                </c:pt>
                <c:pt idx="3">
                  <c:v>47944</c:v>
                </c:pt>
                <c:pt idx="4">
                  <c:v>46571</c:v>
                </c:pt>
                <c:pt idx="5">
                  <c:v>46483</c:v>
                </c:pt>
                <c:pt idx="6">
                  <c:v>46715</c:v>
                </c:pt>
                <c:pt idx="7">
                  <c:v>47883</c:v>
                </c:pt>
                <c:pt idx="8">
                  <c:v>49799</c:v>
                </c:pt>
                <c:pt idx="9">
                  <c:v>51791</c:v>
                </c:pt>
                <c:pt idx="10">
                  <c:v>53603</c:v>
                </c:pt>
                <c:pt idx="11">
                  <c:v>55211</c:v>
                </c:pt>
                <c:pt idx="12">
                  <c:v>56868</c:v>
                </c:pt>
                <c:pt idx="13">
                  <c:v>58460</c:v>
                </c:pt>
                <c:pt idx="14">
                  <c:v>59980</c:v>
                </c:pt>
                <c:pt idx="15">
                  <c:v>61479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4415</c:v>
                </c:pt>
                <c:pt idx="1">
                  <c:v>6202</c:v>
                </c:pt>
                <c:pt idx="2">
                  <c:v>7123</c:v>
                </c:pt>
                <c:pt idx="3">
                  <c:v>7001</c:v>
                </c:pt>
                <c:pt idx="4">
                  <c:v>7205</c:v>
                </c:pt>
                <c:pt idx="5">
                  <c:v>7203</c:v>
                </c:pt>
                <c:pt idx="6">
                  <c:v>7147</c:v>
                </c:pt>
                <c:pt idx="7">
                  <c:v>7422</c:v>
                </c:pt>
                <c:pt idx="8">
                  <c:v>7868</c:v>
                </c:pt>
                <c:pt idx="9">
                  <c:v>8286</c:v>
                </c:pt>
                <c:pt idx="10">
                  <c:v>8577</c:v>
                </c:pt>
                <c:pt idx="11">
                  <c:v>8834</c:v>
                </c:pt>
                <c:pt idx="12">
                  <c:v>9099</c:v>
                </c:pt>
                <c:pt idx="13">
                  <c:v>9354</c:v>
                </c:pt>
                <c:pt idx="14">
                  <c:v>9597</c:v>
                </c:pt>
                <c:pt idx="15">
                  <c:v>9837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24.9</c:v>
                </c:pt>
                <c:pt idx="1">
                  <c:v>26.5</c:v>
                </c:pt>
                <c:pt idx="2">
                  <c:v>25.8</c:v>
                </c:pt>
                <c:pt idx="3">
                  <c:v>26.8</c:v>
                </c:pt>
                <c:pt idx="4">
                  <c:v>27.7</c:v>
                </c:pt>
                <c:pt idx="5">
                  <c:v>27.8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11.6</c:v>
                </c:pt>
                <c:pt idx="1">
                  <c:v>14</c:v>
                </c:pt>
                <c:pt idx="2">
                  <c:v>13.9</c:v>
                </c:pt>
                <c:pt idx="3">
                  <c:v>14.6</c:v>
                </c:pt>
                <c:pt idx="4">
                  <c:v>15.5</c:v>
                </c:pt>
                <c:pt idx="5">
                  <c:v>15.5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6.6</c:v>
                </c:pt>
                <c:pt idx="1">
                  <c:v>9.7</c:v>
                </c:pt>
                <c:pt idx="2">
                  <c:v>9.9</c:v>
                </c:pt>
                <c:pt idx="3">
                  <c:v>10.5</c:v>
                </c:pt>
                <c:pt idx="4">
                  <c:v>10.9</c:v>
                </c:pt>
                <c:pt idx="5">
                  <c:v>10.9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1.2</c:v>
                </c:pt>
                <c:pt idx="1">
                  <c:v>5.7</c:v>
                </c:pt>
                <c:pt idx="2">
                  <c:v>5.9</c:v>
                </c:pt>
                <c:pt idx="3">
                  <c:v>5.6</c:v>
                </c:pt>
                <c:pt idx="4">
                  <c:v>6.1</c:v>
                </c:pt>
                <c:pt idx="5">
                  <c:v>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-1.1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44</c:v>
                </c:pt>
                <c:pt idx="1">
                  <c:v>42</c:v>
                </c:pt>
                <c:pt idx="2">
                  <c:v>37</c:v>
                </c:pt>
                <c:pt idx="3">
                  <c:v>39</c:v>
                </c:pt>
                <c:pt idx="4">
                  <c:v>39</c:v>
                </c:pt>
                <c:pt idx="5">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68</c:v>
                </c:pt>
                <c:pt idx="1">
                  <c:v>74</c:v>
                </c:pt>
                <c:pt idx="2">
                  <c:v>69</c:v>
                </c:pt>
                <c:pt idx="3">
                  <c:v>71</c:v>
                </c:pt>
                <c:pt idx="4">
                  <c:v>76</c:v>
                </c:pt>
                <c:pt idx="5">
                  <c:v>75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75</c:v>
                </c:pt>
                <c:pt idx="1">
                  <c:v>78</c:v>
                </c:pt>
                <c:pt idx="2">
                  <c:v>70</c:v>
                </c:pt>
                <c:pt idx="3">
                  <c:v>71</c:v>
                </c:pt>
                <c:pt idx="4">
                  <c:v>73</c:v>
                </c:pt>
                <c:pt idx="5">
                  <c:v>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2655</c:v>
                </c:pt>
                <c:pt idx="1">
                  <c:v>2236</c:v>
                </c:pt>
                <c:pt idx="2">
                  <c:v>3097</c:v>
                </c:pt>
                <c:pt idx="3">
                  <c:v>3371</c:v>
                </c:pt>
                <c:pt idx="4">
                  <c:v>2764</c:v>
                </c:pt>
                <c:pt idx="5">
                  <c:v>2708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456</c:v>
                </c:pt>
                <c:pt idx="1">
                  <c:v>2521</c:v>
                </c:pt>
                <c:pt idx="2">
                  <c:v>3003</c:v>
                </c:pt>
                <c:pt idx="3">
                  <c:v>2669</c:v>
                </c:pt>
                <c:pt idx="4">
                  <c:v>2844</c:v>
                </c:pt>
                <c:pt idx="5">
                  <c:v>2883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5.9</c:v>
                </c:pt>
                <c:pt idx="1">
                  <c:v>11.7</c:v>
                </c:pt>
                <c:pt idx="2">
                  <c:v>12.6</c:v>
                </c:pt>
                <c:pt idx="3">
                  <c:v>11.6</c:v>
                </c:pt>
                <c:pt idx="4">
                  <c:v>11.4</c:v>
                </c:pt>
                <c:pt idx="5">
                  <c:v>10.7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9.1</c:v>
                </c:pt>
                <c:pt idx="1">
                  <c:v>9.1</c:v>
                </c:pt>
                <c:pt idx="2">
                  <c:v>9.1</c:v>
                </c:pt>
                <c:pt idx="3">
                  <c:v>9.1</c:v>
                </c:pt>
                <c:pt idx="4">
                  <c:v>9.1</c:v>
                </c:pt>
                <c:pt idx="5">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2.5</c:v>
                </c:pt>
                <c:pt idx="1">
                  <c:v>13.1</c:v>
                </c:pt>
                <c:pt idx="2">
                  <c:v>13.8</c:v>
                </c:pt>
                <c:pt idx="3">
                  <c:v>11.6</c:v>
                </c:pt>
                <c:pt idx="4">
                  <c:v>11.8</c:v>
                </c:pt>
                <c:pt idx="5">
                  <c:v>11.6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1.63</c:v>
                </c:pt>
                <c:pt idx="1">
                  <c:v>1.17</c:v>
                </c:pt>
                <c:pt idx="2">
                  <c:v>1.16</c:v>
                </c:pt>
                <c:pt idx="3">
                  <c:v>1.06</c:v>
                </c:pt>
                <c:pt idx="4">
                  <c:v>1.36</c:v>
                </c:pt>
                <c:pt idx="5">
                  <c:v>1.46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 y después</c:v>
                </c:pt>
              </c:strCache>
            </c:strRef>
          </c:cat>
          <c:val>
            <c:numRef>
              <c:f>Hoja1!$B$2:$B$4</c:f>
              <c:numCache>
                <c:formatCode>#,##0</c:formatCode>
                <c:ptCount val="3"/>
                <c:pt idx="0">
                  <c:v>2681</c:v>
                </c:pt>
                <c:pt idx="1">
                  <c:v>7546</c:v>
                </c:pt>
                <c:pt idx="2">
                  <c:v>4697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1100</c:v>
                </c:pt>
                <c:pt idx="1">
                  <c:v>913</c:v>
                </c:pt>
                <c:pt idx="2">
                  <c:v>3413</c:v>
                </c:pt>
                <c:pt idx="3">
                  <c:v>1046</c:v>
                </c:pt>
                <c:pt idx="4">
                  <c:v>3331</c:v>
                </c:pt>
                <c:pt idx="5">
                  <c:v>1770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697</c:v>
                </c:pt>
                <c:pt idx="2">
                  <c:v>833</c:v>
                </c:pt>
                <c:pt idx="3">
                  <c:v>1013</c:v>
                </c:pt>
                <c:pt idx="4">
                  <c:v>1045</c:v>
                </c:pt>
                <c:pt idx="5">
                  <c:v>1085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658</c:v>
                </c:pt>
                <c:pt idx="1">
                  <c:v>854</c:v>
                </c:pt>
                <c:pt idx="2">
                  <c:v>781</c:v>
                </c:pt>
                <c:pt idx="3">
                  <c:v>828</c:v>
                </c:pt>
                <c:pt idx="4">
                  <c:v>811</c:v>
                </c:pt>
                <c:pt idx="5">
                  <c:v>778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c:v>
                </c:pt>
              </c:strCache>
            </c:strRef>
          </c:cat>
          <c:val>
            <c:numRef>
              <c:f>Hoja1!$B$2:$B$4</c:f>
              <c:numCache>
                <c:formatCode>0</c:formatCode>
                <c:ptCount val="3"/>
                <c:pt idx="0">
                  <c:v>1</c:v>
                </c:pt>
                <c:pt idx="1">
                  <c:v>3</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Empleados (plan de ahorro del grupo, FCPE)</c:v>
                </c:pt>
                <c:pt idx="1">
                  <c:v>BlackRock</c:v>
                </c:pt>
                <c:pt idx="2">
                  <c:v>Autocartera</c:v>
                </c:pt>
                <c:pt idx="3">
                  <c:v>Capital flotante</c:v>
                </c:pt>
              </c:strCache>
            </c:strRef>
          </c:cat>
          <c:val>
            <c:numRef>
              <c:f>Hoja1!$B$2:$B$5</c:f>
              <c:numCache>
                <c:formatCode>0.0"%"</c:formatCode>
                <c:ptCount val="4"/>
                <c:pt idx="0">
                  <c:v>7.71</c:v>
                </c:pt>
                <c:pt idx="1">
                  <c:v>7.01</c:v>
                </c:pt>
                <c:pt idx="2">
                  <c:v>0.3</c:v>
                </c:pt>
                <c:pt idx="3">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13.7</c:v>
                </c:pt>
                <c:pt idx="1">
                  <c:v>6.6</c:v>
                </c:pt>
                <c:pt idx="2">
                  <c:v>-34.6</c:v>
                </c:pt>
                <c:pt idx="3">
                  <c:v>30.3</c:v>
                </c:pt>
                <c:pt idx="4">
                  <c:v>2.7</c:v>
                </c:pt>
                <c:pt idx="5">
                  <c:v>68.8</c:v>
                </c:pt>
                <c:pt idx="6">
                  <c:v>-24</c:v>
                </c:pt>
                <c:pt idx="7">
                  <c:v>51.5</c:v>
                </c:pt>
                <c:pt idx="8">
                  <c:v>32</c:v>
                </c:pt>
                <c:pt idx="9">
                  <c:v>3.7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6.3</c:v>
                </c:pt>
                <c:pt idx="1">
                  <c:v>6.5</c:v>
                </c:pt>
                <c:pt idx="2">
                  <c:v>4.5</c:v>
                </c:pt>
                <c:pt idx="3">
                  <c:v>6</c:v>
                </c:pt>
                <c:pt idx="4">
                  <c:v>7.4</c:v>
                </c:pt>
                <c:pt idx="5">
                  <c:v>7.6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6.4</c:v>
                </c:pt>
                <c:pt idx="1">
                  <c:v>6.4</c:v>
                </c:pt>
                <c:pt idx="2">
                  <c:v>6.4</c:v>
                </c:pt>
                <c:pt idx="3">
                  <c:v>6.4</c:v>
                </c:pt>
                <c:pt idx="4">
                  <c:v>6.4</c:v>
                </c:pt>
                <c:pt idx="5">
                  <c:v>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Saint-Gobain</c:v>
                </c:pt>
                <c:pt idx="1">
                  <c:v>Holcim</c:v>
                </c:pt>
                <c:pt idx="2">
                  <c:v>Heidelberg Materials</c:v>
                </c:pt>
                <c:pt idx="3">
                  <c:v>CRH</c:v>
                </c:pt>
                <c:pt idx="4">
                  <c:v>Sika</c:v>
                </c:pt>
                <c:pt idx="5">
                  <c:v>Kingspan</c:v>
                </c:pt>
                <c:pt idx="6">
                  <c:v>Wienerberger</c:v>
                </c:pt>
                <c:pt idx="7">
                  <c:v>Rockwool</c:v>
                </c:pt>
                <c:pt idx="8">
                  <c:v>Owens Corning</c:v>
                </c:pt>
              </c:strCache>
            </c:strRef>
          </c:cat>
          <c:val>
            <c:numRef>
              <c:f>Hoja1!$B$2:$B$10</c:f>
              <c:numCache>
                <c:formatCode>0.0"x"</c:formatCode>
                <c:ptCount val="9"/>
                <c:pt idx="0">
                  <c:v>6.1</c:v>
                </c:pt>
                <c:pt idx="1">
                  <c:v>8.5</c:v>
                </c:pt>
                <c:pt idx="2">
                  <c:v>6.1</c:v>
                </c:pt>
                <c:pt idx="3">
                  <c:v>8.1</c:v>
                </c:pt>
                <c:pt idx="4">
                  <c:v>14.4</c:v>
                </c:pt>
                <c:pt idx="5">
                  <c:v>11.4</c:v>
                </c:pt>
                <c:pt idx="6">
                  <c:v>4.8</c:v>
                </c:pt>
                <c:pt idx="7">
                  <c:v>6.5</c:v>
                </c:pt>
                <c:pt idx="8">
                  <c:v>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Saint-Gobain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c:v>
                </c:pt>
              </c:numCache>
            </c:numRef>
          </c:xVal>
          <c:yVal>
            <c:numRef>
              <c:f>Hoja1!$C$2</c:f>
              <c:numCache>
                <c:formatCode>0.0"x"</c:formatCode>
                <c:ptCount val="1"/>
                <c:pt idx="0">
                  <c:v>6.1</c:v>
                </c:pt>
              </c:numCache>
            </c:numRef>
          </c:yVal>
          <c:smooth val="0"/>
        </c:ser>
        <c:ser>
          <c:idx val="1"/>
          <c:order val="1"/>
          <c:tx>
            <c:strRef>
              <c:f>Hoja1!$A$3</c:f>
              <c:strCache>
                <c:ptCount val="1"/>
                <c:pt idx="0">
                  <c:v>Holcim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c:v>
                </c:pt>
              </c:numCache>
            </c:numRef>
          </c:xVal>
          <c:yVal>
            <c:numRef>
              <c:f>Hoja1!$C$3</c:f>
              <c:numCache>
                <c:formatCode>0.0"x"</c:formatCode>
                <c:ptCount val="1"/>
                <c:pt idx="0">
                  <c:v>8.5</c:v>
                </c:pt>
              </c:numCache>
            </c:numRef>
          </c:yVal>
          <c:smooth val="0"/>
        </c:ser>
        <c:ser>
          <c:idx val="2"/>
          <c:order val="2"/>
          <c:tx>
            <c:strRef>
              <c:f>Hoja1!$A$4</c:f>
              <c:strCache>
                <c:ptCount val="1"/>
                <c:pt idx="0">
                  <c:v>Heidelberg Materials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5.5</c:v>
                </c:pt>
              </c:numCache>
            </c:numRef>
          </c:xVal>
          <c:yVal>
            <c:numRef>
              <c:f>Hoja1!$C$4</c:f>
              <c:numCache>
                <c:formatCode>0.0"x"</c:formatCode>
                <c:ptCount val="1"/>
                <c:pt idx="0">
                  <c:v>6.1</c:v>
                </c:pt>
              </c:numCache>
            </c:numRef>
          </c:yVal>
          <c:smooth val="0"/>
        </c:ser>
        <c:ser>
          <c:idx val="3"/>
          <c:order val="3"/>
          <c:tx>
            <c:strRef>
              <c:f>Hoja1!$A$5</c:f>
              <c:strCache>
                <c:ptCount val="1"/>
                <c:pt idx="0">
                  <c:v>CRH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5.8</c:v>
                </c:pt>
              </c:numCache>
            </c:numRef>
          </c:xVal>
          <c:yVal>
            <c:numRef>
              <c:f>Hoja1!$C$5</c:f>
              <c:numCache>
                <c:formatCode>0.0"x"</c:formatCode>
                <c:ptCount val="1"/>
                <c:pt idx="0">
                  <c:v>8.1</c:v>
                </c:pt>
              </c:numCache>
            </c:numRef>
          </c:yVal>
          <c:smooth val="0"/>
        </c:ser>
        <c:ser>
          <c:idx val="4"/>
          <c:order val="4"/>
          <c:tx>
            <c:strRef>
              <c:f>Hoja1!$A$6</c:f>
              <c:strCache>
                <c:ptCount val="1"/>
                <c:pt idx="0">
                  <c:v>Sika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4.8</c:v>
                </c:pt>
              </c:numCache>
            </c:numRef>
          </c:xVal>
          <c:yVal>
            <c:numRef>
              <c:f>Hoja1!$C$6</c:f>
              <c:numCache>
                <c:formatCode>0.0"x"</c:formatCode>
                <c:ptCount val="1"/>
                <c:pt idx="0">
                  <c:v>14.4</c:v>
                </c:pt>
              </c:numCache>
            </c:numRef>
          </c:yVal>
          <c:smooth val="0"/>
        </c:ser>
        <c:ser>
          <c:idx val="5"/>
          <c:order val="5"/>
          <c:tx>
            <c:strRef>
              <c:f>Hoja1!$A$7</c:f>
              <c:strCache>
                <c:ptCount val="1"/>
                <c:pt idx="0">
                  <c:v>Kingspan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13.8</c:v>
                </c:pt>
              </c:numCache>
            </c:numRef>
          </c:xVal>
          <c:yVal>
            <c:numRef>
              <c:f>Hoja1!$C$7</c:f>
              <c:numCache>
                <c:formatCode>0.0"x"</c:formatCode>
                <c:ptCount val="1"/>
                <c:pt idx="0">
                  <c:v>11.4</c:v>
                </c:pt>
              </c:numCache>
            </c:numRef>
          </c:yVal>
          <c:smooth val="0"/>
        </c:ser>
        <c:ser>
          <c:idx val="6"/>
          <c:order val="6"/>
          <c:tx>
            <c:strRef>
              <c:f>Hoja1!$A$8</c:f>
              <c:strCache>
                <c:ptCount val="1"/>
                <c:pt idx="0">
                  <c:v>Wienerberger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5.2</c:v>
                </c:pt>
              </c:numCache>
            </c:numRef>
          </c:xVal>
          <c:yVal>
            <c:numRef>
              <c:f>Hoja1!$C$8</c:f>
              <c:numCache>
                <c:formatCode>0.0"x"</c:formatCode>
                <c:ptCount val="1"/>
                <c:pt idx="0">
                  <c:v>4.8</c:v>
                </c:pt>
              </c:numCache>
            </c:numRef>
          </c:yVal>
          <c:smooth val="0"/>
        </c:ser>
        <c:ser>
          <c:idx val="7"/>
          <c:order val="7"/>
          <c:tx>
            <c:strRef>
              <c:f>Hoja1!$A$9</c:f>
              <c:strCache>
                <c:ptCount val="1"/>
                <c:pt idx="0">
                  <c:v>Rockwool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3.4</c:v>
                </c:pt>
              </c:numCache>
            </c:numRef>
          </c:xVal>
          <c:yVal>
            <c:numRef>
              <c:f>Hoja1!$C$9</c:f>
              <c:numCache>
                <c:formatCode>0.0"x"</c:formatCode>
                <c:ptCount val="1"/>
                <c:pt idx="0">
                  <c:v>6.5</c:v>
                </c:pt>
              </c:numCache>
            </c:numRef>
          </c:yVal>
          <c:smooth val="0"/>
        </c:ser>
        <c:ser>
          <c:idx val="8"/>
          <c:order val="8"/>
          <c:tx>
            <c:strRef>
              <c:f>Hoja1!$A$10</c:f>
              <c:strCache>
                <c:ptCount val="1"/>
                <c:pt idx="0">
                  <c:v>Owens Corning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0.8</c:v>
                </c:pt>
              </c:numCache>
            </c:numRef>
          </c:xVal>
          <c:yVal>
            <c:numRef>
              <c:f>Hoja1!$C$10</c:f>
              <c:numCache>
                <c:formatCode>0.0"x"</c:formatCode>
                <c:ptCount val="1"/>
                <c:pt idx="0">
                  <c:v>6.7</c:v>
                </c:pt>
              </c:numCache>
            </c:numRef>
          </c:yVal>
          <c:smooth val="0"/>
        </c:ser>
        <c:axId val="10"/>
        <c:axId val="20"/>
      </c:scatterChart>
      <c:valAx>
        <c:axId val="10"/>
        <c:scaling>
          <c:orientation val="minMax"/>
          <c:max val="1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Chryso (aditivos de hormigón)</c:v>
                </c:pt>
                <c:pt idx="1">
                  <c:v>GCP Applied Technologies (química de la construcción, EE. UU.)</c:v>
                </c:pt>
                <c:pt idx="2">
                  <c:v>CSR (materiales ligeros, Australia)</c:v>
                </c:pt>
                <c:pt idx="3">
                  <c:v>Cemix, FOSROC y otras compras de química de la construcción</c:v>
                </c:pt>
                <c:pt idx="4">
                  <c:v>Jewson (distribución, Reino Unido) — venta</c:v>
                </c:pt>
              </c:strCache>
            </c:strRef>
          </c:cat>
          <c:val>
            <c:numRef>
              <c:f>Hoja1!$B$2:$B$6</c:f>
              <c:numCache>
                <c:formatCode>0.0"x"</c:formatCode>
                <c:ptCount val="5"/>
                <c:pt idx="0">
                  <c:v>12</c:v>
                </c:pt>
                <c:pt idx="1">
                  <c:v>13.2</c:v>
                </c:pt>
                <c:pt idx="3">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3140</c:v>
                </c:pt>
                <c:pt idx="1">
                  <c:v>3252</c:v>
                </c:pt>
                <c:pt idx="2">
                  <c:v>3471</c:v>
                </c:pt>
                <c:pt idx="3">
                  <c:v>3739</c:v>
                </c:pt>
                <c:pt idx="4">
                  <c:v>3963</c:v>
                </c:pt>
                <c:pt idx="5">
                  <c:v>4164</c:v>
                </c:pt>
                <c:pt idx="6">
                  <c:v>4288</c:v>
                </c:pt>
                <c:pt idx="7">
                  <c:v>4478</c:v>
                </c:pt>
                <c:pt idx="8">
                  <c:v>4607</c:v>
                </c:pt>
                <c:pt idx="9">
                  <c:v>4728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24958</c:v>
                </c:pt>
                <c:pt idx="1">
                  <c:v>33172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66,42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61.85</c:v>
                </c:pt>
                <c:pt idx="1">
                  <c:v>93.4</c:v>
                </c:pt>
                <c:pt idx="2">
                  <c:v>114.16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66,42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(63,52 – 91,30)</c:v>
                </c:pt>
                <c:pt idx="1">
                  <c:v>Precio objetivo de los analistas (65,00 – 132,60)</c:v>
                </c:pt>
                <c:pt idx="2">
                  <c:v>Comparables: EV/EBITDA NTM (71,51 – 114,32)</c:v>
                </c:pt>
                <c:pt idx="3">
                  <c:v>Comparables: PER NTM (73,71 – 105,44)</c:v>
                </c:pt>
                <c:pt idx="4">
                  <c:v>DCF (WACC y g ± 0,5) (80,74 – 110,46)</c:v>
                </c:pt>
                <c:pt idx="5">
                  <c:v>Escenarios (bajista – alcista) (61,85 – 114,16)</c:v>
                </c:pt>
                <c:pt idx="6">
                  <c:v>DCF con la prima implícita del mercado (4,2 %)</c:v>
                </c:pt>
                <c:pt idx="7">
                  <c:v>Precio actual (66,42)</c:v>
                </c:pt>
              </c:strCache>
            </c:strRef>
          </c:cat>
          <c:val>
            <c:numRef>
              <c:f>Hoja1!$B$2:$B$9</c:f>
              <c:numCache>
                <c:formatCode>#,##0</c:formatCode>
                <c:ptCount val="8"/>
                <c:pt idx="0">
                  <c:v>63.52</c:v>
                </c:pt>
                <c:pt idx="1">
                  <c:v>65</c:v>
                </c:pt>
                <c:pt idx="2">
                  <c:v>71.51</c:v>
                </c:pt>
                <c:pt idx="3">
                  <c:v>73.71</c:v>
                </c:pt>
                <c:pt idx="4">
                  <c:v>80.74</c:v>
                </c:pt>
                <c:pt idx="5">
                  <c:v>61.85</c:v>
                </c:pt>
                <c:pt idx="6">
                  <c:v>108.72</c:v>
                </c:pt>
                <c:pt idx="7">
                  <c:v>66.09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(63,52 – 91,30)</c:v>
                </c:pt>
                <c:pt idx="1">
                  <c:v>Precio objetivo de los analistas (65,00 – 132,60)</c:v>
                </c:pt>
                <c:pt idx="2">
                  <c:v>Comparables: EV/EBITDA NTM (71,51 – 114,32)</c:v>
                </c:pt>
                <c:pt idx="3">
                  <c:v>Comparables: PER NTM (73,71 – 105,44)</c:v>
                </c:pt>
                <c:pt idx="4">
                  <c:v>DCF (WACC y g ± 0,5) (80,74 – 110,46)</c:v>
                </c:pt>
                <c:pt idx="5">
                  <c:v>Escenarios (bajista – alcista) (61,85 – 114,16)</c:v>
                </c:pt>
                <c:pt idx="6">
                  <c:v>DCF con la prima implícita del mercado (4,2 %)</c:v>
                </c:pt>
                <c:pt idx="7">
                  <c:v>Precio actual (66,42)</c:v>
                </c:pt>
              </c:strCache>
            </c:strRef>
          </c:cat>
          <c:val>
            <c:numRef>
              <c:f>Hoja1!$C$2:$C$9</c:f>
              <c:numCache>
                <c:formatCode>#,##0</c:formatCode>
                <c:ptCount val="8"/>
                <c:pt idx="0">
                  <c:v>27.779999999999994</c:v>
                </c:pt>
                <c:pt idx="1">
                  <c:v>67.6</c:v>
                </c:pt>
                <c:pt idx="2">
                  <c:v>42.80999999999999</c:v>
                </c:pt>
                <c:pt idx="3">
                  <c:v>31.730000000000004</c:v>
                </c:pt>
                <c:pt idx="4">
                  <c:v>29.72</c:v>
                </c:pt>
                <c:pt idx="5">
                  <c:v>52.309999999999995</c:v>
                </c:pt>
                <c:pt idx="6">
                  <c:v>27.879999999999995</c:v>
                </c:pt>
                <c:pt idx="7">
                  <c:v>0.6599999999999966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