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1709dd3a3c3ef1e0a53dfb2ca17b31a977ee2d"/>
    <w:p>
      <w:pPr>
        <w:pStyle w:val="Heading1"/>
      </w:pPr>
      <w:r>
        <w:t xml:space="preserve">Krystal Biotech (KRYS): análisis growth, 14-oct-2026</w:t>
      </w:r>
    </w:p>
    <w:p>
      <w:pPr>
        <w:pStyle w:val="FirstParagraph"/>
      </w:pPr>
      <w:r>
        <w:rPr>
          <w:bCs/>
          <w:b/>
        </w:rPr>
        <w:t xml:space="preserve">Señal (método v11, vigente): Mantener</w:t>
      </w:r>
      <w:r>
        <w:t xml:space="preserve"> </w:t>
      </w:r>
      <w:r>
        <w:t xml:space="preserve">· Puntuación 75,3/100 · Señales de cambio de tendencia 6/8 · EV/beneficio bruto NTM 16,8x</w:t>
      </w:r>
      <w:r>
        <w:t xml:space="preserve"> </w:t>
      </w:r>
      <w:r>
        <w:t xml:space="preserve">Precio 321,16 USD (cierre del 13-oct) · Objetivo a 12 meses 318,7 USD · Rentabilidad ponderada −0,8 % · Caso base +9,5 % · Bajista −41,5 % · Alcista +60,1 % · Compra hasta 303,5 USD</w:t>
      </w:r>
      <w:r>
        <w:t xml:space="preserve"> </w:t>
      </w:r>
      <w:r>
        <w:rPr>
          <w:bCs/>
          <w:b/>
        </w:rPr>
        <w:t xml:space="preserve">Al precio actual</w:t>
      </w:r>
      <w:r>
        <w:t xml:space="preserve"> </w:t>
      </w:r>
      <w:r>
        <w:t xml:space="preserve">(330,69 USD, cierre del 14-oct, 20:00 UTC; objetivo fijo): ponderada −3,6 %.</w:t>
      </w:r>
      <w:r>
        <w:t xml:space="preserve"> </w:t>
      </w:r>
      <w:r>
        <w:t xml:space="preserve">Referencia v9: Comprar con convicción media, ponderada +21,4 %. La diferencia es que v9 usa la proyección mecánica de ventas (861 M), muy por encima del consenso; v11 usa la del informe (670 M).</w:t>
      </w:r>
      <w:r>
        <w:t xml:space="preserve"> </w:t>
      </w:r>
      <w:r>
        <w:t xml:space="preserve">Alertas de robustez (</w:t>
      </w:r>
      <w:r>
        <w:rPr>
          <w:rStyle w:val="VerbatimChar"/>
        </w:rPr>
        <w:t xml:space="preserve">calc.alertas</w:t>
      </w:r>
      <w:r>
        <w:t xml:space="preserve">): tres (sección 11).</w:t>
      </w:r>
      <w:r>
        <w:t xml:space="preserve"> </w:t>
      </w:r>
      <w:r>
        <w:t xml:space="preserve">Prueba de robustez:</w:t>
      </w:r>
      <w:r>
        <w:t xml:space="preserve"> </w:t>
      </w:r>
      <w:r>
        <w:rPr>
          <w:bCs/>
          <w:b/>
        </w:rPr>
        <w:t xml:space="preserve">FRÁGIL, señal robusta Mantener</w:t>
      </w:r>
      <w:r>
        <w:t xml:space="preserve"> </w:t>
      </w:r>
      <w:r>
        <w:t xml:space="preserve">(sección 11).</w:t>
      </w:r>
      <w:r>
        <w:t xml:space="preserve"> </w:t>
      </w:r>
      <w:r>
        <w:t xml:space="preserve">Peso orientativo:</w:t>
      </w:r>
      <w:r>
        <w:t xml:space="preserve"> </w:t>
      </w:r>
      <w:r>
        <w:rPr>
          <w:bCs/>
          <w:b/>
        </w:rPr>
        <w:t xml:space="preserve">no entra</w:t>
      </w:r>
      <w:r>
        <w:t xml:space="preserve">. No sustituye a nadie ni entra en la lista de suplentes (sección 13).</w:t>
      </w:r>
    </w:p>
    <w:p>
      <w:pPr>
        <w:pStyle w:val="BlockText"/>
      </w:pPr>
      <w:r>
        <w:rPr>
          <w:bCs/>
          <w:b/>
        </w:rPr>
        <w:t xml:space="preserve">Valorada por EV/EBITDA ajustado NTM</w:t>
      </w:r>
      <w:r>
        <w:t xml:space="preserve"> </w:t>
      </w:r>
      <w:r>
        <w:t xml:space="preserve">porque Krystal gana dinero de forma estable: nueve trimestres seguidos con beneficio de explotación, beneficio neto en 2024 y 2025 y caja libre que crece. Múltiplo de hoy 27,3x. Lectura en una línea: es un negocio excelente (95 % de margen bruto, 58 % de margen de caja libre, 1.100 M de caja sin deuda), pero vive de un solo producto cuyas ventas en EE. UU. llevan un año sin crecer, y el precio ya paga que Europa y la cartera tomen el relevo.</w:t>
      </w:r>
    </w:p>
    <w:bookmarkStart w:id="20" w:name="la-tesis-en-cinco-líneas"/>
    <w:p>
      <w:pPr>
        <w:pStyle w:val="Heading2"/>
      </w:pPr>
      <w:r>
        <w:t xml:space="preserve">1. La tesis en cinco líneas</w:t>
      </w:r>
    </w:p>
    <w:p>
      <w:pPr>
        <w:numPr>
          <w:ilvl w:val="0"/>
          <w:numId w:val="1001"/>
        </w:numPr>
        <w:pStyle w:val="Compact"/>
      </w:pPr>
      <w:r>
        <w:t xml:space="preserve">Krystal vende</w:t>
      </w:r>
      <w:r>
        <w:t xml:space="preserve"> </w:t>
      </w:r>
      <w:r>
        <w:rPr>
          <w:bCs/>
          <w:b/>
        </w:rPr>
        <w:t xml:space="preserve">Vyjuvek</w:t>
      </w:r>
      <w:r>
        <w:t xml:space="preserve">, la primera terapia génica que se aplica sobre la piel, para la epidermólisis bullosa distrófica (la «piel de mariposa»): 440,5 M USD en 12 meses, un 22,6 % más, con un 95 % de margen bruto.</w:t>
      </w:r>
    </w:p>
    <w:p>
      <w:pPr>
        <w:numPr>
          <w:ilvl w:val="0"/>
          <w:numId w:val="1001"/>
        </w:numPr>
        <w:pStyle w:val="Compact"/>
      </w:pPr>
      <w:r>
        <w:rPr>
          <w:bCs/>
          <w:b/>
        </w:rPr>
        <w:t xml:space="preserve">Todo el crecimiento de 2026 viene de fuera de EE. UU.</w:t>
      </w:r>
      <w:r>
        <w:t xml:space="preserve"> </w:t>
      </w:r>
      <w:r>
        <w:t xml:space="preserve">(Alemania, Francia y Japón). En EE. UU., que es casi el 80 % de las ventas, vende un 2,8 % menos que hace un año en el primer semestre.</w:t>
      </w:r>
    </w:p>
    <w:p>
      <w:pPr>
        <w:numPr>
          <w:ilvl w:val="0"/>
          <w:numId w:val="1001"/>
        </w:numPr>
        <w:pStyle w:val="Compact"/>
      </w:pPr>
      <w:r>
        <w:t xml:space="preserve">Es muy rentable: 198 M de beneficio de explotación en 12 meses y 258 M de caja libre. Tiene 1.100 M de caja y ninguna deuda, y la usa para una cartera de terapias para ojos, pulmón y piel con dos resultados de registro antes de fin de año (KB803 y KB801).</w:t>
      </w:r>
    </w:p>
    <w:p>
      <w:pPr>
        <w:numPr>
          <w:ilvl w:val="0"/>
          <w:numId w:val="1001"/>
        </w:numPr>
        <w:pStyle w:val="Compact"/>
      </w:pPr>
      <w:r>
        <w:t xml:space="preserve">El precio es exigente:</w:t>
      </w:r>
      <w:r>
        <w:t xml:space="preserve"> </w:t>
      </w:r>
      <w:r>
        <w:rPr>
          <w:bCs/>
          <w:b/>
        </w:rPr>
        <w:t xml:space="preserve">27,3x el EBITDA de los 12 meses siguientes</w:t>
      </w:r>
      <w:r>
        <w:t xml:space="preserve">, por encima de su mediana de 3 años (21,6x) y de farmacéuticas rentables que crecen igual o más (Vertex 20x, Corcept 19x, Neurocrine 15x). El precio pide un 15 % de crecimiento anual durante 10 años.</w:t>
      </w:r>
    </w:p>
    <w:p>
      <w:pPr>
        <w:numPr>
          <w:ilvl w:val="0"/>
          <w:numId w:val="1001"/>
        </w:numPr>
        <w:pStyle w:val="Compact"/>
      </w:pPr>
      <w:r>
        <w:t xml:space="preserve">Conclusión:</w:t>
      </w:r>
      <w:r>
        <w:t xml:space="preserve"> </w:t>
      </w:r>
      <w:r>
        <w:rPr>
          <w:bCs/>
          <w:b/>
        </w:rPr>
        <w:t xml:space="preserve">Mantener (no comprar)</w:t>
      </w:r>
      <w:r>
        <w:t xml:space="preserve">. Con ventas cercanas al consenso, el precio de hoy ya está en el objetivo. Pasaría a Comprar por debajo de 303,5 USD.</w:t>
      </w:r>
    </w:p>
    <w:bookmarkEnd w:id="20"/>
    <w:bookmarkStart w:id="21" w:name="negocio-y-tecnología"/>
    <w:p>
      <w:pPr>
        <w:pStyle w:val="Heading2"/>
      </w:pPr>
      <w:r>
        <w:t xml:space="preserve">2. Negocio y tecnología</w:t>
      </w:r>
    </w:p>
    <w:p>
      <w:pPr>
        <w:pStyle w:val="FirstParagraph"/>
      </w:pPr>
      <w:r>
        <w:t xml:space="preserve">Krystal (Pittsburgh, 2016; en bolsa desde 2017) usa un virus del herpes desactivado como vehículo para llevar genes sanos a la piel, los pulmones o los ojos. A diferencia de otras terapias génicas, que se ponen una vez, la suya se puede</w:t>
      </w:r>
      <w:r>
        <w:t xml:space="preserve"> </w:t>
      </w:r>
      <w:r>
        <w:rPr>
          <w:bCs/>
          <w:b/>
        </w:rPr>
        <w:t xml:space="preserve">repetir</w:t>
      </w:r>
      <w:r>
        <w:t xml:space="preserve"> </w:t>
      </w:r>
      <w:r>
        <w:t xml:space="preserve">sin que el sistema inmune la rechace, y se fabrica en serie, no paciente a paciente [3].</w:t>
      </w:r>
    </w:p>
    <w:p>
      <w:pPr>
        <w:numPr>
          <w:ilvl w:val="0"/>
          <w:numId w:val="1002"/>
        </w:numPr>
        <w:pStyle w:val="Compact"/>
      </w:pPr>
      <w:r>
        <w:rPr>
          <w:bCs/>
          <w:b/>
        </w:rPr>
        <w:t xml:space="preserve">Vyjuvek (100 % de las ventas)</w:t>
      </w:r>
      <w:r>
        <w:t xml:space="preserve">: un gel que se pone sobre las heridas y lleva dos copias del gen COL7A1 para que la piel fabrique colágeno VII. Aprobado en EE. UU. (may-2023), la UE (abr-2025), Japón (jul-2025) y el Reino Unido (may-2026). Desde septiembre de 2025 la etiqueta de EE. UU. permite tratar desde el nacimiento y aplicarlo en casa [1][5].</w:t>
      </w:r>
    </w:p>
    <w:p>
      <w:pPr>
        <w:numPr>
          <w:ilvl w:val="0"/>
          <w:numId w:val="1002"/>
        </w:numPr>
        <w:pStyle w:val="Compact"/>
      </w:pPr>
      <w:r>
        <w:rPr>
          <w:bCs/>
          <w:b/>
        </w:rPr>
        <w:t xml:space="preserve">Ventas por zona en el 2T26</w:t>
      </w:r>
      <w:r>
        <w:t xml:space="preserve">: EE. UU. 91,6 M, Europa 19,3 M y Japón 8,3 M [2].</w:t>
      </w:r>
    </w:p>
    <w:p>
      <w:pPr>
        <w:numPr>
          <w:ilvl w:val="0"/>
          <w:numId w:val="1002"/>
        </w:numPr>
        <w:pStyle w:val="Compact"/>
      </w:pPr>
      <w:r>
        <w:rPr>
          <w:bCs/>
          <w:b/>
        </w:rPr>
        <w:t xml:space="preserve">Cartera</w:t>
      </w:r>
      <w:r>
        <w:t xml:space="preserve">: KB803 (gotas para las heridas de córnea de los mismos pacientes; resultados de registro en el 4T26), KB801 (queratitis neurotrófica; resultados previstos antes de fin de año), KB407 (fibrosis quística; estudio de registro en 2027), KB111 (enfermedad de Hailey-Hailey), KB408 (déficit de alfa-1 antitripsina) y KB707 inhalado (cáncer de pulmón; 31 % de respuestas con pembrolizumab) [1].</w:t>
      </w:r>
    </w:p>
    <w:p>
      <w:pPr>
        <w:numPr>
          <w:ilvl w:val="0"/>
          <w:numId w:val="1002"/>
        </w:numPr>
        <w:pStyle w:val="Compact"/>
      </w:pPr>
      <w:r>
        <w:rPr>
          <w:bCs/>
          <w:b/>
        </w:rPr>
        <w:t xml:space="preserve">Tecnología 4/5</w:t>
      </w:r>
      <w:r>
        <w:t xml:space="preserve">: plataforma propia y redosificable con la designación de «tecnología de plataforma» de la FDA en tres programas; patentes de Vyjuvek hasta 2036 [3]. No es un 5 porque la cartera aún no ha dado un segundo producto.</w:t>
      </w:r>
    </w:p>
    <w:p>
      <w:pPr>
        <w:numPr>
          <w:ilvl w:val="0"/>
          <w:numId w:val="1002"/>
        </w:numPr>
        <w:pStyle w:val="Compact"/>
      </w:pPr>
      <w:r>
        <w:rPr>
          <w:bCs/>
          <w:b/>
        </w:rPr>
        <w:t xml:space="preserve">Posición 4/5</w:t>
      </w:r>
      <w:r>
        <w:t xml:space="preserve">: único tratamiento que corrige la piel de forma tópica y en casa. Rivales: Zevaskyn de Abeona (injerto de células del propio paciente, aprobado en 2025) y Filsuvez de Chiesi (paliativo) [3][15]. No es un 5 porque en EE. UU. no gana cuota este último año.</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EE. UU.</w:t>
            </w:r>
          </w:p>
        </w:tc>
        <w:tc>
          <w:tcPr/>
          <w:p>
            <w:pPr>
              <w:pStyle w:val="Compact"/>
              <w:jc w:val="left"/>
            </w:pPr>
            <w:r>
              <w:t xml:space="preserve">Fuera de EE. UU.</w:t>
            </w:r>
          </w:p>
        </w:tc>
      </w:tr>
      <w:tr>
        <w:tc>
          <w:tcPr/>
          <w:p>
            <w:pPr>
              <w:pStyle w:val="Compact"/>
              <w:jc w:val="left"/>
            </w:pPr>
            <w:r>
              <w:t xml:space="preserve">3T24</w:t>
            </w:r>
          </w:p>
        </w:tc>
        <w:tc>
          <w:tcPr/>
          <w:p>
            <w:pPr>
              <w:pStyle w:val="Compact"/>
              <w:jc w:val="left"/>
            </w:pPr>
            <w:r>
              <w:t xml:space="preserve">83,8</w:t>
            </w:r>
          </w:p>
        </w:tc>
        <w:tc>
          <w:tcPr/>
          <w:p>
            <w:pPr>
              <w:pStyle w:val="Compact"/>
              <w:jc w:val="left"/>
            </w:pPr>
            <w:r>
              <w:t xml:space="preserve">—</w:t>
            </w:r>
          </w:p>
        </w:tc>
        <w:tc>
          <w:tcPr/>
          <w:p>
            <w:pPr>
              <w:pStyle w:val="Compact"/>
              <w:jc w:val="left"/>
            </w:pPr>
            <w:r>
              <w:t xml:space="preserve">83,8</w:t>
            </w:r>
          </w:p>
        </w:tc>
        <w:tc>
          <w:tcPr/>
          <w:p>
            <w:pPr>
              <w:pStyle w:val="Compact"/>
              <w:jc w:val="left"/>
            </w:pPr>
            <w:r>
              <w:t xml:space="preserve">—</w:t>
            </w:r>
          </w:p>
        </w:tc>
      </w:tr>
      <w:tr>
        <w:tc>
          <w:tcPr/>
          <w:p>
            <w:pPr>
              <w:pStyle w:val="Compact"/>
              <w:jc w:val="left"/>
            </w:pPr>
            <w:r>
              <w:t xml:space="preserve">4T24</w:t>
            </w:r>
          </w:p>
        </w:tc>
        <w:tc>
          <w:tcPr/>
          <w:p>
            <w:pPr>
              <w:pStyle w:val="Compact"/>
              <w:jc w:val="left"/>
            </w:pPr>
            <w:r>
              <w:t xml:space="preserve">91,1</w:t>
            </w:r>
          </w:p>
        </w:tc>
        <w:tc>
          <w:tcPr/>
          <w:p>
            <w:pPr>
              <w:pStyle w:val="Compact"/>
              <w:jc w:val="left"/>
            </w:pPr>
            <w:r>
              <w:t xml:space="preserve">116 %</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1T25</w:t>
            </w:r>
          </w:p>
        </w:tc>
        <w:tc>
          <w:tcPr/>
          <w:p>
            <w:pPr>
              <w:pStyle w:val="Compact"/>
              <w:jc w:val="left"/>
            </w:pPr>
            <w:r>
              <w:t xml:space="preserve">88,2</w:t>
            </w:r>
          </w:p>
        </w:tc>
        <w:tc>
          <w:tcPr/>
          <w:p>
            <w:pPr>
              <w:pStyle w:val="Compact"/>
              <w:jc w:val="left"/>
            </w:pPr>
            <w:r>
              <w:t xml:space="preserve">95 %</w:t>
            </w:r>
          </w:p>
        </w:tc>
        <w:tc>
          <w:tcPr/>
          <w:p>
            <w:pPr>
              <w:pStyle w:val="Compact"/>
              <w:jc w:val="left"/>
            </w:pPr>
            <w:r>
              <w:t xml:space="preserve">88,2</w:t>
            </w:r>
          </w:p>
        </w:tc>
        <w:tc>
          <w:tcPr/>
          <w:p>
            <w:pPr>
              <w:pStyle w:val="Compact"/>
              <w:jc w:val="left"/>
            </w:pPr>
            <w:r>
              <w:t xml:space="preserve">—</w:t>
            </w:r>
          </w:p>
        </w:tc>
      </w:tr>
      <w:tr>
        <w:tc>
          <w:tcPr/>
          <w:p>
            <w:pPr>
              <w:pStyle w:val="Compact"/>
              <w:jc w:val="left"/>
            </w:pPr>
            <w:r>
              <w:t xml:space="preserve">2T25</w:t>
            </w:r>
          </w:p>
        </w:tc>
        <w:tc>
          <w:tcPr/>
          <w:p>
            <w:pPr>
              <w:pStyle w:val="Compact"/>
              <w:jc w:val="left"/>
            </w:pPr>
            <w:r>
              <w:t xml:space="preserve">96,0</w:t>
            </w:r>
          </w:p>
        </w:tc>
        <w:tc>
          <w:tcPr/>
          <w:p>
            <w:pPr>
              <w:pStyle w:val="Compact"/>
              <w:jc w:val="left"/>
            </w:pPr>
            <w:r>
              <w:t xml:space="preserve">36,6 %</w:t>
            </w:r>
          </w:p>
        </w:tc>
        <w:tc>
          <w:tcPr/>
          <w:p>
            <w:pPr>
              <w:pStyle w:val="Compact"/>
              <w:jc w:val="left"/>
            </w:pPr>
            <w:r>
              <w:t xml:space="preserve">96,0</w:t>
            </w:r>
          </w:p>
        </w:tc>
        <w:tc>
          <w:tcPr/>
          <w:p>
            <w:pPr>
              <w:pStyle w:val="Compact"/>
              <w:jc w:val="left"/>
            </w:pPr>
            <w:r>
              <w:t xml:space="preserve">—</w:t>
            </w:r>
          </w:p>
        </w:tc>
      </w:tr>
      <w:tr>
        <w:tc>
          <w:tcPr/>
          <w:p>
            <w:pPr>
              <w:pStyle w:val="Compact"/>
              <w:jc w:val="left"/>
            </w:pPr>
            <w:r>
              <w:t xml:space="preserve">3T25</w:t>
            </w:r>
          </w:p>
        </w:tc>
        <w:tc>
          <w:tcPr/>
          <w:p>
            <w:pPr>
              <w:pStyle w:val="Compact"/>
              <w:jc w:val="left"/>
            </w:pPr>
            <w:r>
              <w:t xml:space="preserve">97,8</w:t>
            </w:r>
          </w:p>
        </w:tc>
        <w:tc>
          <w:tcPr/>
          <w:p>
            <w:pPr>
              <w:pStyle w:val="Compact"/>
              <w:jc w:val="left"/>
            </w:pPr>
            <w:r>
              <w:t xml:space="preserve">16,6 %</w:t>
            </w:r>
          </w:p>
        </w:tc>
        <w:tc>
          <w:tcPr/>
          <w:p>
            <w:pPr>
              <w:pStyle w:val="Compact"/>
              <w:jc w:val="left"/>
            </w:pPr>
            <w:r>
              <w:t xml:space="preserve">sin desglose</w:t>
            </w:r>
          </w:p>
        </w:tc>
        <w:tc>
          <w:tcPr/>
          <w:p>
            <w:pPr>
              <w:pStyle w:val="Compact"/>
              <w:jc w:val="left"/>
            </w:pPr>
            <w:r>
              <w:t xml:space="preserve">lanzamiento en Alemania (agosto)</w:t>
            </w:r>
          </w:p>
        </w:tc>
      </w:tr>
      <w:tr>
        <w:tc>
          <w:tcPr/>
          <w:p>
            <w:pPr>
              <w:pStyle w:val="Compact"/>
              <w:jc w:val="left"/>
            </w:pPr>
            <w:r>
              <w:t xml:space="preserve">4T25</w:t>
            </w:r>
          </w:p>
        </w:tc>
        <w:tc>
          <w:tcPr/>
          <w:p>
            <w:pPr>
              <w:pStyle w:val="Compact"/>
              <w:jc w:val="left"/>
            </w:pPr>
            <w:r>
              <w:t xml:space="preserve">107,1</w:t>
            </w:r>
          </w:p>
        </w:tc>
        <w:tc>
          <w:tcPr/>
          <w:p>
            <w:pPr>
              <w:pStyle w:val="Compact"/>
              <w:jc w:val="left"/>
            </w:pPr>
            <w:r>
              <w:t xml:space="preserve">17,5 %</w:t>
            </w:r>
          </w:p>
        </w:tc>
        <w:tc>
          <w:tcPr/>
          <w:p>
            <w:pPr>
              <w:pStyle w:val="Compact"/>
              <w:jc w:val="left"/>
            </w:pPr>
            <w:r>
              <w:t xml:space="preserve">sin desglose</w:t>
            </w:r>
          </w:p>
        </w:tc>
        <w:tc>
          <w:tcPr/>
          <w:p>
            <w:pPr>
              <w:pStyle w:val="Compact"/>
              <w:jc w:val="left"/>
            </w:pPr>
            <w:r>
              <w:t xml:space="preserve">Francia y Japón (octubre)</w:t>
            </w:r>
          </w:p>
        </w:tc>
      </w:tr>
      <w:tr>
        <w:tc>
          <w:tcPr/>
          <w:p>
            <w:pPr>
              <w:pStyle w:val="Compact"/>
              <w:jc w:val="left"/>
            </w:pPr>
            <w:r>
              <w:t xml:space="preserve">1T26</w:t>
            </w:r>
          </w:p>
        </w:tc>
        <w:tc>
          <w:tcPr/>
          <w:p>
            <w:pPr>
              <w:pStyle w:val="Compact"/>
              <w:jc w:val="left"/>
            </w:pPr>
            <w:r>
              <w:t xml:space="preserve">116,4</w:t>
            </w:r>
          </w:p>
        </w:tc>
        <w:tc>
          <w:tcPr/>
          <w:p>
            <w:pPr>
              <w:pStyle w:val="Compact"/>
              <w:jc w:val="left"/>
            </w:pPr>
            <w:r>
              <w:t xml:space="preserve">31,9 %</w:t>
            </w:r>
          </w:p>
        </w:tc>
        <w:tc>
          <w:tcPr/>
          <w:p>
            <w:pPr>
              <w:pStyle w:val="Compact"/>
              <w:jc w:val="left"/>
            </w:pPr>
            <w:r>
              <w:t xml:space="preserve">87,5</w:t>
            </w:r>
          </w:p>
        </w:tc>
        <w:tc>
          <w:tcPr/>
          <w:p>
            <w:pPr>
              <w:pStyle w:val="Compact"/>
              <w:jc w:val="left"/>
            </w:pPr>
            <w:r>
              <w:t xml:space="preserve">28,9</w:t>
            </w:r>
          </w:p>
        </w:tc>
      </w:tr>
      <w:tr>
        <w:tc>
          <w:tcPr/>
          <w:p>
            <w:pPr>
              <w:pStyle w:val="Compact"/>
              <w:jc w:val="left"/>
            </w:pPr>
            <w:r>
              <w:t xml:space="preserve">2T26</w:t>
            </w:r>
          </w:p>
        </w:tc>
        <w:tc>
          <w:tcPr/>
          <w:p>
            <w:pPr>
              <w:pStyle w:val="Compact"/>
              <w:jc w:val="left"/>
            </w:pPr>
            <w:r>
              <w:t xml:space="preserve">119,2</w:t>
            </w:r>
          </w:p>
        </w:tc>
        <w:tc>
          <w:tcPr/>
          <w:p>
            <w:pPr>
              <w:pStyle w:val="Compact"/>
              <w:jc w:val="left"/>
            </w:pPr>
            <w:r>
              <w:t xml:space="preserve">24,1 %</w:t>
            </w:r>
          </w:p>
        </w:tc>
        <w:tc>
          <w:tcPr/>
          <w:p>
            <w:pPr>
              <w:pStyle w:val="Compact"/>
              <w:jc w:val="left"/>
            </w:pPr>
            <w:r>
              <w:t xml:space="preserve">91,6</w:t>
            </w:r>
          </w:p>
        </w:tc>
        <w:tc>
          <w:tcPr/>
          <w:p>
            <w:pPr>
              <w:pStyle w:val="Compact"/>
              <w:jc w:val="left"/>
            </w:pPr>
            <w:r>
              <w:t xml:space="preserve">27,6</w:t>
            </w:r>
          </w:p>
        </w:tc>
      </w:tr>
    </w:tbl>
    <w:p>
      <w:pPr>
        <w:pStyle w:val="BodyText"/>
      </w:pPr>
      <w:r>
        <w:t xml:space="preserve">Fuentes: [1][2][4][13].</w:t>
      </w:r>
    </w:p>
    <w:p>
      <w:pPr>
        <w:numPr>
          <w:ilvl w:val="0"/>
          <w:numId w:val="1003"/>
        </w:numPr>
        <w:pStyle w:val="Compact"/>
      </w:pPr>
      <w:r>
        <w:rPr>
          <w:bCs/>
          <w:b/>
        </w:rPr>
        <w:t xml:space="preserve">Ventas de 12 meses</w:t>
      </w:r>
      <w:r>
        <w:t xml:space="preserve">:</w:t>
      </w:r>
      <w:r>
        <w:t xml:space="preserve"> </w:t>
      </w:r>
      <w:r>
        <w:rPr>
          <w:bCs/>
          <w:b/>
        </w:rPr>
        <w:t xml:space="preserve">440,5 M USD, +22,6 %</w:t>
      </w:r>
      <w:r>
        <w:t xml:space="preserve">.</w:t>
      </w:r>
      <w:r>
        <w:t xml:space="preserve"> </w:t>
      </w:r>
      <w:r>
        <w:rPr>
          <w:bCs/>
          <w:b/>
        </w:rPr>
        <w:t xml:space="preserve">CAGR propio a 2 años: 62,8 %</w:t>
      </w:r>
      <w:r>
        <w:t xml:space="preserve">, inflado porque hace dos años el lanzamiento acababa de empezar.</w:t>
      </w:r>
      <w:r>
        <w:t xml:space="preserve"> </w:t>
      </w:r>
      <w:r>
        <w:rPr>
          <w:bCs/>
          <w:b/>
        </w:rPr>
        <w:t xml:space="preserve">Aceleración: −1,5 puntos</w:t>
      </w:r>
      <w:r>
        <w:t xml:space="preserve">.</w:t>
      </w:r>
    </w:p>
    <w:p>
      <w:pPr>
        <w:numPr>
          <w:ilvl w:val="0"/>
          <w:numId w:val="1003"/>
        </w:numPr>
        <w:pStyle w:val="Compact"/>
      </w:pPr>
      <w:r>
        <w:rPr>
          <w:bCs/>
          <w:b/>
        </w:rPr>
        <w:t xml:space="preserve">EE. UU. está plano</w:t>
      </w:r>
      <w:r>
        <w:t xml:space="preserve">: el 1S26 vendió 179,1 M frente a 184,2 M del 1S25 [2]. La empresa habla de demanda «duradera» y suma prescriptores (más de 640), pero las ventas no lo reflejan; puede deberse a menos aplicaciones por paciente cuando las heridas cierran.</w:t>
      </w:r>
    </w:p>
    <w:p>
      <w:pPr>
        <w:numPr>
          <w:ilvl w:val="0"/>
          <w:numId w:val="1003"/>
        </w:numPr>
        <w:pStyle w:val="Compact"/>
      </w:pPr>
      <w:r>
        <w:rPr>
          <w:bCs/>
          <w:b/>
        </w:rPr>
        <w:t xml:space="preserve">Guía</w:t>
      </w:r>
      <w:r>
        <w:t xml:space="preserve">: no hay guía de ventas, solo de gastos (175-195 M en 2026) [1]. El consenso de 2026 (502 M) pide un segundo semestre un 30 % por encima del de 2025 [8].</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el ejercicio objetivo: ~1.500 M USD</w:t>
      </w:r>
      <w:r>
        <w:t xml:space="preserve"> </w:t>
      </w:r>
      <w:r>
        <w:t xml:space="preserve">(estimación propia). La empresa cuenta más de 3.000 pacientes en EE. UU. y más de 9.000 en el mundo [3]. Penetración 29 %.</w:t>
      </w:r>
    </w:p>
    <w:p>
      <w:pPr>
        <w:numPr>
          <w:ilvl w:val="0"/>
          <w:numId w:val="1004"/>
        </w:numPr>
        <w:pStyle w:val="Compact"/>
      </w:pPr>
      <w:r>
        <w:rPr>
          <w:bCs/>
          <w:b/>
        </w:rPr>
        <w:t xml:space="preserve">Competencia</w:t>
      </w:r>
      <w:r>
        <w:t xml:space="preserve">: Zevaskyn (Abeona) se pone una vez en un centro especializado y necesita fabricar las células de cada paciente; compite por los casos graves, no sustituye al gel para el día a día [3][15]. En StockTwits se habla también de una terapia sistémica de Inmune Bio, en fase temprana [10].</w:t>
      </w:r>
    </w:p>
    <w:p>
      <w:pPr>
        <w:numPr>
          <w:ilvl w:val="0"/>
          <w:numId w:val="1004"/>
        </w:numPr>
        <w:pStyle w:val="Compact"/>
      </w:pPr>
      <w:r>
        <w:rPr>
          <w:bCs/>
          <w:b/>
        </w:rPr>
        <w:t xml:space="preserve">Europa y Japón</w:t>
      </w:r>
      <w:r>
        <w:t xml:space="preserve">: Japón ya tiene precio; Alemania y Francia venden con precio provisional hasta cerrar la negociación (2S26 y 2027). Italia y España, antes de fin de año, y más de 40 países por distribuidores [1].</w:t>
      </w:r>
    </w:p>
    <w:p>
      <w:pPr>
        <w:numPr>
          <w:ilvl w:val="0"/>
          <w:numId w:val="1004"/>
        </w:numPr>
        <w:pStyle w:val="Compact"/>
      </w:pPr>
      <w:r>
        <w:rPr>
          <w:bCs/>
          <w:b/>
        </w:rPr>
        <w:t xml:space="preserve">Riesgo de la IA: bajo</w:t>
      </w:r>
      <w:r>
        <w:t xml:space="preserve">. Es una terapia génica patentada para una enfermedad rara, con fabricación propia y ensayos clínicos; la IA puede acelerar a rivales en el descubrimiento de fármacos a largo plazo, pero no amenaza las ventas de los próximos años.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 (débil)</w:t>
            </w:r>
          </w:p>
        </w:tc>
        <w:tc>
          <w:tcPr/>
          <w:p>
            <w:pPr>
              <w:pStyle w:val="Compact"/>
              <w:jc w:val="left"/>
            </w:pPr>
            <w:r>
              <w:t xml:space="preserve">Citi sube su objetivo de 378 a 386 USD y Bank of America de 392 a 400; RBC (400) y Goldman Sachs (441) empiezan con Comprar. Pero el 2T quedó por debajo del consenso de ventas</w:t>
            </w:r>
          </w:p>
        </w:tc>
        <w:tc>
          <w:tcPr/>
          <w:p>
            <w:pPr>
              <w:pStyle w:val="Compact"/>
              <w:jc w:val="left"/>
            </w:pPr>
            <w:r>
              <w:t xml:space="preserve">[8][11]</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321,16 frente a 304,4, y la media sube (264,6 hace 60 sesiones)</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+20,1 % frente a +16,2 % del IBB y +11,2 % del XBI; igual que el Nasdaq-100</w:t>
            </w:r>
          </w:p>
        </w:tc>
        <w:tc>
          <w:tcPr/>
          <w:p>
            <w:pPr>
              <w:pStyle w:val="Compact"/>
              <w:jc w:val="left"/>
            </w:pPr>
            <w:r>
              <w:t xml:space="preserve">[6]</w:t>
            </w:r>
          </w:p>
        </w:tc>
      </w:tr>
      <w:tr>
        <w:tc>
          <w:tcPr/>
          <w:p>
            <w:pPr>
              <w:pStyle w:val="Compact"/>
              <w:jc w:val="left"/>
            </w:pPr>
            <w:r>
              <w:t xml:space="preserve">4. Mejora de múltiplo ≥ 20 %</w:t>
            </w:r>
          </w:p>
        </w:tc>
        <w:tc>
          <w:tcPr/>
          <w:p>
            <w:pPr>
              <w:pStyle w:val="Compact"/>
              <w:jc w:val="left"/>
            </w:pPr>
            <w:r>
              <w:t xml:space="preserve">Sí</w:t>
            </w:r>
          </w:p>
        </w:tc>
        <w:tc>
          <w:tcPr/>
          <w:p>
            <w:pPr>
              <w:pStyle w:val="Compact"/>
              <w:jc w:val="left"/>
            </w:pPr>
            <w:r>
              <w:t xml:space="preserve">EV/EBITDA NTM de ~16,6x (oct-2025) a 27,3x</w:t>
            </w:r>
          </w:p>
        </w:tc>
        <w:tc>
          <w:tcPr/>
          <w:p>
            <w:pPr>
              <w:pStyle w:val="Compact"/>
              <w:jc w:val="left"/>
            </w:pPr>
            <w:r>
              <w:t xml:space="preserve">[6][14]</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Margen de explotación del 2T26 49,0 % frente al 41,0 % un año antes (+8 puntos)</w:t>
            </w:r>
          </w:p>
        </w:tc>
        <w:tc>
          <w:tcPr/>
          <w:p>
            <w:pPr>
              <w:pStyle w:val="Compact"/>
              <w:jc w:val="left"/>
            </w:pPr>
            <w:r>
              <w:t xml:space="preserve">[1][13]</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Tras el máximo de junio, caída del 9 % por el 2T y un 10 % menos desde entonces; posiciones cortas del 11,7 %</w:t>
            </w:r>
          </w:p>
        </w:tc>
        <w:tc>
          <w:tcPr/>
          <w:p>
            <w:pPr>
              <w:pStyle w:val="Compact"/>
              <w:jc w:val="left"/>
            </w:pPr>
            <w:r>
              <w:t xml:space="preserve">[9][10]</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Ninguna compra; los fundadores venden cada trimestre</w:t>
            </w:r>
          </w:p>
        </w:tc>
        <w:tc>
          <w:tcPr/>
          <w:p>
            <w:pPr>
              <w:pStyle w:val="Compact"/>
              <w:jc w:val="left"/>
            </w:pPr>
            <w:r>
              <w:t xml:space="preserve">[12]</w:t>
            </w:r>
          </w:p>
        </w:tc>
      </w:tr>
      <w:tr>
        <w:tc>
          <w:tcPr/>
          <w:p>
            <w:pPr>
              <w:pStyle w:val="Compact"/>
              <w:jc w:val="left"/>
            </w:pPr>
            <w:r>
              <w:t xml:space="preserve">8. Catalizador en 6 meses</w:t>
            </w:r>
          </w:p>
        </w:tc>
        <w:tc>
          <w:tcPr/>
          <w:p>
            <w:pPr>
              <w:pStyle w:val="Compact"/>
              <w:jc w:val="left"/>
            </w:pPr>
            <w:r>
              <w:t xml:space="preserve">Sí</w:t>
            </w:r>
          </w:p>
        </w:tc>
        <w:tc>
          <w:tcPr/>
          <w:p>
            <w:pPr>
              <w:pStyle w:val="Compact"/>
              <w:jc w:val="left"/>
            </w:pPr>
            <w:r>
              <w:t xml:space="preserve">3T el 3-nov; KB803 en el 4T; KB801 antes de fin de año; Italia y España</w:t>
            </w:r>
          </w:p>
        </w:tc>
        <w:tc>
          <w:tcPr/>
          <w:p>
            <w:pPr>
              <w:pStyle w:val="Compact"/>
              <w:jc w:val="left"/>
            </w:pPr>
            <w:r>
              <w:t xml:space="preserve">[1]</w:t>
            </w:r>
          </w:p>
        </w:tc>
      </w:tr>
    </w:tbl>
    <w:p>
      <w:pPr>
        <w:pStyle w:val="BodyText"/>
      </w:pPr>
      <w:r>
        <w:rPr>
          <w:bCs/>
          <w:b/>
        </w:rPr>
        <w:t xml:space="preserve">Euforia: no</w:t>
      </w:r>
      <w:r>
        <w:t xml:space="preserve">. Sube un 73,8 % en 12 meses, lejos del 150 %, y el EV/beneficio bruto es de 16,8. En 6 meses sube un 20 %.</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94,8 %</w:t>
      </w:r>
      <w:r>
        <w:t xml:space="preserve">: fabrica el vector en sus dos plantas propias.</w:t>
      </w:r>
    </w:p>
    <w:p>
      <w:pPr>
        <w:numPr>
          <w:ilvl w:val="0"/>
          <w:numId w:val="1005"/>
        </w:numPr>
        <w:pStyle w:val="Compact"/>
      </w:pPr>
      <w:r>
        <w:rPr>
          <w:bCs/>
          <w:b/>
        </w:rPr>
        <w:t xml:space="preserve">Caja libre de 12 meses 257,8 M (58,5 % de las ventas)</w:t>
      </w:r>
      <w:r>
        <w:t xml:space="preserve">, al alza: 119 M en 2024 y 189 M en 2025. Ayudan unos ~45 M al año de intereses de la caja y algunos créditos fiscales [1][13].</w:t>
      </w:r>
    </w:p>
    <w:p>
      <w:pPr>
        <w:numPr>
          <w:ilvl w:val="0"/>
          <w:numId w:val="1005"/>
        </w:numPr>
        <w:pStyle w:val="Compact"/>
      </w:pPr>
      <w:r>
        <w:rPr>
          <w:bCs/>
          <w:b/>
        </w:rPr>
        <w:t xml:space="preserve">Regla del 40: 81</w:t>
      </w:r>
      <w:r>
        <w:t xml:space="preserve">.</w:t>
      </w:r>
    </w:p>
    <w:p>
      <w:pPr>
        <w:numPr>
          <w:ilvl w:val="0"/>
          <w:numId w:val="1005"/>
        </w:numPr>
        <w:pStyle w:val="Compact"/>
      </w:pPr>
      <w:r>
        <w:rPr>
          <w:bCs/>
          <w:b/>
        </w:rPr>
        <w:t xml:space="preserve">Camino</w:t>
      </w:r>
      <w:r>
        <w:t xml:space="preserve">: ya es rentable. Margen de explotación del 49 % en el 2T26. La guía de gastos sube poco, así que cada dólar de venta nueva deja casi todo como beneficio.</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e inversiones 1.102,9 M, sin deuda</w:t>
      </w:r>
      <w:r>
        <w:t xml:space="preserve"> </w:t>
      </w:r>
      <w:r>
        <w:t xml:space="preserve">[2]. Pista: caja libre positiva.</w:t>
      </w:r>
    </w:p>
    <w:p>
      <w:pPr>
        <w:numPr>
          <w:ilvl w:val="0"/>
          <w:numId w:val="1006"/>
        </w:numPr>
        <w:pStyle w:val="Compact"/>
      </w:pPr>
      <w:r>
        <w:rPr>
          <w:bCs/>
          <w:b/>
        </w:rPr>
        <w:t xml:space="preserve">Dilución 3,1 % en 12 meses</w:t>
      </w:r>
      <w:r>
        <w:t xml:space="preserve"> </w:t>
      </w:r>
      <w:r>
        <w:t xml:space="preserve">por opciones y acciones de los planes de remuneración; sin ampliaciones desde 2023 ni recompras. La dilución esperada es la misma.</w:t>
      </w:r>
    </w:p>
    <w:p>
      <w:pPr>
        <w:numPr>
          <w:ilvl w:val="0"/>
          <w:numId w:val="1006"/>
        </w:numPr>
        <w:pStyle w:val="Compact"/>
      </w:pPr>
      <w:r>
        <w:rPr>
          <w:bCs/>
          <w:b/>
        </w:rPr>
        <w:t xml:space="preserve">Pagos en acciones: 9,4 % de las ventas</w:t>
      </w:r>
      <w:r>
        <w:t xml:space="preserve"> </w:t>
      </w:r>
      <w:r>
        <w:t xml:space="preserve">(41,5 M), por debajo del 15 % que el método marca en rojo.</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Krish y Suma Krishnan</w:t>
      </w:r>
      <w:r>
        <w:t xml:space="preserve">, fundadores (consejero delegado y presidenta de I+D); los directivos tienen ~10 % del capital [9]. Venden unas 50.000 acciones cada trimestre con un calendario regular [12].</w:t>
      </w:r>
    </w:p>
    <w:p>
      <w:pPr>
        <w:numPr>
          <w:ilvl w:val="0"/>
          <w:numId w:val="1007"/>
        </w:numPr>
        <w:pStyle w:val="Compact"/>
      </w:pPr>
      <w:r>
        <w:rPr>
          <w:bCs/>
          <w:b/>
        </w:rPr>
        <w:t xml:space="preserve">Historial 3/5</w:t>
      </w:r>
      <w:r>
        <w:t xml:space="preserve">: lanzamiento rápido, aprobaciones en plazo y gastos dentro de la guía. Pero no da guía de ventas, EE. UU. no crece desde hace un año, el 2T quedó por debajo de lo esperado y el estudio de registro en fibrosis quística se retrasó a 2027.</w:t>
      </w:r>
    </w:p>
    <w:p>
      <w:pPr>
        <w:numPr>
          <w:ilvl w:val="0"/>
          <w:numId w:val="1007"/>
        </w:numPr>
        <w:pStyle w:val="Compact"/>
      </w:pPr>
      <w:r>
        <w:rPr>
          <w:bCs/>
          <w:b/>
        </w:rPr>
        <w:t xml:space="preserve">Dirección 4/5</w:t>
      </w:r>
      <w:r>
        <w:t xml:space="preserve">: caja muy fuerte sin ampliaciones desde 2023, objetivo claro (cuatro medicamentos y 10.000 pacientes en 2030 sin dejar de ganar dinero) [4]. Resta las ventas regulares de los fundadores y un pleito de inventor sobre dos patentes de KB407 [2].</w:t>
      </w:r>
    </w:p>
    <w:bookmarkEnd w:id="27"/>
    <w:bookmarkStart w:id="28" w:name="valoración"/>
    <w:p>
      <w:pPr>
        <w:pStyle w:val="Heading2"/>
      </w:pPr>
      <w:r>
        <w:t xml:space="preserve">9. Valoración</w:t>
      </w:r>
    </w:p>
    <w:p>
      <w:pPr>
        <w:pStyle w:val="FirstParagraph"/>
      </w:pPr>
      <w:r>
        <w:rPr>
          <w:bCs/>
          <w:b/>
        </w:rPr>
        <w:t xml:space="preserve">Método</w:t>
      </w:r>
      <w:r>
        <w:t xml:space="preserve">: EV/EBITDA ajustado de los 12 meses siguientes. EV hoy 8.743 M (321,16 × 30,657 M de acciones − 1.102,9 de caja). EBITDA NTM ~320 M (ventas de ~550 M al ritmo del 2T26 y la guía de gastos) →</w:t>
      </w:r>
      <w:r>
        <w:t xml:space="preserve"> </w:t>
      </w:r>
      <w:r>
        <w:rPr>
          <w:bCs/>
          <w:b/>
        </w:rPr>
        <w:t xml:space="preserve">27,3x</w:t>
      </w:r>
      <w:r>
        <w:t xml:space="preserve"> </w:t>
      </w:r>
      <w:r>
        <w:t xml:space="preserve">[14].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Caso</w:t>
            </w:r>
          </w:p>
        </w:tc>
        <w:tc>
          <w:tcPr/>
          <w:p>
            <w:pPr>
              <w:pStyle w:val="Compact"/>
              <w:jc w:val="left"/>
            </w:pPr>
            <w:r>
              <w:t xml:space="preserve">Probabilidad</w:t>
            </w:r>
          </w:p>
        </w:tc>
        <w:tc>
          <w:tcPr/>
          <w:p>
            <w:pPr>
              <w:pStyle w:val="Compact"/>
              <w:jc w:val="left"/>
            </w:pPr>
            <w:r>
              <w:t xml:space="preserve">Ventas 12 m a jun-2028 (M USD)</w:t>
            </w:r>
          </w:p>
        </w:tc>
        <w:tc>
          <w:tcPr/>
          <w:p>
            <w:pPr>
              <w:pStyle w:val="Compact"/>
              <w:jc w:val="left"/>
            </w:pPr>
            <w:r>
              <w:t xml:space="preserve">Múltiplo</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35 %</w:t>
            </w:r>
          </w:p>
        </w:tc>
        <w:tc>
          <w:tcPr/>
          <w:p>
            <w:pPr>
              <w:pStyle w:val="Compact"/>
              <w:jc w:val="left"/>
            </w:pPr>
            <w:r>
              <w:t xml:space="preserve">540</w:t>
            </w:r>
          </w:p>
        </w:tc>
        <w:tc>
          <w:tcPr/>
          <w:p>
            <w:pPr>
              <w:pStyle w:val="Compact"/>
              <w:jc w:val="left"/>
            </w:pPr>
            <w:r>
              <w:t xml:space="preserve">15,4x</w:t>
            </w:r>
          </w:p>
        </w:tc>
        <w:tc>
          <w:tcPr/>
          <w:p>
            <w:pPr>
              <w:pStyle w:val="Compact"/>
              <w:jc w:val="left"/>
            </w:pPr>
            <w:r>
              <w:t xml:space="preserve">188,0</w:t>
            </w:r>
          </w:p>
        </w:tc>
        <w:tc>
          <w:tcPr/>
          <w:p>
            <w:pPr>
              <w:pStyle w:val="Compact"/>
              <w:jc w:val="left"/>
            </w:pPr>
            <w:r>
              <w:t xml:space="preserve">−41,5 %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670</w:t>
            </w:r>
          </w:p>
        </w:tc>
        <w:tc>
          <w:tcPr/>
          <w:p>
            <w:pPr>
              <w:pStyle w:val="Compact"/>
              <w:jc w:val="left"/>
            </w:pPr>
            <w:r>
              <w:t xml:space="preserve">25,7x</w:t>
            </w:r>
          </w:p>
        </w:tc>
        <w:tc>
          <w:tcPr/>
          <w:p>
            <w:pPr>
              <w:pStyle w:val="Compact"/>
              <w:jc w:val="left"/>
            </w:pPr>
            <w:r>
              <w:t xml:space="preserve">351,5</w:t>
            </w:r>
          </w:p>
        </w:tc>
        <w:tc>
          <w:tcPr/>
          <w:p>
            <w:pPr>
              <w:pStyle w:val="Compact"/>
              <w:jc w:val="left"/>
            </w:pPr>
            <w:r>
              <w:t xml:space="preserve">+9,5 %</w:t>
            </w:r>
          </w:p>
        </w:tc>
      </w:tr>
      <w:tr>
        <w:tc>
          <w:tcPr/>
          <w:p>
            <w:pPr>
              <w:pStyle w:val="Compact"/>
              <w:jc w:val="left"/>
            </w:pPr>
            <w:r>
              <w:t xml:space="preserve">Alcista</w:t>
            </w:r>
          </w:p>
        </w:tc>
        <w:tc>
          <w:tcPr/>
          <w:p>
            <w:pPr>
              <w:pStyle w:val="Compact"/>
              <w:jc w:val="left"/>
            </w:pPr>
            <w:r>
              <w:t xml:space="preserve">15 %</w:t>
            </w:r>
          </w:p>
        </w:tc>
        <w:tc>
          <w:tcPr/>
          <w:p>
            <w:pPr>
              <w:pStyle w:val="Compact"/>
              <w:jc w:val="left"/>
            </w:pPr>
            <w:r>
              <w:t xml:space="preserve">780</w:t>
            </w:r>
          </w:p>
        </w:tc>
        <w:tc>
          <w:tcPr/>
          <w:p>
            <w:pPr>
              <w:pStyle w:val="Compact"/>
              <w:jc w:val="left"/>
            </w:pPr>
            <w:r>
              <w:t xml:space="preserve">33,4x</w:t>
            </w:r>
          </w:p>
        </w:tc>
        <w:tc>
          <w:tcPr/>
          <w:p>
            <w:pPr>
              <w:pStyle w:val="Compact"/>
              <w:jc w:val="left"/>
            </w:pPr>
            <w:r>
              <w:t xml:space="preserve">514,1</w:t>
            </w:r>
          </w:p>
        </w:tc>
        <w:tc>
          <w:tcPr/>
          <w:p>
            <w:pPr>
              <w:pStyle w:val="Compact"/>
              <w:jc w:val="left"/>
            </w:pPr>
            <w:r>
              <w:t xml:space="preserve">+60,1 %</w:t>
            </w:r>
          </w:p>
        </w:tc>
      </w:tr>
      <w:tr>
        <w:tc>
          <w:tcPr/>
          <w:p>
            <w:pPr>
              <w:pStyle w:val="Compact"/>
              <w:jc w:val="left"/>
            </w:pPr>
            <w:r>
              <w:rPr>
                <w:bCs/>
                <w:b/>
              </w:rPr>
              <w:t xml:space="preserve">Ponderada</w:t>
            </w:r>
          </w:p>
        </w:tc>
        <w:tc>
          <w:tcPr/>
          <w:p>
            <w:pPr>
              <w:pStyle w:val="Compact"/>
            </w:pPr>
          </w:p>
        </w:tc>
        <w:tc>
          <w:tcPr/>
          <w:p>
            <w:pPr>
              <w:pStyle w:val="Compact"/>
            </w:pPr>
          </w:p>
        </w:tc>
        <w:tc>
          <w:tcPr/>
          <w:p>
            <w:pPr>
              <w:pStyle w:val="Compact"/>
            </w:pPr>
          </w:p>
        </w:tc>
        <w:tc>
          <w:tcPr/>
          <w:p>
            <w:pPr>
              <w:pStyle w:val="Compact"/>
              <w:jc w:val="left"/>
            </w:pPr>
            <w:r>
              <w:rPr>
                <w:bCs/>
                <w:b/>
              </w:rPr>
              <w:t xml:space="preserve">318,7</w:t>
            </w:r>
          </w:p>
        </w:tc>
        <w:tc>
          <w:tcPr/>
          <w:p>
            <w:pPr>
              <w:pStyle w:val="Compact"/>
              <w:jc w:val="left"/>
            </w:pPr>
            <w:r>
              <w:rPr>
                <w:bCs/>
                <w:b/>
              </w:rPr>
              <w:t xml:space="preserve">−0,8 %</w:t>
            </w:r>
          </w:p>
        </w:tc>
      </w:tr>
    </w:tbl>
    <w:p>
      <w:pPr>
        <w:numPr>
          <w:ilvl w:val="0"/>
          <w:numId w:val="1008"/>
        </w:numPr>
        <w:pStyle w:val="Compact"/>
      </w:pPr>
      <w:r>
        <w:rPr>
          <w:bCs/>
          <w:b/>
        </w:rPr>
        <w:t xml:space="preserve">Probabilidades 35/50/15</w:t>
      </w:r>
      <w:r>
        <w:t xml:space="preserve">: depende de un solo producto (Vyjuvek, 100 % de las ventas) cuyas ventas en EE. UU. no crecen.</w:t>
      </w:r>
    </w:p>
    <w:p>
      <w:pPr>
        <w:numPr>
          <w:ilvl w:val="0"/>
          <w:numId w:val="1008"/>
        </w:numPr>
        <w:pStyle w:val="Compact"/>
      </w:pPr>
      <w:r>
        <w:rPr>
          <w:bCs/>
          <w:b/>
        </w:rPr>
        <w:t xml:space="preserve">Ventas</w:t>
      </w:r>
      <w:r>
        <w:t xml:space="preserve">: las del informe, porque la proyección mecánica (861 M) supera en un 28 % a la del informe y en un 23 % al consenso. La mecánica parte de un crecimiento del 43 % porque el CAGR a 2 años mide el lanzamiento, no el negocio de hoy.</w:t>
      </w:r>
    </w:p>
    <w:p>
      <w:pPr>
        <w:numPr>
          <w:ilvl w:val="0"/>
          <w:numId w:val="1008"/>
        </w:numPr>
        <w:pStyle w:val="Compact"/>
      </w:pPr>
      <w:r>
        <w:rPr>
          <w:bCs/>
          <w:b/>
        </w:rPr>
        <w:t xml:space="preserve">Consenso</w:t>
      </w:r>
      <w:r>
        <w:t xml:space="preserve">: ~700 M en la ventana (2027: 645 M; 2028 no publicado en fuente legible) [8]. La base del informe (670 M) está un 4 % por debajo.</w:t>
      </w:r>
    </w:p>
    <w:p>
      <w:pPr>
        <w:numPr>
          <w:ilvl w:val="0"/>
          <w:numId w:val="1008"/>
        </w:numPr>
        <w:pStyle w:val="Compact"/>
      </w:pPr>
      <w:r>
        <w:rPr>
          <w:bCs/>
          <w:b/>
        </w:rPr>
        <w:t xml:space="preserve">Contraste</w:t>
      </w:r>
      <w:r>
        <w:t xml:space="preserve">: precio objetivo medio de los analistas 392 USD (+22 %; rango 284-474) [8]. PER adelantado 2027: 321,16 / 9,16 =</w:t>
      </w:r>
      <w:r>
        <w:t xml:space="preserve"> </w:t>
      </w:r>
      <w:r>
        <w:rPr>
          <w:bCs/>
          <w:b/>
        </w:rPr>
        <w:t xml:space="preserve">35x</w:t>
      </w:r>
      <w:r>
        <w:t xml:space="preserve">, muy por encima de Corcept (27x) o Neurocrine (12x).</w:t>
      </w:r>
      <w:r>
        <w:t xml:space="preserve"> </w:t>
      </w:r>
      <w:r>
        <w:rPr>
          <w:bCs/>
          <w:b/>
        </w:rPr>
        <w:t xml:space="preserve">DCF inverso</w:t>
      </w:r>
      <w:r>
        <w:t xml:space="preserve">: el precio pide un 15,4 % anual de crecimiento a 10 años con un 45 % de margen de caja libre.</w:t>
      </w:r>
    </w:p>
    <w:bookmarkEnd w:id="28"/>
    <w:bookmarkStart w:id="29" w:name="foros-y-sentimiento"/>
    <w:p>
      <w:pPr>
        <w:pStyle w:val="Heading2"/>
      </w:pPr>
      <w:r>
        <w:t xml:space="preserve">10. Foros y sentimiento</w:t>
      </w:r>
    </w:p>
    <w:p>
      <w:pPr>
        <w:numPr>
          <w:ilvl w:val="0"/>
          <w:numId w:val="1009"/>
        </w:numPr>
        <w:pStyle w:val="Compact"/>
      </w:pPr>
      <w:r>
        <w:rPr>
          <w:bCs/>
          <w:b/>
        </w:rPr>
        <w:t xml:space="preserve">StockTwits</w:t>
      </w:r>
      <w:r>
        <w:t xml:space="preserve"> </w:t>
      </w:r>
      <w:r>
        <w:t xml:space="preserve">(14-oct): poca conversación, 30 mensajes en tres meses y medio, 3 alcistas y 1 bajista. Temas: la caída tras el 2T, rumores de compra en julio, la entrada en el S&amp;P MidCap 400 y los rivales (Abeona, Inmune Bio). Hay quien vendió en 334 USD lamentando no haberlo hecho en 375 [10].</w:t>
      </w:r>
    </w:p>
    <w:p>
      <w:pPr>
        <w:numPr>
          <w:ilvl w:val="0"/>
          <w:numId w:val="1009"/>
        </w:numPr>
        <w:pStyle w:val="Compact"/>
      </w:pPr>
      <w:r>
        <w:rPr>
          <w:bCs/>
          <w:b/>
        </w:rPr>
        <w:t xml:space="preserve">Analistas</w:t>
      </w:r>
      <w:r>
        <w:t xml:space="preserve">: 12, «Compra fuerte»; solo Wolfe en Mantener [8].</w:t>
      </w:r>
    </w:p>
    <w:p>
      <w:pPr>
        <w:numPr>
          <w:ilvl w:val="0"/>
          <w:numId w:val="1009"/>
        </w:numPr>
        <w:pStyle w:val="Compact"/>
      </w:pPr>
      <w:r>
        <w:rPr>
          <w:bCs/>
          <w:b/>
        </w:rPr>
        <w:t xml:space="preserve">Posiciones cortas</w:t>
      </w:r>
      <w:r>
        <w:t xml:space="preserve">: 11,7 % de las acciones y 12,5 días para cubrir [9]: muchos escépticos.</w:t>
      </w:r>
    </w:p>
    <w:p>
      <w:pPr>
        <w:numPr>
          <w:ilvl w:val="0"/>
          <w:numId w:val="1009"/>
        </w:numPr>
        <w:pStyle w:val="Compact"/>
      </w:pPr>
      <w:r>
        <w:rPr>
          <w:bCs/>
          <w:b/>
        </w:rPr>
        <w:t xml:space="preserve">Reddit y foros en castellano</w:t>
      </w:r>
      <w:r>
        <w:t xml:space="preserve"> </w:t>
      </w:r>
      <w:r>
        <w:t xml:space="preserve">(Rankia, Investing.com ES): sin hilos recientes encontrados.</w:t>
      </w:r>
    </w:p>
    <w:p>
      <w:pPr>
        <w:numPr>
          <w:ilvl w:val="0"/>
          <w:numId w:val="1009"/>
        </w:numPr>
        <w:pStyle w:val="Compact"/>
      </w:pPr>
      <w:r>
        <w:rPr>
          <w:bCs/>
          <w:b/>
        </w:rPr>
        <w:t xml:space="preserve">Contraste con los datos</w:t>
      </w:r>
      <w:r>
        <w:t xml:space="preserve">: los analistas son optimistas y los cortos, pesimistas; los datos (EE. UU. plano, Europa creciendo) dan razón a ambos. Sin euforia.</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w:t>
      </w:r>
      <w:r>
        <w:t xml:space="preserve"> </w:t>
      </w:r>
      <w:r>
        <w:t xml:space="preserve">-</w:t>
      </w:r>
      <w:r>
        <w:t xml:space="preserve"> </w:t>
      </w:r>
      <w:r>
        <w:rPr>
          <w:iCs/>
          <w:i/>
        </w:rPr>
        <w:t xml:space="preserve">Proyección mecánica (861 M) mayor que 1,2 veces la del informe (670 M)</w:t>
      </w:r>
      <w:r>
        <w:t xml:space="preserve">: v11 usa la del informe. Es la alerta que más pesa: con la mecánica (v7 y v9) saldría Comprar, pero esa proyección supone un 43 % de crecimiento cuando el negocio crece un 23 % y EE. UU. está plano.</w:t>
      </w:r>
      <w:r>
        <w:t xml:space="preserve"> </w:t>
      </w:r>
      <w:r>
        <w:rPr>
          <w:bCs/>
          <w:b/>
        </w:rPr>
        <w:t xml:space="preserve">No debilita la señal</w:t>
      </w:r>
      <w:r>
        <w:t xml:space="preserve">: confirma que lo prudente es Mantener.</w:t>
      </w:r>
      <w:r>
        <w:t xml:space="preserve"> </w:t>
      </w:r>
      <w:r>
        <w:t xml:space="preserve">-</w:t>
      </w:r>
      <w:r>
        <w:t xml:space="preserve"> </w:t>
      </w:r>
      <w:r>
        <w:rPr>
          <w:iCs/>
          <w:i/>
        </w:rPr>
        <w:t xml:space="preserve">Sin guía anual</w:t>
      </w:r>
      <w:r>
        <w:t xml:space="preserve">: Krystal no da guía de ventas, así que v9 no puede recortar.</w:t>
      </w:r>
      <w:r>
        <w:t xml:space="preserve"> </w:t>
      </w:r>
      <w:r>
        <w:rPr>
          <w:bCs/>
          <w:b/>
        </w:rPr>
        <w:t xml:space="preserve">No debilita la señal</w:t>
      </w:r>
      <w:r>
        <w:t xml:space="preserve">: v11 ya recorta con la proyección del informe.</w:t>
      </w:r>
      <w:r>
        <w:t xml:space="preserve"> </w:t>
      </w:r>
      <w:r>
        <w:t xml:space="preserve">-</w:t>
      </w:r>
      <w:r>
        <w:t xml:space="preserve"> </w:t>
      </w:r>
      <w:r>
        <w:rPr>
          <w:iCs/>
          <w:i/>
        </w:rPr>
        <w:t xml:space="preserve">Dos clientes suman el 75 % de las ventas</w:t>
      </w:r>
      <w:r>
        <w:t xml:space="preserve">: es una sola farmacia especializada que dispensa Vyjuvek en EE. UU. [3]. Un problema con ella pararía la mayor parte de las ventas.</w:t>
      </w:r>
      <w:r>
        <w:t xml:space="preserve"> </w:t>
      </w:r>
      <w:r>
        <w:rPr>
          <w:bCs/>
          <w:b/>
        </w:rPr>
        <w:t xml:space="preserve">Refuerza la prudencia</w:t>
      </w:r>
      <w:r>
        <w:t xml:space="preserve">; no cambia la señal.</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FRÁGIL; señal robusta: Mantener</w:t>
      </w:r>
      <w:r>
        <w:t xml:space="preserve">. Cambia a Comprar con v7 (proyección mecánica, +21,4 %) o con pesos 25/50/25 (+9,4 %). Ninguna de las dos es defendible: la mecánica supera al consenso en un 23 %, y los pesos 25/50/25 no corresponden a una empresa de un solo producto (la candidata v14 los fija en 35/50/15 de forma automática). Con las ventas del informe y al precio de hoy (objetivo fijo) sigue en Mantener (−3,6 %). Otros avisos: el objetivo se mueve con el precio (se deja fijo, 318,7 USD) y el bajista es del −42 %.</w:t>
      </w:r>
    </w:p>
    <w:p>
      <w:pPr>
        <w:pStyle w:val="BodyText"/>
      </w:pPr>
      <w:r>
        <w:rPr>
          <w:bCs/>
          <w:b/>
        </w:rPr>
        <w:t xml:space="preserve">Riesgos principales</w:t>
      </w:r>
      <w:r>
        <w:t xml:space="preserve">:</w:t>
      </w:r>
      <w:r>
        <w:t xml:space="preserve"> </w:t>
      </w:r>
      <w:r>
        <w:t xml:space="preserve">-</w:t>
      </w:r>
      <w:r>
        <w:t xml:space="preserve"> </w:t>
      </w:r>
      <w:r>
        <w:rPr>
          <w:bCs/>
          <w:b/>
        </w:rPr>
        <w:t xml:space="preserve">EE. UU. no crece</w:t>
      </w:r>
      <w:r>
        <w:t xml:space="preserve"> </w:t>
      </w:r>
      <w:r>
        <w:t xml:space="preserve">desde hace un año. Si en el 3T vuelve a bajar, la tesis de crecimiento depende solo de Europa.</w:t>
      </w:r>
      <w:r>
        <w:t xml:space="preserve"> </w:t>
      </w:r>
      <w:r>
        <w:t xml:space="preserve">-</w:t>
      </w:r>
      <w:r>
        <w:t xml:space="preserve"> </w:t>
      </w:r>
      <w:r>
        <w:rPr>
          <w:bCs/>
          <w:b/>
        </w:rPr>
        <w:t xml:space="preserve">Un solo producto y un solo cliente</w:t>
      </w:r>
      <w:r>
        <w:t xml:space="preserve"> </w:t>
      </w:r>
      <w:r>
        <w:t xml:space="preserve">en EE. UU.</w:t>
      </w:r>
      <w:r>
        <w:t xml:space="preserve"> </w:t>
      </w:r>
      <w:r>
        <w:t xml:space="preserve">-</w:t>
      </w:r>
      <w:r>
        <w:t xml:space="preserve"> </w:t>
      </w:r>
      <w:r>
        <w:rPr>
          <w:bCs/>
          <w:b/>
        </w:rPr>
        <w:t xml:space="preserve">Precios en Europa</w:t>
      </w:r>
      <w:r>
        <w:t xml:space="preserve">: Alemania y Francia pueden bajar el precio provisional al cerrar la negociación (~12 % de las ventas).</w:t>
      </w:r>
      <w:r>
        <w:t xml:space="preserve"> </w:t>
      </w:r>
      <w:r>
        <w:t xml:space="preserve">-</w:t>
      </w:r>
      <w:r>
        <w:t xml:space="preserve"> </w:t>
      </w:r>
      <w:r>
        <w:rPr>
          <w:bCs/>
          <w:b/>
        </w:rPr>
        <w:t xml:space="preserve">Cartera binaria</w:t>
      </w:r>
      <w:r>
        <w:t xml:space="preserve">: KB803 y KB801 dan resultados antes de fin de año; un fallo quitaría la prima que paga el mercado.</w:t>
      </w:r>
      <w:r>
        <w:t xml:space="preserve"> </w:t>
      </w:r>
      <w:r>
        <w:t xml:space="preserve">-</w:t>
      </w:r>
      <w:r>
        <w:t xml:space="preserve"> </w:t>
      </w:r>
      <w:r>
        <w:rPr>
          <w:bCs/>
          <w:b/>
        </w:rPr>
        <w:t xml:space="preserve">Competencia</w:t>
      </w:r>
      <w:r>
        <w:t xml:space="preserve">: Zevaskyn y nuevas terapias sistémicas.</w:t>
      </w:r>
    </w:p>
    <w:p>
      <w:pPr>
        <w:pStyle w:val="BodyText"/>
      </w:pPr>
      <w:r>
        <w:rPr>
          <w:bCs/>
          <w:b/>
        </w:rPr>
        <w:t xml:space="preserve">Qué rompería la tesis</w:t>
      </w:r>
      <w:r>
        <w:t xml:space="preserve">: dos trimestres seguidos con las ventas totales a la baja, pérdida de cobertura de los seguros en EE. UU. o un problema de seguridad con Vyjuvek.</w:t>
      </w:r>
    </w:p>
    <w:p>
      <w:pPr>
        <w:pStyle w:val="BodyText"/>
      </w:pPr>
      <w:r>
        <w:rPr>
          <w:bCs/>
          <w:b/>
        </w:rPr>
        <w:t xml:space="preserve">Qué la haría comprable</w:t>
      </w:r>
      <w:r>
        <w:t xml:space="preserve">: un precio por debajo de 303,5 USD (el «compra hasta»), o que EE. UU. vuelva a crecer en el 3T y el 4T sin que el precio acompañe.</w:t>
      </w:r>
    </w:p>
    <w:bookmarkEnd w:id="30"/>
    <w:bookmarkStart w:id="31" w:name="catalizadores-con-fecha"/>
    <w:p>
      <w:pPr>
        <w:pStyle w:val="Heading2"/>
      </w:pPr>
      <w:r>
        <w:t xml:space="preserve">12. Catalizadores con fecha</w:t>
      </w:r>
    </w:p>
    <w:p>
      <w:pPr>
        <w:numPr>
          <w:ilvl w:val="0"/>
          <w:numId w:val="1010"/>
        </w:numPr>
        <w:pStyle w:val="Compact"/>
      </w:pPr>
      <w:r>
        <w:t xml:space="preserve">3-nov-2026 (previsto): resultados del 3T.</w:t>
      </w:r>
    </w:p>
    <w:p>
      <w:pPr>
        <w:numPr>
          <w:ilvl w:val="0"/>
          <w:numId w:val="1010"/>
        </w:numPr>
        <w:pStyle w:val="Compact"/>
      </w:pPr>
      <w:r>
        <w:t xml:space="preserve">4T 2026: resultados de registro de KB803 (IOLITE); acuerdo con la FDA sobre el estudio de KB407.</w:t>
      </w:r>
    </w:p>
    <w:p>
      <w:pPr>
        <w:numPr>
          <w:ilvl w:val="0"/>
          <w:numId w:val="1010"/>
        </w:numPr>
        <w:pStyle w:val="Compact"/>
      </w:pPr>
      <w:r>
        <w:t xml:space="preserve">Antes de fin de 2026: resultados de KB801 (EMERALD-1), lanzamientos en Italia y España, datos provisionales de KB407 y KB111, solicitudes en Suiza y Australia.</w:t>
      </w:r>
    </w:p>
    <w:p>
      <w:pPr>
        <w:numPr>
          <w:ilvl w:val="0"/>
          <w:numId w:val="1010"/>
        </w:numPr>
        <w:pStyle w:val="Compact"/>
      </w:pPr>
      <w:r>
        <w:t xml:space="preserve">2S26: precio negociado en Alemania. 2027: precio en Francia.</w:t>
      </w:r>
    </w:p>
    <w:p>
      <w:pPr>
        <w:numPr>
          <w:ilvl w:val="0"/>
          <w:numId w:val="1010"/>
        </w:numPr>
        <w:pStyle w:val="Compact"/>
      </w:pPr>
      <w:r>
        <w:t xml:space="preserve">1S27: datos de KB707 en cáncer de pulmón y posible plan de registro.</w:t>
      </w:r>
    </w:p>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 Nu +19 %, Axon +36 %, Shopify +18 %, Snowflake +13 % y Samsara +15 % (al precio actual con v11). Liquidez de ≈27 EUR: solo cabe sustituir. Alphabet se vende mañana y no cuenta como exposición a la IA de la cartera; Krystal no tiene relación con la IA.</w:t>
      </w:r>
    </w:p>
    <w:p>
      <w:pPr>
        <w:numPr>
          <w:ilvl w:val="0"/>
          <w:numId w:val="1011"/>
        </w:numPr>
        <w:pStyle w:val="Compact"/>
      </w:pPr>
      <w:r>
        <w:rPr>
          <w:bCs/>
          <w:b/>
        </w:rPr>
        <w:t xml:space="preserve">Krystal sale Mantener (−3,6 % al precio actual)</w:t>
      </w:r>
      <w:r>
        <w:t xml:space="preserve">: no tiene margen para sustituir a ninguna posición, que dan todas entre +13 % y +36 %.</w:t>
      </w:r>
    </w:p>
    <w:p>
      <w:pPr>
        <w:numPr>
          <w:ilvl w:val="0"/>
          <w:numId w:val="1011"/>
        </w:numPr>
        <w:pStyle w:val="Compact"/>
      </w:pPr>
      <w:r>
        <w:rPr>
          <w:bCs/>
          <w:b/>
        </w:rPr>
        <w:t xml:space="preserve">Suplentes</w:t>
      </w:r>
      <w:r>
        <w:t xml:space="preserve"> </w:t>
      </w:r>
      <w:r>
        <w:t xml:space="preserve">(orden vigente: MongoDB, Toast, Zscaler, dLocal, Dexcom, argenx, Datadog, Saab, Natera):</w:t>
      </w:r>
      <w:r>
        <w:t xml:space="preserve"> </w:t>
      </w:r>
      <w:r>
        <w:rPr>
          <w:bCs/>
          <w:b/>
        </w:rPr>
        <w:t xml:space="preserve">no entra</w:t>
      </w:r>
      <w:r>
        <w:t xml:space="preserve">, porque todas las suplentes son Comprar. Queda entre los Mantener.</w:t>
      </w:r>
    </w:p>
    <w:p>
      <w:pPr>
        <w:numPr>
          <w:ilvl w:val="0"/>
          <w:numId w:val="1011"/>
        </w:numPr>
        <w:pStyle w:val="Compact"/>
      </w:pPr>
      <w:r>
        <w:t xml:space="preserve">Aportaría diversificación (salud y enfermedades raras, sin relación con las tecnológicas de la cartera). Si el precio bajara de 303,5 USD, se revisaría frente a los suplentes de salud (Dexcom, argenx, Natera).</w:t>
      </w:r>
    </w:p>
    <w:p>
      <w:pPr>
        <w:numPr>
          <w:ilvl w:val="0"/>
          <w:numId w:val="1011"/>
        </w:numPr>
        <w:pStyle w:val="Compact"/>
      </w:pPr>
      <w:r>
        <w:t xml:space="preserve">No se emite ninguna orden: regla del usuario, solo con orden explícita en el chat y confirmación.</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18,3</w:t>
            </w:r>
          </w:p>
        </w:tc>
        <w:tc>
          <w:tcPr/>
          <w:p>
            <w:pPr>
              <w:pStyle w:val="Compact"/>
              <w:jc w:val="left"/>
            </w:pPr>
            <w:r>
              <w:t xml:space="preserve">25</w:t>
            </w:r>
          </w:p>
        </w:tc>
        <w:tc>
          <w:tcPr/>
          <w:p>
            <w:pPr>
              <w:pStyle w:val="Compact"/>
              <w:jc w:val="left"/>
            </w:pPr>
            <w:r>
              <w:t xml:space="preserve">+22,6 % en 12 meses; CAGR inflado por el lanzamiento; aceleración −1,5 puntos</w:t>
            </w:r>
          </w:p>
        </w:tc>
      </w:tr>
      <w:tr>
        <w:tc>
          <w:tcPr/>
          <w:p>
            <w:pPr>
              <w:pStyle w:val="Compact"/>
              <w:jc w:val="left"/>
            </w:pPr>
            <w:r>
              <w:t xml:space="preserve">B. Mercado y tecnología</w:t>
            </w:r>
          </w:p>
        </w:tc>
        <w:tc>
          <w:tcPr/>
          <w:p>
            <w:pPr>
              <w:pStyle w:val="Compact"/>
              <w:jc w:val="left"/>
            </w:pPr>
            <w:r>
              <w:t xml:space="preserve">12</w:t>
            </w:r>
          </w:p>
        </w:tc>
        <w:tc>
          <w:tcPr/>
          <w:p>
            <w:pPr>
              <w:pStyle w:val="Compact"/>
              <w:jc w:val="left"/>
            </w:pPr>
            <w:r>
              <w:t xml:space="preserve">20</w:t>
            </w:r>
          </w:p>
        </w:tc>
        <w:tc>
          <w:tcPr/>
          <w:p>
            <w:pPr>
              <w:pStyle w:val="Compact"/>
              <w:jc w:val="left"/>
            </w:pPr>
            <w:r>
              <w:t xml:space="preserve">Penetración 29 %, tecnología 4, posición 4</w:t>
            </w:r>
          </w:p>
        </w:tc>
      </w:tr>
      <w:tr>
        <w:tc>
          <w:tcPr/>
          <w:p>
            <w:pPr>
              <w:pStyle w:val="Compact"/>
              <w:jc w:val="left"/>
            </w:pPr>
            <w:r>
              <w:t xml:space="preserve">C. Cambio de tendencia</w:t>
            </w:r>
          </w:p>
        </w:tc>
        <w:tc>
          <w:tcPr/>
          <w:p>
            <w:pPr>
              <w:pStyle w:val="Compact"/>
              <w:jc w:val="left"/>
            </w:pPr>
            <w:r>
              <w:t xml:space="preserve">15</w:t>
            </w:r>
          </w:p>
        </w:tc>
        <w:tc>
          <w:tcPr/>
          <w:p>
            <w:pPr>
              <w:pStyle w:val="Compact"/>
              <w:jc w:val="left"/>
            </w:pPr>
            <w:r>
              <w:t xml:space="preserve">20</w:t>
            </w:r>
          </w:p>
        </w:tc>
        <w:tc>
          <w:tcPr/>
          <w:p>
            <w:pPr>
              <w:pStyle w:val="Compact"/>
              <w:jc w:val="left"/>
            </w:pPr>
            <w:r>
              <w:t xml:space="preserve">6 de 8 señales</w:t>
            </w:r>
          </w:p>
        </w:tc>
      </w:tr>
      <w:tr>
        <w:tc>
          <w:tcPr/>
          <w:p>
            <w:pPr>
              <w:pStyle w:val="Compact"/>
              <w:jc w:val="left"/>
            </w:pPr>
            <w:r>
              <w:t xml:space="preserve">D. Economía unitaria</w:t>
            </w:r>
          </w:p>
        </w:tc>
        <w:tc>
          <w:tcPr/>
          <w:p>
            <w:pPr>
              <w:pStyle w:val="Compact"/>
              <w:jc w:val="left"/>
            </w:pPr>
            <w:r>
              <w:t xml:space="preserve">15</w:t>
            </w:r>
          </w:p>
        </w:tc>
        <w:tc>
          <w:tcPr/>
          <w:p>
            <w:pPr>
              <w:pStyle w:val="Compact"/>
              <w:jc w:val="left"/>
            </w:pPr>
            <w:r>
              <w:t xml:space="preserve">15</w:t>
            </w:r>
          </w:p>
        </w:tc>
        <w:tc>
          <w:tcPr/>
          <w:p>
            <w:pPr>
              <w:pStyle w:val="Compact"/>
              <w:jc w:val="left"/>
            </w:pPr>
            <w:r>
              <w:t xml:space="preserve">Margen bruto 95 %, regla del 40 de 81, caja libre creciente</w:t>
            </w:r>
          </w:p>
        </w:tc>
      </w:tr>
      <w:tr>
        <w:tc>
          <w:tcPr/>
          <w:p>
            <w:pPr>
              <w:pStyle w:val="Compact"/>
              <w:jc w:val="left"/>
            </w:pPr>
            <w:r>
              <w:t xml:space="preserve">E. Caja y dilución</w:t>
            </w:r>
          </w:p>
        </w:tc>
        <w:tc>
          <w:tcPr/>
          <w:p>
            <w:pPr>
              <w:pStyle w:val="Compact"/>
              <w:jc w:val="left"/>
            </w:pPr>
            <w:r>
              <w:t xml:space="preserve">8</w:t>
            </w:r>
          </w:p>
        </w:tc>
        <w:tc>
          <w:tcPr/>
          <w:p>
            <w:pPr>
              <w:pStyle w:val="Compact"/>
              <w:jc w:val="left"/>
            </w:pPr>
            <w:r>
              <w:t xml:space="preserve">10</w:t>
            </w:r>
          </w:p>
        </w:tc>
        <w:tc>
          <w:tcPr/>
          <w:p>
            <w:pPr>
              <w:pStyle w:val="Compact"/>
              <w:jc w:val="left"/>
            </w:pPr>
            <w:r>
              <w:t xml:space="preserve">Caja libre positiva; dilución del 3,1 %</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75,3</w:t>
            </w:r>
          </w:p>
        </w:tc>
        <w:tc>
          <w:tcPr/>
          <w:p>
            <w:pPr>
              <w:pStyle w:val="Compact"/>
              <w:jc w:val="left"/>
            </w:pPr>
            <w:r>
              <w:t xml:space="preserve">100</w:t>
            </w:r>
          </w:p>
        </w:tc>
        <w:tc>
          <w:tcPr/>
          <w:p>
            <w:pPr>
              <w:pStyle w:val="Compact"/>
            </w:pPr>
          </w:p>
        </w:tc>
      </w:tr>
    </w:tbl>
    <w:p>
      <w:pPr>
        <w:pStyle w:val="BodyText"/>
      </w:pPr>
      <w:r>
        <w:rPr>
          <w:bCs/>
          <w:b/>
        </w:rPr>
        <w:t xml:space="preserve">Otras versiones (solo referencia)</w:t>
      </w:r>
      <w:r>
        <w:t xml:space="preserve">: v9 Comprar (media), ponderada +21,4 %, compra hasta 371,3 USD. v12 igual que v11 (no ha comprado negocios). v14 (candidata): Mantener, ponderada −0,7 %, compra hasta 303,8 USD (las probabilidades ya eran 35/50/15).</w:t>
      </w:r>
    </w:p>
    <w:p>
      <w:pPr>
        <w:pStyle w:val="BodyText"/>
      </w:pPr>
      <w:r>
        <w:rPr>
          <w:bCs/>
          <w:b/>
        </w:rPr>
        <w:t xml:space="preserve">Mejora de método propuesta</w:t>
      </w:r>
      <w:r>
        <w:t xml:space="preserve">: cuando las ventas de hace dos años son las de un lanzamiento recién empezado, el CAGR a 2 años (62,8 %) dispara la proyección mecánica muy por encima del crecimiento real (22,6 %). Propuesta para probar con el backtest: si las ventas de hace 24 meses son menos de la mitad de las de hace 12, sustituir el CAGR por el crecimiento de 12 meses en el punto de partida. Aquí v11 ya lo corrige con las ventas del informe.</w:t>
      </w:r>
    </w:p>
    <w:bookmarkEnd w:id="33"/>
    <w:bookmarkStart w:id="34" w:name="fuentes"/>
    <w:p>
      <w:pPr>
        <w:pStyle w:val="Heading2"/>
      </w:pPr>
      <w:r>
        <w:t xml:space="preserve">Fuentes</w:t>
      </w:r>
    </w:p>
    <w:p>
      <w:pPr>
        <w:pStyle w:val="FirstParagraph"/>
      </w:pPr>
      <w:r>
        <w:t xml:space="preserve">[1] Krystal Biotech, resultados del 2T 2026 (3-ago-2026), 8-K ex. 99.1 (SEC): ventas 119,2 M USD (+24 %), margen bruto 95 %, caja 1.100 M, beneficio neto 54,8 M, calendario de la cartera, guía de gastos 2026 de 175-195 M.</w:t>
      </w:r>
      <w:r>
        <w:t xml:space="preserve"> </w:t>
      </w:r>
      <w:r>
        <w:t xml:space="preserve">[2] Krystal Biotech, 10-Q del 2T 2026 (SEC): ventas por zona, clientes, balance, acciones, pleito de inventor.</w:t>
      </w:r>
      <w:r>
        <w:t xml:space="preserve"> </w:t>
      </w:r>
      <w:r>
        <w:t xml:space="preserve">[3] Krystal Biotech, 10-K de 2025 (17-feb-2026, SEC): un cliente = 75 % de las ventas; pacientes; competidores; patentes hasta 2036.</w:t>
      </w:r>
      <w:r>
        <w:t xml:space="preserve"> </w:t>
      </w:r>
      <w:r>
        <w:t xml:space="preserve">[4] Krystal Biotech, 8-K de 11-ene-2026 (J.P. Morgan) y 10-Q y nota del 1T 2026.</w:t>
      </w:r>
      <w:r>
        <w:t xml:space="preserve"> </w:t>
      </w:r>
      <w:r>
        <w:t xml:space="preserve">[5] Krystal Biotech, notas de resultados del 3T 2025 y del 4T 2025 (SEC).</w:t>
      </w:r>
      <w:r>
        <w:t xml:space="preserve"> </w:t>
      </w:r>
      <w:r>
        <w:t xml:space="preserve">[6] Yahoo Finance chart API (KRYS, QQQ, IBB, XBI): cierres, medias y máximos; 14-oct 330,69 USD a las 20:00 UTC.</w:t>
      </w:r>
      <w:r>
        <w:t xml:space="preserve"> </w:t>
      </w:r>
      <w:r>
        <w:t xml:space="preserve">[7] Nasdaq.com, histórico de KRYS: cierre del 13-oct-2026 321,16 USD.</w:t>
      </w:r>
      <w:r>
        <w:t xml:space="preserve"> </w:t>
      </w:r>
      <w:r>
        <w:t xml:space="preserve">[8] StockAnalysis, previsiones (14-oct-2026): ventas 2026 502 M y 2027 645 M; objetivo medio 392,11 USD; acciones de los analistas.</w:t>
      </w:r>
      <w:r>
        <w:t xml:space="preserve"> </w:t>
      </w:r>
      <w:r>
        <w:t xml:space="preserve">[9] StockAnalysis, estadísticas (14-oct-2026): EV, múltiplos, posiciones cortas 11,74 %, directivos 9,9 %.</w:t>
      </w:r>
      <w:r>
        <w:t xml:space="preserve"> </w:t>
      </w:r>
      <w:r>
        <w:t xml:space="preserve">[10] StockTwits, flujo de KRYS (14-oct-2026). Reddit y foros en castellano: sin hilos recientes.</w:t>
      </w:r>
      <w:r>
        <w:t xml:space="preserve"> </w:t>
      </w:r>
      <w:r>
        <w:t xml:space="preserve">[11] Investing.com (13-may-2026), Zacks vía Yahoo Finance (29-jun-2026) y goldesel.de (ago-2026).</w:t>
      </w:r>
      <w:r>
        <w:t xml:space="preserve"> </w:t>
      </w:r>
      <w:r>
        <w:t xml:space="preserve">[12] SEC, Formularios 4 de oct-2025 a sep-2026: ventas de los fundadores y consejeros; ninguna compra.</w:t>
      </w:r>
      <w:r>
        <w:t xml:space="preserve"> </w:t>
      </w:r>
      <w:r>
        <w:t xml:space="preserve">[13] SEC XBRL companyfacts (CIK 1711279).</w:t>
      </w:r>
      <w:r>
        <w:t xml:space="preserve"> </w:t>
      </w:r>
      <w:r>
        <w:t xml:space="preserve">[14] Cálculo propio: EV, EBITDA NTM, múltiplos históricos (mediana 21,6x, mínimo 12,6x) y DCF inverso (15,4 %).</w:t>
      </w:r>
      <w:r>
        <w:t xml:space="preserve"> </w:t>
      </w:r>
      <w:r>
        <w:t xml:space="preserve">[15] De memoria, no verificado en esta sesión: Zevaskyn es un injerto de células del propio paciente que se hace una vez en un centro especializado; Filsuvez es un gel paliativo.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2026-10-14T20:31:44Z</dcterms:created>
  <dcterms:modified xsi:type="dcterms:W3CDTF">2026-10-14T20:31:44Z</dcterms:modified>
</cp:coreProperties>
</file>

<file path=docProps/custom.xml><?xml version="1.0" encoding="utf-8"?>
<Properties xmlns="http://schemas.openxmlformats.org/officeDocument/2006/custom-properties" xmlns:vt="http://schemas.openxmlformats.org/officeDocument/2006/docPropsVTypes"/>
</file>