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7055e2e214b84c8b2334112341b0f7cb56b6c14"/>
    <w:p>
      <w:pPr>
        <w:pStyle w:val="Heading1"/>
      </w:pPr>
      <w:r>
        <w:t xml:space="preserve">Nextpower, antes Nextracker (NXT): análisis growth, 14-oct-2026</w:t>
      </w:r>
    </w:p>
    <w:p>
      <w:pPr>
        <w:pStyle w:val="FirstParagraph"/>
      </w:pPr>
      <w:r>
        <w:rPr>
          <w:bCs/>
          <w:b/>
        </w:rPr>
        <w:t xml:space="preserve">Señal (método v11, vigente): Vender / no comprar</w:t>
      </w:r>
      <w:r>
        <w:t xml:space="preserve"> </w:t>
      </w:r>
      <w:r>
        <w:t xml:space="preserve">· Puntuación 46,5/100 · Señales de cambio de tendencia 1/8 · EV/beneficio bruto NTM 8,8x · Euforia: no (+2,1 % en 12 meses)</w:t>
      </w:r>
      <w:r>
        <w:t xml:space="preserve"> </w:t>
      </w:r>
      <w:r>
        <w:t xml:space="preserve">Precio 88,77 USD (cierre del 13-oct) · Objetivo 12 m 56,6 USD (ponderada −36,2 %, base −28,9 %, bajista −60,1 %, alcista −4,9 %) · Compra hasta 53,9 USD</w:t>
      </w:r>
      <w:r>
        <w:t xml:space="preserve"> </w:t>
      </w:r>
      <w:r>
        <w:t xml:space="preserve">Referencia v9: Vender, con las mismas cifras (46,5 puntos; ponderada −36,2 %, base −28,9 %, bajista −60,1 %; compra hasta 53,9 USD).</w:t>
      </w:r>
      <w:r>
        <w:t xml:space="preserve"> </w:t>
      </w:r>
      <w:r>
        <w:t xml:space="preserve">Peso orientativo: no entra · Por qué: la puntuación no llega a 50, porque el crecimiento se frena y casi ninguna señal de tendencia está a favor.</w:t>
      </w:r>
      <w:r>
        <w:t xml:space="preserve"> </w:t>
      </w:r>
      <w:r>
        <w:rPr>
          <w:bCs/>
          <w:b/>
        </w:rPr>
        <w:t xml:space="preserve">Al precio actual</w:t>
      </w:r>
      <w:r>
        <w:t xml:space="preserve"> </w:t>
      </w:r>
      <w:r>
        <w:t xml:space="preserve">(82,56 USD, 14-oct, 20:00 UTC, cierre de la sesión, −7,0 % en el día) y con el objetivo del informe fijo (56,6 USD): ponderada −31,4 %, base −23,6 %, bajista −57,0 %. Sigue en Vender / no comprar.</w:t>
      </w:r>
    </w:p>
    <w:p>
      <w:pPr>
        <w:pStyle w:val="BlockText"/>
      </w:pPr>
      <w:r>
        <w:rPr>
          <w:bCs/>
          <w:b/>
        </w:rPr>
        <w:t xml:space="preserve">Nombre y ticker.</w:t>
      </w:r>
      <w:r>
        <w:t xml:space="preserve"> </w:t>
      </w:r>
      <w:r>
        <w:t xml:space="preserve">Nextracker se llama</w:t>
      </w:r>
      <w:r>
        <w:t xml:space="preserve"> </w:t>
      </w:r>
      <w:r>
        <w:rPr>
          <w:bCs/>
          <w:b/>
        </w:rPr>
        <w:t xml:space="preserve">Nextpower Inc.</w:t>
      </w:r>
      <w:r>
        <w:t xml:space="preserve"> </w:t>
      </w:r>
      <w:r>
        <w:t xml:space="preserve">desde el 12-nov-2025 (cambio de nombre en su Capital Markets Day; en la SEC, «Nextracker Inc.» hasta el 30-oct-2025). El ticker sigue siendo</w:t>
      </w:r>
      <w:r>
        <w:t xml:space="preserve"> </w:t>
      </w:r>
      <w:r>
        <w:rPr>
          <w:bCs/>
          <w:b/>
        </w:rPr>
        <w:t xml:space="preserve">NXT</w:t>
      </w:r>
      <w:r>
        <w:t xml:space="preserve"> </w:t>
      </w:r>
      <w:r>
        <w:t xml:space="preserve">en el Nasdaq. Ejercicio fiscal de abril a marzo: el FY27 va de abril de 2026 a marzo de 2027.</w:t>
      </w:r>
    </w:p>
    <w:p>
      <w:pPr>
        <w:pStyle w:val="BlockText"/>
      </w:pPr>
      <w:r>
        <w:rPr>
          <w:bCs/>
          <w:b/>
        </w:rPr>
        <w:t xml:space="preserve">Cómo se valora.</w:t>
      </w:r>
      <w:r>
        <w:t xml:space="preserve"> </w:t>
      </w:r>
      <w:r>
        <w:t xml:space="preserve">Calculado con el método v11 (</w:t>
      </w:r>
      <w:r>
        <w:rPr>
          <w:rStyle w:val="VerbatimChar"/>
        </w:rPr>
        <w:t xml:space="preserve">verticales/growth/metodo.md</w:t>
      </w:r>
      <w:r>
        <w:t xml:space="preserve">), con v9 al lado. Nextpower gana dinero de forma estable desde el FY24: beneficio neto de 586 M USD en el FY26, FCF positivo cada año y caja neta. Por eso se valora por</w:t>
      </w:r>
      <w:r>
        <w:t xml:space="preserve"> </w:t>
      </w:r>
      <w:r>
        <w:rPr>
          <w:bCs/>
          <w:b/>
        </w:rPr>
        <w:t xml:space="preserve">EV/EBITDA ajustado de los 12 meses siguientes</w:t>
      </w:r>
      <w:r>
        <w:t xml:space="preserve"> </w:t>
      </w:r>
      <w:r>
        <w:t xml:space="preserve">(13,7x hoy, con 960 M de EBITDA en</w:t>
      </w:r>
      <w:r>
        <w:t xml:space="preserve"> </w:t>
      </w:r>
      <w:r>
        <w:rPr>
          <w:rStyle w:val="VerbatimChar"/>
        </w:rPr>
        <w:t xml:space="preserve">ebitda_ntm_m</w:t>
      </w:r>
      <w:r>
        <w:t xml:space="preserve">) y no por EV/ventas. Es la medida que usan la empresa y el mercado. Además, el EV/ventas mezcla un negocio con margen bruto del 33 % con el software de otras growth. El código aplica el múltiplo a las ventas de cada escenario con el margen EBITDA de hoy (21,3 %).</w:t>
      </w:r>
    </w:p>
    <w:p>
      <w:pPr>
        <w:pStyle w:val="BlockText"/>
      </w:pPr>
      <w:r>
        <w:rPr>
          <w:bCs/>
          <w:b/>
        </w:rPr>
        <w:t xml:space="preserve">Lo que más pesa en esa cifra: el crédito 45X.</w:t>
      </w:r>
      <w:r>
        <w:t xml:space="preserve"> </w:t>
      </w:r>
      <w:r>
        <w:t xml:space="preserve">El EBITDA lleva un subsidio federal a la fabricación en EE. UU. (el crédito 45X por tubos de torsión y tornillería): 249 M en el FY26 (29 % del EBITDA ajustado) y ~99 M solo en el 1T FY27 (42 %). El crédito baja un 25 % al año desde 2030 y desaparece después de 2032, y las reglas sobre proveedores chinos (FEOC) están pendientes.</w:t>
      </w:r>
    </w:p>
    <w:bookmarkStart w:id="20" w:name="la-tesis-en-cinco-líneas"/>
    <w:p>
      <w:pPr>
        <w:pStyle w:val="Heading2"/>
      </w:pPr>
      <w:r>
        <w:t xml:space="preserve">1. La tesis en cinco líneas</w:t>
      </w:r>
    </w:p>
    <w:p>
      <w:pPr>
        <w:numPr>
          <w:ilvl w:val="0"/>
          <w:numId w:val="1001"/>
        </w:numPr>
        <w:pStyle w:val="Compact"/>
      </w:pPr>
      <w:r>
        <w:t xml:space="preserve">Nextpower es el</w:t>
      </w:r>
      <w:r>
        <w:t xml:space="preserve"> </w:t>
      </w:r>
      <w:r>
        <w:rPr>
          <w:bCs/>
          <w:b/>
        </w:rPr>
        <w:t xml:space="preserve">mayor fabricante de seguidores solares del mundo</w:t>
      </w:r>
      <w:r>
        <w:t xml:space="preserve"> </w:t>
      </w:r>
      <w:r>
        <w:t xml:space="preserve">(estructuras que giran los paneles para seguir al sol en plantas grandes): número 1 en EE. UU. y en el mundo durante diez años según Wood Mackenzie, con más de 160 GW instalados [1][3].</w:t>
      </w:r>
    </w:p>
    <w:p>
      <w:pPr>
        <w:numPr>
          <w:ilvl w:val="0"/>
          <w:numId w:val="1001"/>
        </w:numPr>
        <w:pStyle w:val="Compact"/>
      </w:pPr>
      <w:r>
        <w:t xml:space="preserve">Ha crecido rápido, de 1.902 M USD en el FY23 a 3.559 M en el FY26, pero</w:t>
      </w:r>
      <w:r>
        <w:t xml:space="preserve"> </w:t>
      </w:r>
      <w:r>
        <w:rPr>
          <w:bCs/>
          <w:b/>
        </w:rPr>
        <w:t xml:space="preserve">se frena</w:t>
      </w:r>
      <w:r>
        <w:t xml:space="preserve">: +8,2 % en el 1T FY27 frente a una media del 22,9 % en los cuatro trimestres anteriores. Fuera de EE. UU. las ventas caen un 40 %. La guía del FY27 (+19,4 %) lleva compras dentro; sin ellas, el crecimiento ronda el</w:t>
      </w:r>
      <w:r>
        <w:t xml:space="preserve"> </w:t>
      </w:r>
      <w:r>
        <w:rPr>
          <w:bCs/>
          <w:b/>
        </w:rPr>
        <w:t xml:space="preserve">+10 %</w:t>
      </w:r>
      <w:r>
        <w:t xml:space="preserve"> </w:t>
      </w:r>
      <w:r>
        <w:t xml:space="preserve">[1][2].</w:t>
      </w:r>
    </w:p>
    <w:p>
      <w:pPr>
        <w:numPr>
          <w:ilvl w:val="0"/>
          <w:numId w:val="1001"/>
        </w:numPr>
        <w:pStyle w:val="Compact"/>
      </w:pPr>
      <w:r>
        <w:t xml:space="preserve">Para seguir creciendo compra: cuatro compras en tres meses. Prevalon (baterías y centros de datos), Apex/Zigor (inversores) y Zimmermann (estructuras fijas en Europa, pendiente), con unos 820 M USD comprometidos. El mercado lo ha castigado: −43 % desde el máximo de mayo [3][7].</w:t>
      </w:r>
    </w:p>
    <w:p>
      <w:pPr>
        <w:numPr>
          <w:ilvl w:val="0"/>
          <w:numId w:val="1001"/>
        </w:numPr>
        <w:pStyle w:val="Compact"/>
      </w:pPr>
      <w:r>
        <w:rPr>
          <w:bCs/>
          <w:b/>
        </w:rPr>
        <w:t xml:space="preserve">El beneficio depende en buena parte de la política de EE. UU.</w:t>
      </w:r>
      <w:r>
        <w:t xml:space="preserve"> </w:t>
      </w:r>
      <w:r>
        <w:t xml:space="preserve">El crédito 45X es entre el 30 % y el 44 % del EBITDA. Además, la ley OBBBA acorta los créditos de los clientes: las plantas que empezaron obra después del 4-jul-2026 tienen que conectarse antes de terminar 2027. Hay demanda asegurada hasta ~2030 por las obras ya empezadas, pero después el mercado de EE. UU. puede bajar [2].</w:t>
      </w:r>
    </w:p>
    <w:p>
      <w:pPr>
        <w:numPr>
          <w:ilvl w:val="0"/>
          <w:numId w:val="1001"/>
        </w:numPr>
        <w:pStyle w:val="Compact"/>
      </w:pPr>
      <w:r>
        <w:t xml:space="preserve">Conclusión:</w:t>
      </w:r>
      <w:r>
        <w:t xml:space="preserve"> </w:t>
      </w:r>
      <w:r>
        <w:rPr>
          <w:bCs/>
          <w:b/>
        </w:rPr>
        <w:t xml:space="preserve">Vender / no comprar</w:t>
      </w:r>
      <w:r>
        <w:t xml:space="preserve">. Barata frente a su historia reciente (13,7x frente a ~22x en junio) y con caja neta, pero cara frente a su mediana de 3 años (~9,8x). Crece poco sin compras y no tiene ninguna señal de giro salvo el Capital Markets Day del 16-nov.</w:t>
      </w:r>
    </w:p>
    <w:bookmarkEnd w:id="20"/>
    <w:bookmarkStart w:id="21" w:name="negocio-y-tecnología"/>
    <w:p>
      <w:pPr>
        <w:pStyle w:val="Heading2"/>
      </w:pPr>
      <w:r>
        <w:t xml:space="preserve">2. Negocio y tecnología</w:t>
      </w:r>
    </w:p>
    <w:p>
      <w:pPr>
        <w:numPr>
          <w:ilvl w:val="0"/>
          <w:numId w:val="1002"/>
        </w:numPr>
        <w:pStyle w:val="Compact"/>
      </w:pPr>
      <w:r>
        <w:rPr>
          <w:bCs/>
          <w:b/>
        </w:rPr>
        <w:t xml:space="preserve">Qué vende</w:t>
      </w:r>
      <w:r>
        <w:t xml:space="preserve">: seguidores solares de un eje (NX Horizon, Horizon-XTR para terrenos irregulares y NX Gemini, de dos paneles en vertical) con su software de control (TrueCapture). Desde 2024 suma productos alrededor: cimentaciones (Ojjo, NX Anchor, Earth Truss), cableado de corriente continua (eBOS, NX PowerMerge, más de 100 M de ventas este año), robots de montaje y, desde julio de 2026, baterías (Prevalon) e inversores (Apex/Zigor). Su objetivo es que un tercio de las ventas del FY30 no sean seguidores [1][3].</w:t>
      </w:r>
    </w:p>
    <w:p>
      <w:pPr>
        <w:numPr>
          <w:ilvl w:val="0"/>
          <w:numId w:val="1002"/>
        </w:numPr>
        <w:pStyle w:val="Compact"/>
      </w:pPr>
      <w:r>
        <w:rPr>
          <w:bCs/>
          <w:b/>
        </w:rPr>
        <w:t xml:space="preserve">A quién</w:t>
      </w:r>
      <w:r>
        <w:t xml:space="preserve">: a constructores (EPC) y promotores de plantas solares grandes. El 83 % de las ventas del 1T FY27 fue en EE. UU. El mayor cliente pesó el 16 % y los cinco mayores el 46 %, más que un año antes (37 %) [2].</w:t>
      </w:r>
    </w:p>
    <w:p>
      <w:pPr>
        <w:numPr>
          <w:ilvl w:val="0"/>
          <w:numId w:val="1002"/>
        </w:numPr>
        <w:pStyle w:val="Compact"/>
      </w:pPr>
      <w:r>
        <w:rPr>
          <w:bCs/>
          <w:b/>
        </w:rPr>
        <w:t xml:space="preserve">Qué tiene de nuevo</w:t>
      </w:r>
      <w:r>
        <w:t xml:space="preserve">: no es una tecnología que nadie pueda copiar. Su ventaja está en tres cosas: es la marca más fácil de financiar con los bancos (bankability), fabrica en EE. UU. con proveedores locales (lo que da acceso al 45X y al contenido nacional) y tiene la base instalada más grande. Los rivales directos son Array Technologies, GameChange Solar y Arctech, y en Europa PV Hardware y Soltec.</w:t>
      </w:r>
    </w:p>
    <w:p>
      <w:pPr>
        <w:numPr>
          <w:ilvl w:val="0"/>
          <w:numId w:val="1002"/>
        </w:numPr>
        <w:pStyle w:val="Compact"/>
      </w:pPr>
      <w:r>
        <w:rPr>
          <w:bCs/>
          <w:b/>
        </w:rPr>
        <w:t xml:space="preserve">Puntuación</w:t>
      </w:r>
      <w:r>
        <w:t xml:space="preserve">: tecnología</w:t>
      </w:r>
      <w:r>
        <w:t xml:space="preserve"> </w:t>
      </w:r>
      <w:r>
        <w:rPr>
          <w:bCs/>
          <w:b/>
        </w:rPr>
        <w:t xml:space="preserve">3/5</w:t>
      </w:r>
      <w:r>
        <w:t xml:space="preserve"> </w:t>
      </w:r>
      <w:r>
        <w:t xml:space="preserve">(buena, con alternativas); posición</w:t>
      </w:r>
      <w:r>
        <w:t xml:space="preserve"> </w:t>
      </w:r>
      <w:r>
        <w:rPr>
          <w:bCs/>
          <w:b/>
        </w:rPr>
        <w:t xml:space="preserve">5/5</w:t>
      </w:r>
      <w:r>
        <w:t xml:space="preserve"> </w:t>
      </w:r>
      <w:r>
        <w:t xml:space="preserve">(líder mundial, con cuota creciente según Wood Mackenzie).</w:t>
      </w:r>
    </w:p>
    <w:bookmarkEnd w:id="21"/>
    <w:bookmarkStart w:id="22" w:name="crecimiento"/>
    <w:p>
      <w:pPr>
        <w:pStyle w:val="Heading2"/>
      </w:pPr>
      <w:r>
        <w:t xml:space="preserve">3. Crecimiento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Trimestre</w:t>
            </w:r>
          </w:p>
        </w:tc>
        <w:tc>
          <w:tcPr/>
          <w:p>
            <w:pPr>
              <w:pStyle w:val="Compact"/>
              <w:jc w:val="left"/>
            </w:pPr>
            <w:r>
              <w:t xml:space="preserve">Ventas (M USD)</w:t>
            </w:r>
          </w:p>
        </w:tc>
        <w:tc>
          <w:tcPr/>
          <w:p>
            <w:pPr>
              <w:pStyle w:val="Compact"/>
              <w:jc w:val="left"/>
            </w:pPr>
            <w:r>
              <w:t xml:space="preserve">Crec. interanual</w:t>
            </w:r>
          </w:p>
        </w:tc>
        <w:tc>
          <w:tcPr/>
          <w:p>
            <w:pPr>
              <w:pStyle w:val="Compact"/>
              <w:jc w:val="left"/>
            </w:pPr>
            <w:r>
              <w:t xml:space="preserve">Margen bruto</w:t>
            </w:r>
          </w:p>
        </w:tc>
        <w:tc>
          <w:tcPr/>
          <w:p>
            <w:pPr>
              <w:pStyle w:val="Compact"/>
              <w:jc w:val="left"/>
            </w:pPr>
            <w:r>
              <w:t xml:space="preserve">EBITDA ajustado</w:t>
            </w:r>
          </w:p>
        </w:tc>
        <w:tc>
          <w:tcPr/>
          <w:p>
            <w:pPr>
              <w:pStyle w:val="Compact"/>
              <w:jc w:val="left"/>
            </w:pPr>
            <w:r>
              <w:t xml:space="preserve">45X y aranceles netos</w:t>
            </w:r>
          </w:p>
        </w:tc>
      </w:tr>
      <w:tr>
        <w:tc>
          <w:tcPr/>
          <w:p>
            <w:pPr>
              <w:pStyle w:val="Compact"/>
              <w:jc w:val="left"/>
            </w:pPr>
            <w:r>
              <w:t xml:space="preserve">1T FY25 (jun-24)</w:t>
            </w:r>
          </w:p>
        </w:tc>
        <w:tc>
          <w:tcPr/>
          <w:p>
            <w:pPr>
              <w:pStyle w:val="Compact"/>
              <w:jc w:val="left"/>
            </w:pPr>
            <w:r>
              <w:t xml:space="preserve">719,9</w:t>
            </w:r>
          </w:p>
        </w:tc>
        <w:tc>
          <w:tcPr/>
          <w:p>
            <w:pPr>
              <w:pStyle w:val="Compact"/>
              <w:jc w:val="left"/>
            </w:pPr>
            <w:r>
              <w:t xml:space="preserve">—</w:t>
            </w:r>
          </w:p>
        </w:tc>
        <w:tc>
          <w:tcPr/>
          <w:p>
            <w:pPr>
              <w:pStyle w:val="Compact"/>
              <w:jc w:val="left"/>
            </w:pPr>
            <w:r>
              <w:t xml:space="preserve">33,0 %</w:t>
            </w:r>
          </w:p>
        </w:tc>
        <w:tc>
          <w:tcPr/>
          <w:p>
            <w:pPr>
              <w:pStyle w:val="Compact"/>
              <w:jc w:val="left"/>
            </w:pPr>
            <w:r>
              <w:t xml:space="preserve">175</w:t>
            </w:r>
          </w:p>
        </w:tc>
        <w:tc>
          <w:tcPr/>
          <w:p>
            <w:pPr>
              <w:pStyle w:val="Compact"/>
              <w:jc w:val="left"/>
            </w:pPr>
            <w:r>
              <w:t xml:space="preserve">47</w:t>
            </w:r>
          </w:p>
        </w:tc>
      </w:tr>
      <w:tr>
        <w:tc>
          <w:tcPr/>
          <w:p>
            <w:pPr>
              <w:pStyle w:val="Compact"/>
              <w:jc w:val="left"/>
            </w:pPr>
            <w:r>
              <w:t xml:space="preserve">2T FY25 (sep-24)</w:t>
            </w:r>
          </w:p>
        </w:tc>
        <w:tc>
          <w:tcPr/>
          <w:p>
            <w:pPr>
              <w:pStyle w:val="Compact"/>
              <w:jc w:val="left"/>
            </w:pPr>
            <w:r>
              <w:t xml:space="preserve">635,6</w:t>
            </w:r>
          </w:p>
        </w:tc>
        <w:tc>
          <w:tcPr/>
          <w:p>
            <w:pPr>
              <w:pStyle w:val="Compact"/>
              <w:jc w:val="left"/>
            </w:pPr>
            <w:r>
              <w:t xml:space="preserve">—</w:t>
            </w:r>
          </w:p>
        </w:tc>
        <w:tc>
          <w:tcPr/>
          <w:p>
            <w:pPr>
              <w:pStyle w:val="Compact"/>
              <w:jc w:val="left"/>
            </w:pPr>
            <w:r>
              <w:t xml:space="preserve">35,4 %</w:t>
            </w:r>
          </w:p>
        </w:tc>
        <w:tc>
          <w:tcPr/>
          <w:p>
            <w:pPr>
              <w:pStyle w:val="Compact"/>
              <w:jc w:val="left"/>
            </w:pPr>
            <w:r>
              <w:t xml:space="preserve">173</w:t>
            </w:r>
          </w:p>
        </w:tc>
        <w:tc>
          <w:tcPr/>
          <w:p>
            <w:pPr>
              <w:pStyle w:val="Compact"/>
              <w:jc w:val="left"/>
            </w:pPr>
            <w:r>
              <w:t xml:space="preserve">48</w:t>
            </w:r>
          </w:p>
        </w:tc>
      </w:tr>
      <w:tr>
        <w:tc>
          <w:tcPr/>
          <w:p>
            <w:pPr>
              <w:pStyle w:val="Compact"/>
              <w:jc w:val="left"/>
            </w:pPr>
            <w:r>
              <w:t xml:space="preserve">3T FY25 (dic-24)</w:t>
            </w:r>
          </w:p>
        </w:tc>
        <w:tc>
          <w:tcPr/>
          <w:p>
            <w:pPr>
              <w:pStyle w:val="Compact"/>
              <w:jc w:val="left"/>
            </w:pPr>
            <w:r>
              <w:t xml:space="preserve">679,4</w:t>
            </w:r>
          </w:p>
        </w:tc>
        <w:tc>
          <w:tcPr/>
          <w:p>
            <w:pPr>
              <w:pStyle w:val="Compact"/>
              <w:jc w:val="left"/>
            </w:pPr>
            <w:r>
              <w:t xml:space="preserve">—</w:t>
            </w:r>
          </w:p>
        </w:tc>
        <w:tc>
          <w:tcPr/>
          <w:p>
            <w:pPr>
              <w:pStyle w:val="Compact"/>
              <w:jc w:val="left"/>
            </w:pPr>
            <w:r>
              <w:t xml:space="preserve">35,5 %</w:t>
            </w:r>
          </w:p>
        </w:tc>
        <w:tc>
          <w:tcPr/>
          <w:p>
            <w:pPr>
              <w:pStyle w:val="Compact"/>
              <w:jc w:val="left"/>
            </w:pPr>
            <w:r>
              <w:t xml:space="preserve">186</w:t>
            </w:r>
          </w:p>
        </w:tc>
        <w:tc>
          <w:tcPr/>
          <w:p>
            <w:pPr>
              <w:pStyle w:val="Compact"/>
              <w:jc w:val="left"/>
            </w:pPr>
            <w:r>
              <w:t xml:space="preserve">52</w:t>
            </w:r>
          </w:p>
        </w:tc>
      </w:tr>
      <w:tr>
        <w:tc>
          <w:tcPr/>
          <w:p>
            <w:pPr>
              <w:pStyle w:val="Compact"/>
              <w:jc w:val="left"/>
            </w:pPr>
            <w:r>
              <w:t xml:space="preserve">4T FY25 (mar-25)</w:t>
            </w:r>
          </w:p>
        </w:tc>
        <w:tc>
          <w:tcPr/>
          <w:p>
            <w:pPr>
              <w:pStyle w:val="Compact"/>
              <w:jc w:val="left"/>
            </w:pPr>
            <w:r>
              <w:t xml:space="preserve">924,3</w:t>
            </w:r>
          </w:p>
        </w:tc>
        <w:tc>
          <w:tcPr/>
          <w:p>
            <w:pPr>
              <w:pStyle w:val="Compact"/>
              <w:jc w:val="left"/>
            </w:pPr>
            <w:r>
              <w:t xml:space="preserve">—</w:t>
            </w:r>
          </w:p>
        </w:tc>
        <w:tc>
          <w:tcPr/>
          <w:p>
            <w:pPr>
              <w:pStyle w:val="Compact"/>
              <w:jc w:val="left"/>
            </w:pPr>
            <w:r>
              <w:t xml:space="preserve">33,1 %</w:t>
            </w:r>
          </w:p>
        </w:tc>
        <w:tc>
          <w:tcPr/>
          <w:p>
            <w:pPr>
              <w:pStyle w:val="Compact"/>
              <w:jc w:val="left"/>
            </w:pPr>
            <w:r>
              <w:t xml:space="preserve">242</w:t>
            </w:r>
          </w:p>
        </w:tc>
        <w:tc>
          <w:tcPr/>
          <w:p>
            <w:pPr>
              <w:pStyle w:val="Compact"/>
              <w:jc w:val="left"/>
            </w:pPr>
            <w:r>
              <w:t xml:space="preserve">67</w:t>
            </w:r>
          </w:p>
        </w:tc>
      </w:tr>
      <w:tr>
        <w:tc>
          <w:tcPr/>
          <w:p>
            <w:pPr>
              <w:pStyle w:val="Compact"/>
              <w:jc w:val="left"/>
            </w:pPr>
            <w:r>
              <w:t xml:space="preserve">1T FY26 (jun-25)</w:t>
            </w:r>
          </w:p>
        </w:tc>
        <w:tc>
          <w:tcPr/>
          <w:p>
            <w:pPr>
              <w:pStyle w:val="Compact"/>
              <w:jc w:val="left"/>
            </w:pPr>
            <w:r>
              <w:t xml:space="preserve">864,3</w:t>
            </w:r>
          </w:p>
        </w:tc>
        <w:tc>
          <w:tcPr/>
          <w:p>
            <w:pPr>
              <w:pStyle w:val="Compact"/>
              <w:jc w:val="left"/>
            </w:pPr>
            <w:r>
              <w:t xml:space="preserve">+20,1 %</w:t>
            </w:r>
          </w:p>
        </w:tc>
        <w:tc>
          <w:tcPr/>
          <w:p>
            <w:pPr>
              <w:pStyle w:val="Compact"/>
              <w:jc w:val="left"/>
            </w:pPr>
            <w:r>
              <w:t xml:space="preserve">32,6 %</w:t>
            </w:r>
          </w:p>
        </w:tc>
        <w:tc>
          <w:tcPr/>
          <w:p>
            <w:pPr>
              <w:pStyle w:val="Compact"/>
              <w:jc w:val="left"/>
            </w:pPr>
            <w:r>
              <w:t xml:space="preserve">215</w:t>
            </w:r>
          </w:p>
        </w:tc>
        <w:tc>
          <w:tcPr/>
          <w:p>
            <w:pPr>
              <w:pStyle w:val="Compact"/>
              <w:jc w:val="left"/>
            </w:pPr>
            <w:r>
              <w:t xml:space="preserve">82</w:t>
            </w:r>
          </w:p>
        </w:tc>
      </w:tr>
      <w:tr>
        <w:tc>
          <w:tcPr/>
          <w:p>
            <w:pPr>
              <w:pStyle w:val="Compact"/>
              <w:jc w:val="left"/>
            </w:pPr>
            <w:r>
              <w:t xml:space="preserve">2T FY26 (sep-25)</w:t>
            </w:r>
          </w:p>
        </w:tc>
        <w:tc>
          <w:tcPr/>
          <w:p>
            <w:pPr>
              <w:pStyle w:val="Compact"/>
              <w:jc w:val="left"/>
            </w:pPr>
            <w:r>
              <w:t xml:space="preserve">905,3</w:t>
            </w:r>
          </w:p>
        </w:tc>
        <w:tc>
          <w:tcPr/>
          <w:p>
            <w:pPr>
              <w:pStyle w:val="Compact"/>
              <w:jc w:val="left"/>
            </w:pPr>
            <w:r>
              <w:t xml:space="preserve">+42,4 %</w:t>
            </w:r>
          </w:p>
        </w:tc>
        <w:tc>
          <w:tcPr/>
          <w:p>
            <w:pPr>
              <w:pStyle w:val="Compact"/>
              <w:jc w:val="left"/>
            </w:pPr>
            <w:r>
              <w:t xml:space="preserve">32,4 %</w:t>
            </w:r>
          </w:p>
        </w:tc>
        <w:tc>
          <w:tcPr/>
          <w:p>
            <w:pPr>
              <w:pStyle w:val="Compact"/>
              <w:jc w:val="left"/>
            </w:pPr>
            <w:r>
              <w:t xml:space="preserve">224</w:t>
            </w:r>
          </w:p>
        </w:tc>
        <w:tc>
          <w:tcPr/>
          <w:p>
            <w:pPr>
              <w:pStyle w:val="Compact"/>
              <w:jc w:val="left"/>
            </w:pPr>
            <w:r>
              <w:t xml:space="preserve">67</w:t>
            </w:r>
          </w:p>
        </w:tc>
      </w:tr>
      <w:tr>
        <w:tc>
          <w:tcPr/>
          <w:p>
            <w:pPr>
              <w:pStyle w:val="Compact"/>
              <w:jc w:val="left"/>
            </w:pPr>
            <w:r>
              <w:t xml:space="preserve">3T FY26 (dic-25)</w:t>
            </w:r>
          </w:p>
        </w:tc>
        <w:tc>
          <w:tcPr/>
          <w:p>
            <w:pPr>
              <w:pStyle w:val="Compact"/>
              <w:jc w:val="left"/>
            </w:pPr>
            <w:r>
              <w:t xml:space="preserve">909,4</w:t>
            </w:r>
          </w:p>
        </w:tc>
        <w:tc>
          <w:tcPr/>
          <w:p>
            <w:pPr>
              <w:pStyle w:val="Compact"/>
              <w:jc w:val="left"/>
            </w:pPr>
            <w:r>
              <w:t xml:space="preserve">+33,9 %</w:t>
            </w:r>
          </w:p>
        </w:tc>
        <w:tc>
          <w:tcPr/>
          <w:p>
            <w:pPr>
              <w:pStyle w:val="Compact"/>
              <w:jc w:val="left"/>
            </w:pPr>
            <w:r>
              <w:t xml:space="preserve">31,7 %</w:t>
            </w:r>
          </w:p>
        </w:tc>
        <w:tc>
          <w:tcPr/>
          <w:p>
            <w:pPr>
              <w:pStyle w:val="Compact"/>
              <w:jc w:val="left"/>
            </w:pPr>
            <w:r>
              <w:t xml:space="preserve">214</w:t>
            </w:r>
          </w:p>
        </w:tc>
        <w:tc>
          <w:tcPr/>
          <w:p>
            <w:pPr>
              <w:pStyle w:val="Compact"/>
              <w:jc w:val="left"/>
            </w:pPr>
            <w:r>
              <w:t xml:space="preserve">53</w:t>
            </w:r>
          </w:p>
        </w:tc>
      </w:tr>
      <w:tr>
        <w:tc>
          <w:tcPr/>
          <w:p>
            <w:pPr>
              <w:pStyle w:val="Compact"/>
              <w:jc w:val="left"/>
            </w:pPr>
            <w:r>
              <w:t xml:space="preserve">4T FY26 (mar-26)</w:t>
            </w:r>
          </w:p>
        </w:tc>
        <w:tc>
          <w:tcPr/>
          <w:p>
            <w:pPr>
              <w:pStyle w:val="Compact"/>
              <w:jc w:val="left"/>
            </w:pPr>
            <w:r>
              <w:t xml:space="preserve">880,5</w:t>
            </w:r>
          </w:p>
        </w:tc>
        <w:tc>
          <w:tcPr/>
          <w:p>
            <w:pPr>
              <w:pStyle w:val="Compact"/>
              <w:jc w:val="left"/>
            </w:pPr>
            <w:r>
              <w:t xml:space="preserve">−4,7 %</w:t>
            </w:r>
          </w:p>
        </w:tc>
        <w:tc>
          <w:tcPr/>
          <w:p>
            <w:pPr>
              <w:pStyle w:val="Compact"/>
              <w:jc w:val="left"/>
            </w:pPr>
            <w:r>
              <w:t xml:space="preserve">33,8 %</w:t>
            </w:r>
          </w:p>
        </w:tc>
        <w:tc>
          <w:tcPr/>
          <w:p>
            <w:pPr>
              <w:pStyle w:val="Compact"/>
              <w:jc w:val="left"/>
            </w:pPr>
            <w:r>
              <w:t xml:space="preserve">202</w:t>
            </w:r>
          </w:p>
        </w:tc>
        <w:tc>
          <w:tcPr/>
          <w:p>
            <w:pPr>
              <w:pStyle w:val="Compact"/>
              <w:jc w:val="left"/>
            </w:pPr>
            <w:r>
              <w:t xml:space="preserve">47</w:t>
            </w:r>
          </w:p>
        </w:tc>
      </w:tr>
      <w:tr>
        <w:tc>
          <w:tcPr/>
          <w:p>
            <w:pPr>
              <w:pStyle w:val="Compact"/>
              <w:jc w:val="left"/>
            </w:pPr>
            <w:r>
              <w:t xml:space="preserve">1T FY27 (jun-26)</w:t>
            </w:r>
          </w:p>
        </w:tc>
        <w:tc>
          <w:tcPr/>
          <w:p>
            <w:pPr>
              <w:pStyle w:val="Compact"/>
              <w:jc w:val="left"/>
            </w:pPr>
            <w:r>
              <w:t xml:space="preserve">935,2</w:t>
            </w:r>
          </w:p>
        </w:tc>
        <w:tc>
          <w:tcPr/>
          <w:p>
            <w:pPr>
              <w:pStyle w:val="Compact"/>
              <w:jc w:val="left"/>
            </w:pPr>
            <w:r>
              <w:t xml:space="preserve">+8,2 %</w:t>
            </w:r>
          </w:p>
        </w:tc>
        <w:tc>
          <w:tcPr/>
          <w:p>
            <w:pPr>
              <w:pStyle w:val="Compact"/>
              <w:jc w:val="left"/>
            </w:pPr>
            <w:r>
              <w:t xml:space="preserve">35,9 %</w:t>
            </w:r>
          </w:p>
        </w:tc>
        <w:tc>
          <w:tcPr/>
          <w:p>
            <w:pPr>
              <w:pStyle w:val="Compact"/>
              <w:jc w:val="left"/>
            </w:pPr>
            <w:r>
              <w:t xml:space="preserve">233</w:t>
            </w:r>
          </w:p>
        </w:tc>
        <w:tc>
          <w:tcPr/>
          <w:p>
            <w:pPr>
              <w:pStyle w:val="Compact"/>
              <w:jc w:val="left"/>
            </w:pPr>
            <w:r>
              <w:t xml:space="preserve">99</w:t>
            </w:r>
          </w:p>
        </w:tc>
      </w:tr>
    </w:tbl>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Ejercicio (abr-mar)</w:t>
            </w:r>
          </w:p>
        </w:tc>
        <w:tc>
          <w:tcPr/>
          <w:p>
            <w:pPr>
              <w:pStyle w:val="Compact"/>
              <w:jc w:val="left"/>
            </w:pPr>
            <w:r>
              <w:t xml:space="preserve">Ventas (M USD)</w:t>
            </w:r>
          </w:p>
        </w:tc>
        <w:tc>
          <w:tcPr/>
          <w:p>
            <w:pPr>
              <w:pStyle w:val="Compact"/>
              <w:jc w:val="left"/>
            </w:pPr>
            <w:r>
              <w:t xml:space="preserve">Crec.</w:t>
            </w:r>
          </w:p>
        </w:tc>
        <w:tc>
          <w:tcPr/>
          <w:p>
            <w:pPr>
              <w:pStyle w:val="Compact"/>
              <w:jc w:val="left"/>
            </w:pPr>
            <w:r>
              <w:t xml:space="preserve">EBITDA ajustado</w:t>
            </w:r>
          </w:p>
        </w:tc>
      </w:tr>
      <w:tr>
        <w:tc>
          <w:tcPr/>
          <w:p>
            <w:pPr>
              <w:pStyle w:val="Compact"/>
              <w:jc w:val="left"/>
            </w:pPr>
            <w:r>
              <w:t xml:space="preserve">FY23</w:t>
            </w:r>
          </w:p>
        </w:tc>
        <w:tc>
          <w:tcPr/>
          <w:p>
            <w:pPr>
              <w:pStyle w:val="Compact"/>
              <w:jc w:val="left"/>
            </w:pPr>
            <w:r>
              <w:t xml:space="preserve">1.902</w:t>
            </w:r>
          </w:p>
        </w:tc>
        <w:tc>
          <w:tcPr/>
          <w:p>
            <w:pPr>
              <w:pStyle w:val="Compact"/>
              <w:jc w:val="left"/>
            </w:pPr>
            <w:r>
              <w:t xml:space="preserve">—</w:t>
            </w:r>
          </w:p>
        </w:tc>
        <w:tc>
          <w:tcPr/>
          <w:p>
            <w:pPr>
              <w:pStyle w:val="Compact"/>
              <w:jc w:val="left"/>
            </w:pPr>
            <w:r>
              <w:t xml:space="preserve">209</w:t>
            </w:r>
          </w:p>
        </w:tc>
      </w:tr>
      <w:tr>
        <w:tc>
          <w:tcPr/>
          <w:p>
            <w:pPr>
              <w:pStyle w:val="Compact"/>
              <w:jc w:val="left"/>
            </w:pPr>
            <w:r>
              <w:t xml:space="preserve">FY24</w:t>
            </w:r>
          </w:p>
        </w:tc>
        <w:tc>
          <w:tcPr/>
          <w:p>
            <w:pPr>
              <w:pStyle w:val="Compact"/>
              <w:jc w:val="left"/>
            </w:pPr>
            <w:r>
              <w:t xml:space="preserve">2.500</w:t>
            </w:r>
          </w:p>
        </w:tc>
        <w:tc>
          <w:tcPr/>
          <w:p>
            <w:pPr>
              <w:pStyle w:val="Compact"/>
              <w:jc w:val="left"/>
            </w:pPr>
            <w:r>
              <w:t xml:space="preserve">+31,4 %</w:t>
            </w:r>
          </w:p>
        </w:tc>
        <w:tc>
          <w:tcPr/>
          <w:p>
            <w:pPr>
              <w:pStyle w:val="Compact"/>
              <w:jc w:val="left"/>
            </w:pPr>
            <w:r>
              <w:t xml:space="preserve">522 (sin 45X en el ajustado)</w:t>
            </w:r>
          </w:p>
        </w:tc>
      </w:tr>
      <w:tr>
        <w:tc>
          <w:tcPr/>
          <w:p>
            <w:pPr>
              <w:pStyle w:val="Compact"/>
              <w:jc w:val="left"/>
            </w:pPr>
            <w:r>
              <w:t xml:space="preserve">FY25</w:t>
            </w:r>
          </w:p>
        </w:tc>
        <w:tc>
          <w:tcPr/>
          <w:p>
            <w:pPr>
              <w:pStyle w:val="Compact"/>
              <w:jc w:val="left"/>
            </w:pPr>
            <w:r>
              <w:t xml:space="preserve">2.959</w:t>
            </w:r>
          </w:p>
        </w:tc>
        <w:tc>
          <w:tcPr/>
          <w:p>
            <w:pPr>
              <w:pStyle w:val="Compact"/>
              <w:jc w:val="left"/>
            </w:pPr>
            <w:r>
              <w:t xml:space="preserve">+18,4 %</w:t>
            </w:r>
          </w:p>
        </w:tc>
        <w:tc>
          <w:tcPr/>
          <w:p>
            <w:pPr>
              <w:pStyle w:val="Compact"/>
              <w:jc w:val="left"/>
            </w:pPr>
            <w:r>
              <w:t xml:space="preserve">777</w:t>
            </w:r>
          </w:p>
        </w:tc>
      </w:tr>
      <w:tr>
        <w:tc>
          <w:tcPr/>
          <w:p>
            <w:pPr>
              <w:pStyle w:val="Compact"/>
              <w:jc w:val="left"/>
            </w:pPr>
            <w:r>
              <w:t xml:space="preserve">FY26</w:t>
            </w:r>
          </w:p>
        </w:tc>
        <w:tc>
          <w:tcPr/>
          <w:p>
            <w:pPr>
              <w:pStyle w:val="Compact"/>
              <w:jc w:val="left"/>
            </w:pPr>
            <w:r>
              <w:t xml:space="preserve">3.559</w:t>
            </w:r>
          </w:p>
        </w:tc>
        <w:tc>
          <w:tcPr/>
          <w:p>
            <w:pPr>
              <w:pStyle w:val="Compact"/>
              <w:jc w:val="left"/>
            </w:pPr>
            <w:r>
              <w:t xml:space="preserve">+20,3 %</w:t>
            </w:r>
          </w:p>
        </w:tc>
        <w:tc>
          <w:tcPr/>
          <w:p>
            <w:pPr>
              <w:pStyle w:val="Compact"/>
              <w:jc w:val="left"/>
            </w:pPr>
            <w:r>
              <w:t xml:space="preserve">854</w:t>
            </w:r>
          </w:p>
        </w:tc>
      </w:tr>
      <w:tr>
        <w:tc>
          <w:tcPr/>
          <w:p>
            <w:pPr>
              <w:pStyle w:val="Compact"/>
              <w:jc w:val="left"/>
            </w:pPr>
            <w:r>
              <w:t xml:space="preserve">FY27 guía (30-jul)</w:t>
            </w:r>
          </w:p>
        </w:tc>
        <w:tc>
          <w:tcPr/>
          <w:p>
            <w:pPr>
              <w:pStyle w:val="Compact"/>
              <w:jc w:val="left"/>
            </w:pPr>
            <w:r>
              <w:t xml:space="preserve">4.100-4.400 (4.250)</w:t>
            </w:r>
          </w:p>
        </w:tc>
        <w:tc>
          <w:tcPr/>
          <w:p>
            <w:pPr>
              <w:pStyle w:val="Compact"/>
              <w:jc w:val="left"/>
            </w:pPr>
            <w:r>
              <w:t xml:space="preserve">+19,4 % (≈ +10-11 % sin compras)</w:t>
            </w:r>
          </w:p>
        </w:tc>
        <w:tc>
          <w:tcPr/>
          <w:p>
            <w:pPr>
              <w:pStyle w:val="Compact"/>
              <w:jc w:val="left"/>
            </w:pPr>
            <w:r>
              <w:t xml:space="preserve">870-930</w:t>
            </w:r>
          </w:p>
        </w:tc>
      </w:tr>
      <w:tr>
        <w:tc>
          <w:tcPr/>
          <w:p>
            <w:pPr>
              <w:pStyle w:val="Compact"/>
              <w:jc w:val="left"/>
            </w:pPr>
            <w:r>
              <w:t xml:space="preserve">FY28 consenso</w:t>
            </w:r>
          </w:p>
        </w:tc>
        <w:tc>
          <w:tcPr/>
          <w:p>
            <w:pPr>
              <w:pStyle w:val="Compact"/>
              <w:jc w:val="left"/>
            </w:pPr>
            <w:r>
              <w:t xml:space="preserve">5.205</w:t>
            </w:r>
          </w:p>
        </w:tc>
        <w:tc>
          <w:tcPr/>
          <w:p>
            <w:pPr>
              <w:pStyle w:val="Compact"/>
              <w:jc w:val="left"/>
            </w:pPr>
            <w:r>
              <w:t xml:space="preserve">+20 % (con compras)</w:t>
            </w:r>
          </w:p>
        </w:tc>
        <w:tc>
          <w:tcPr/>
          <w:p>
            <w:pPr>
              <w:pStyle w:val="Compact"/>
              <w:jc w:val="left"/>
            </w:pPr>
            <w:r>
              <w:t xml:space="preserve">1.143</w:t>
            </w:r>
          </w:p>
        </w:tc>
      </w:tr>
      <w:tr>
        <w:tc>
          <w:tcPr/>
          <w:p>
            <w:pPr>
              <w:pStyle w:val="Compact"/>
              <w:jc w:val="left"/>
            </w:pPr>
            <w:r>
              <w:t xml:space="preserve">FY29 consenso</w:t>
            </w:r>
          </w:p>
        </w:tc>
        <w:tc>
          <w:tcPr/>
          <w:p>
            <w:pPr>
              <w:pStyle w:val="Compact"/>
              <w:jc w:val="left"/>
            </w:pPr>
            <w:r>
              <w:t xml:space="preserve">5.910</w:t>
            </w:r>
          </w:p>
        </w:tc>
        <w:tc>
          <w:tcPr/>
          <w:p>
            <w:pPr>
              <w:pStyle w:val="Compact"/>
              <w:jc w:val="left"/>
            </w:pPr>
            <w:r>
              <w:t xml:space="preserve">+13,5 %</w:t>
            </w:r>
          </w:p>
        </w:tc>
        <w:tc>
          <w:tcPr/>
          <w:p>
            <w:pPr>
              <w:pStyle w:val="Compact"/>
              <w:jc w:val="left"/>
            </w:pPr>
            <w:r>
              <w:t xml:space="preserve">1.336</w:t>
            </w:r>
          </w:p>
        </w:tc>
      </w:tr>
    </w:tbl>
    <w:p>
      <w:pPr>
        <w:pStyle w:val="BodyText"/>
      </w:pPr>
      <w:r>
        <w:t xml:space="preserve">Fuentes: [1][2][6]. Trimestres sacados por diferencia de los acumulados XBRL. El 45X va en el coste de ventas; la empresa ya no separa del 45X el efecto de los aranceles.</w:t>
      </w:r>
    </w:p>
    <w:p>
      <w:pPr>
        <w:numPr>
          <w:ilvl w:val="0"/>
          <w:numId w:val="1003"/>
        </w:numPr>
        <w:pStyle w:val="Compact"/>
      </w:pPr>
      <w:r>
        <w:rPr>
          <w:bCs/>
          <w:b/>
        </w:rPr>
        <w:t xml:space="preserve">Últimos 12 meses</w:t>
      </w:r>
      <w:r>
        <w:t xml:space="preserve">: 3.630 M USD,</w:t>
      </w:r>
      <w:r>
        <w:t xml:space="preserve"> </w:t>
      </w:r>
      <w:r>
        <w:rPr>
          <w:bCs/>
          <w:b/>
        </w:rPr>
        <w:t xml:space="preserve">+17,0 %</w:t>
      </w:r>
      <w:r>
        <w:t xml:space="preserve">.</w:t>
      </w:r>
      <w:r>
        <w:t xml:space="preserve"> </w:t>
      </w:r>
      <w:r>
        <w:rPr>
          <w:bCs/>
          <w:b/>
        </w:rPr>
        <w:t xml:space="preserve">CAGR a 2 años</w:t>
      </w:r>
      <w:r>
        <w:t xml:space="preserve">: 15,1 %.</w:t>
      </w:r>
      <w:r>
        <w:t xml:space="preserve"> </w:t>
      </w:r>
      <w:r>
        <w:rPr>
          <w:bCs/>
          <w:b/>
        </w:rPr>
        <w:t xml:space="preserve">Aceleración</w:t>
      </w:r>
      <w:r>
        <w:t xml:space="preserve">: −14,7 pp (el último trimestre crece un 8,2 % frente a una media del 22,9 % en los cuatro anteriores).</w:t>
      </w:r>
    </w:p>
    <w:p>
      <w:pPr>
        <w:numPr>
          <w:ilvl w:val="0"/>
          <w:numId w:val="1003"/>
        </w:numPr>
        <w:pStyle w:val="Compact"/>
      </w:pPr>
      <w:r>
        <w:rPr>
          <w:bCs/>
          <w:b/>
        </w:rPr>
        <w:t xml:space="preserve">Por qué se frena</w:t>
      </w:r>
      <w:r>
        <w:t xml:space="preserve">: EE. UU. sube un 29 %, pero el resto del mundo cae un 40 % (menos envíos a Latinoamérica y Oriente Medio). El FY26 tuvo un 2T y un 3T muy fuertes porque los clientes adelantaron obra por los cambios de los créditos fiscales [2].</w:t>
      </w:r>
    </w:p>
    <w:p>
      <w:pPr>
        <w:numPr>
          <w:ilvl w:val="0"/>
          <w:numId w:val="1003"/>
        </w:numPr>
        <w:pStyle w:val="Compact"/>
      </w:pPr>
      <w:r>
        <w:rPr>
          <w:bCs/>
          <w:b/>
        </w:rPr>
        <w:t xml:space="preserve">Guía</w:t>
      </w:r>
      <w:r>
        <w:t xml:space="preserve">: solo anual. FY27 de 4.100-4.400 M, subida tres veces (3.600-3.800 en enero, 3.800-4.100 el 12-may, 4.000-4.400 el 28-may con Prevalon y 4.100-4.400 el 30-jul).</w:t>
      </w:r>
      <w:r>
        <w:t xml:space="preserve"> </w:t>
      </w:r>
      <w:r>
        <w:rPr>
          <w:bCs/>
          <w:b/>
        </w:rPr>
        <w:t xml:space="preserve">Bate su guía</w:t>
      </w:r>
      <w:r>
        <w:t xml:space="preserve">: el FY26 empezó en 3.200-3.400 M y acabó en 3.559 (+8,8 pp). La guía no recorta la proyección mecánica (13,8 % frente a 19,4 + 8,8).</w:t>
      </w:r>
    </w:p>
    <w:p>
      <w:pPr>
        <w:numPr>
          <w:ilvl w:val="0"/>
          <w:numId w:val="1003"/>
        </w:numPr>
        <w:pStyle w:val="Compact"/>
      </w:pPr>
      <w:r>
        <w:rPr>
          <w:bCs/>
          <w:b/>
        </w:rPr>
        <w:t xml:space="preserve">Orgánico frente a compras</w:t>
      </w:r>
      <w:r>
        <w:t xml:space="preserve"> </w:t>
      </w:r>
      <w:r>
        <w:t xml:space="preserve">(estimación propia,</w:t>
      </w:r>
      <w:r>
        <w:t xml:space="preserve"> </w:t>
      </w:r>
      <w:r>
        <w:rPr>
          <w:rStyle w:val="VerbatimChar"/>
        </w:rPr>
        <w:t xml:space="preserve">nota_organico</w:t>
      </w:r>
      <w:r>
        <w:t xml:space="preserve">): de los ~+24 % previstos en los 12 meses siguientes, unos 14-15 puntos son de compras (Prevalon ~350 M al año, Zimmermann ~300 M EUR al año desde su cierre y Apex/Zigor). El orgánico ronda el</w:t>
      </w:r>
      <w:r>
        <w:t xml:space="preserve"> </w:t>
      </w:r>
      <w:r>
        <w:rPr>
          <w:bCs/>
          <w:b/>
        </w:rPr>
        <w:t xml:space="preserve">+10 %</w:t>
      </w:r>
      <w:r>
        <w:t xml:space="preserve">.</w:t>
      </w:r>
    </w:p>
    <w:p>
      <w:pPr>
        <w:numPr>
          <w:ilvl w:val="0"/>
          <w:numId w:val="1003"/>
        </w:numPr>
        <w:pStyle w:val="Compact"/>
      </w:pPr>
      <w:r>
        <w:rPr>
          <w:bCs/>
          <w:b/>
        </w:rPr>
        <w:t xml:space="preserve">Cartera de pedidos</w:t>
      </w:r>
      <w:r>
        <w:t xml:space="preserve">: más de 5.500 M (antes 5.250 M), más de 300 M de Prevalon y reservas de «bastante más de» 1.000 M en el 1T [1][9].</w:t>
      </w:r>
    </w:p>
    <w:p>
      <w:pPr>
        <w:numPr>
          <w:ilvl w:val="0"/>
          <w:numId w:val="1003"/>
        </w:numPr>
        <w:pStyle w:val="Compact"/>
      </w:pPr>
      <w:r>
        <w:rPr>
          <w:bCs/>
          <w:b/>
        </w:rPr>
        <w:t xml:space="preserve">Retención</w:t>
      </w:r>
      <w:r>
        <w:t xml:space="preserve">: no aplica (</w:t>
      </w:r>
      <w:r>
        <w:rPr>
          <w:rStyle w:val="VerbatimChar"/>
        </w:rPr>
        <w:t xml:space="preserve">nrr_pct</w:t>
      </w:r>
      <w:r>
        <w:t xml:space="preserve"> </w:t>
      </w:r>
      <w:r>
        <w:t xml:space="preserve">= null); es venta por proyecto.</w:t>
      </w:r>
    </w:p>
    <w:bookmarkEnd w:id="22"/>
    <w:bookmarkStart w:id="23" w:name="mercado-y-competencia"/>
    <w:p>
      <w:pPr>
        <w:pStyle w:val="Heading2"/>
      </w:pPr>
      <w:r>
        <w:t xml:space="preserve">4. Mercado y competencia</w:t>
      </w:r>
    </w:p>
    <w:p>
      <w:pPr>
        <w:numPr>
          <w:ilvl w:val="0"/>
          <w:numId w:val="1004"/>
        </w:numPr>
        <w:pStyle w:val="Compact"/>
      </w:pPr>
      <w:r>
        <w:rPr>
          <w:bCs/>
          <w:b/>
        </w:rPr>
        <w:t xml:space="preserve">Mercado alcanzable</w:t>
      </w:r>
      <w:r>
        <w:t xml:space="preserve">: ~20.000 M USD al año, estimación propia. Son unos 100-120 GW de seguidores fuera de China a ~0,10-0,12 USD/W (rango habitual de Wood Mackenzie, de memoria), más eBOS, cimentaciones e inversores. No se suman las baterías (la empresa habla de hasta 35.000 M fuera de China en 2030): acaba de entrar y no tiene cuota [12].</w:t>
      </w:r>
      <w:r>
        <w:t xml:space="preserve"> </w:t>
      </w:r>
      <w:r>
        <w:rPr>
          <w:bCs/>
          <w:b/>
        </w:rPr>
        <w:t xml:space="preserve">Penetración: 18,2 %</w:t>
      </w:r>
      <w:r>
        <w:t xml:space="preserve">, alta para un growth.</w:t>
      </w:r>
    </w:p>
    <w:p>
      <w:pPr>
        <w:numPr>
          <w:ilvl w:val="0"/>
          <w:numId w:val="1004"/>
        </w:numPr>
        <w:pStyle w:val="Compact"/>
      </w:pPr>
      <w:r>
        <w:rPr>
          <w:bCs/>
          <w:b/>
        </w:rPr>
        <w:t xml:space="preserve">Motor de la demanda</w:t>
      </w:r>
      <w:r>
        <w:t xml:space="preserve">: la solar es la electricidad nueva más barata y la que más rápido se construye. Los centros de datos de IA empujan la demanda de electricidad en EE. UU.</w:t>
      </w:r>
    </w:p>
    <w:p>
      <w:pPr>
        <w:numPr>
          <w:ilvl w:val="0"/>
          <w:numId w:val="1004"/>
        </w:numPr>
        <w:pStyle w:val="Compact"/>
      </w:pPr>
      <w:r>
        <w:rPr>
          <w:bCs/>
          <w:b/>
        </w:rPr>
        <w:t xml:space="preserve">Freno en EE. UU.</w:t>
      </w:r>
      <w:r>
        <w:t xml:space="preserve">: la ley OBBBA (4-jul-2025) acorta los créditos 48E y 45Y de los clientes. Las plantas que empezaron obra antes del 4-jul-2026 tienen cuatro años para conectarse; las demás, hasta el 31-dic-2027. Eso adelanta demanda a 2026-2029 y deja un hueco después. Además, el Tesoro tiene orden de endurecer el «inicio de obra» y faltan las reglas FEOC [2].</w:t>
      </w:r>
    </w:p>
    <w:p>
      <w:pPr>
        <w:numPr>
          <w:ilvl w:val="0"/>
          <w:numId w:val="1004"/>
        </w:numPr>
        <w:pStyle w:val="Compact"/>
      </w:pPr>
      <w:r>
        <w:rPr>
          <w:bCs/>
          <w:b/>
        </w:rPr>
        <w:t xml:space="preserve">Competencia</w:t>
      </w:r>
      <w:r>
        <w:t xml:space="preserve">: Array Technologies (número 2 en EE. UU.) se ha hundido (−59 % en un año, 3,38 USD), y GameChange crece. Nextpower gana cuota según Wood Mackenzie. En Europa entra con Gemini y Zimmermann, porque la mitad del mercado europeo son estructuras fijas [3].</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Señal</w:t>
            </w:r>
          </w:p>
        </w:tc>
        <w:tc>
          <w:tcPr/>
          <w:p>
            <w:pPr>
              <w:pStyle w:val="Compact"/>
              <w:jc w:val="left"/>
            </w:pPr>
            <w:r>
              <w:t xml:space="preserve">¿Sí?</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 Revisiones al alza</w:t>
            </w:r>
          </w:p>
        </w:tc>
        <w:tc>
          <w:tcPr/>
          <w:p>
            <w:pPr>
              <w:pStyle w:val="Compact"/>
              <w:jc w:val="left"/>
            </w:pPr>
            <w:r>
              <w:t xml:space="preserve">No</w:t>
            </w:r>
          </w:p>
        </w:tc>
        <w:tc>
          <w:tcPr/>
          <w:p>
            <w:pPr>
              <w:pStyle w:val="Compact"/>
              <w:jc w:val="left"/>
            </w:pPr>
            <w:r>
              <w:t xml:space="preserve">Recortes de objetivo en octubre: Citi 132 → 121, RBC 147 → 116, Barclays 147 → 146, Susquehanna 157 → 150; en septiembre, Baird y Piper Sandler. El BPA guiado quedó bajo el consenso</w:t>
            </w:r>
          </w:p>
        </w:tc>
        <w:tc>
          <w:tcPr/>
          <w:p>
            <w:pPr>
              <w:pStyle w:val="Compact"/>
              <w:jc w:val="left"/>
            </w:pPr>
            <w:r>
              <w:t xml:space="preserve">[5][9]</w:t>
            </w:r>
          </w:p>
        </w:tc>
      </w:tr>
      <w:tr>
        <w:tc>
          <w:tcPr/>
          <w:p>
            <w:pPr>
              <w:pStyle w:val="Compact"/>
              <w:jc w:val="left"/>
            </w:pPr>
            <w:r>
              <w:t xml:space="preserve">2. Precio sobre la media de 200 sesiones</w:t>
            </w:r>
          </w:p>
        </w:tc>
        <w:tc>
          <w:tcPr/>
          <w:p>
            <w:pPr>
              <w:pStyle w:val="Compact"/>
              <w:jc w:val="left"/>
            </w:pPr>
            <w:r>
              <w:t xml:space="preserve">No</w:t>
            </w:r>
          </w:p>
        </w:tc>
        <w:tc>
          <w:tcPr/>
          <w:p>
            <w:pPr>
              <w:pStyle w:val="Compact"/>
              <w:jc w:val="left"/>
            </w:pPr>
            <w:r>
              <w:t xml:space="preserve">88,77 frente a 107,6 USD, con la media plana o bajando</w:t>
            </w:r>
          </w:p>
        </w:tc>
        <w:tc>
          <w:tcPr/>
          <w:p>
            <w:pPr>
              <w:pStyle w:val="Compact"/>
              <w:jc w:val="left"/>
            </w:pPr>
            <w:r>
              <w:t xml:space="preserve">[4]</w:t>
            </w:r>
          </w:p>
        </w:tc>
      </w:tr>
      <w:tr>
        <w:tc>
          <w:tcPr/>
          <w:p>
            <w:pPr>
              <w:pStyle w:val="Compact"/>
              <w:jc w:val="left"/>
            </w:pPr>
            <w:r>
              <w:t xml:space="preserve">3. Fuerza relativa a 6 meses</w:t>
            </w:r>
          </w:p>
        </w:tc>
        <w:tc>
          <w:tcPr/>
          <w:p>
            <w:pPr>
              <w:pStyle w:val="Compact"/>
              <w:jc w:val="left"/>
            </w:pPr>
            <w:r>
              <w:t xml:space="preserve">No</w:t>
            </w:r>
          </w:p>
        </w:tc>
        <w:tc>
          <w:tcPr/>
          <w:p>
            <w:pPr>
              <w:pStyle w:val="Compact"/>
              <w:jc w:val="left"/>
            </w:pPr>
            <w:r>
              <w:t xml:space="preserve">−20,4 % frente a +13,4 % del S&amp;P 500 y +20,4 % del Nasdaq-100</w:t>
            </w:r>
          </w:p>
        </w:tc>
        <w:tc>
          <w:tcPr/>
          <w:p>
            <w:pPr>
              <w:pStyle w:val="Compact"/>
              <w:jc w:val="left"/>
            </w:pPr>
            <w:r>
              <w:t xml:space="preserve">[4]</w:t>
            </w:r>
          </w:p>
        </w:tc>
      </w:tr>
      <w:tr>
        <w:tc>
          <w:tcPr/>
          <w:p>
            <w:pPr>
              <w:pStyle w:val="Compact"/>
              <w:jc w:val="left"/>
            </w:pPr>
            <w:r>
              <w:t xml:space="preserve">4. Mejora del múltiplo ≥ 20 %</w:t>
            </w:r>
          </w:p>
        </w:tc>
        <w:tc>
          <w:tcPr/>
          <w:p>
            <w:pPr>
              <w:pStyle w:val="Compact"/>
              <w:jc w:val="left"/>
            </w:pPr>
            <w:r>
              <w:t xml:space="preserve">No</w:t>
            </w:r>
          </w:p>
        </w:tc>
        <w:tc>
          <w:tcPr/>
          <w:p>
            <w:pPr>
              <w:pStyle w:val="Compact"/>
              <w:jc w:val="left"/>
            </w:pPr>
            <w:r>
              <w:t xml:space="preserve">Está cerca de su mínimo de 12 meses, no 20 % por encima</w:t>
            </w:r>
          </w:p>
        </w:tc>
        <w:tc>
          <w:tcPr/>
          <w:p>
            <w:pPr>
              <w:pStyle w:val="Compact"/>
              <w:jc w:val="left"/>
            </w:pPr>
            <w:r>
              <w:t xml:space="preserve">[10]</w:t>
            </w:r>
          </w:p>
        </w:tc>
      </w:tr>
      <w:tr>
        <w:tc>
          <w:tcPr/>
          <w:p>
            <w:pPr>
              <w:pStyle w:val="Compact"/>
              <w:jc w:val="left"/>
            </w:pPr>
            <w:r>
              <w:t xml:space="preserve">5. Inflexión operativa</w:t>
            </w:r>
          </w:p>
        </w:tc>
        <w:tc>
          <w:tcPr/>
          <w:p>
            <w:pPr>
              <w:pStyle w:val="Compact"/>
              <w:jc w:val="left"/>
            </w:pPr>
            <w:r>
              <w:t xml:space="preserve">No</w:t>
            </w:r>
          </w:p>
        </w:tc>
        <w:tc>
          <w:tcPr/>
          <w:p>
            <w:pPr>
              <w:pStyle w:val="Compact"/>
              <w:jc w:val="left"/>
            </w:pPr>
            <w:r>
              <w:t xml:space="preserve">Margen EBITDA del 24,9 %, igual que un año antes; ya era rentable</w:t>
            </w:r>
          </w:p>
        </w:tc>
        <w:tc>
          <w:tcPr/>
          <w:p>
            <w:pPr>
              <w:pStyle w:val="Compact"/>
              <w:jc w:val="left"/>
            </w:pPr>
            <w:r>
              <w:t xml:space="preserve">[1]</w:t>
            </w:r>
          </w:p>
        </w:tc>
      </w:tr>
      <w:tr>
        <w:tc>
          <w:tcPr/>
          <w:p>
            <w:pPr>
              <w:pStyle w:val="Compact"/>
              <w:jc w:val="left"/>
            </w:pPr>
            <w:r>
              <w:t xml:space="preserve">6. Sentimiento mejorando</w:t>
            </w:r>
          </w:p>
        </w:tc>
        <w:tc>
          <w:tcPr/>
          <w:p>
            <w:pPr>
              <w:pStyle w:val="Compact"/>
              <w:jc w:val="left"/>
            </w:pPr>
            <w:r>
              <w:t xml:space="preserve">No</w:t>
            </w:r>
          </w:p>
        </w:tc>
        <w:tc>
          <w:tcPr/>
          <w:p>
            <w:pPr>
              <w:pStyle w:val="Compact"/>
              <w:jc w:val="left"/>
            </w:pPr>
            <w:r>
              <w:t xml:space="preserve">Empeora: dudas por las compras y venta de todo el sector solar</w:t>
            </w:r>
          </w:p>
        </w:tc>
        <w:tc>
          <w:tcPr/>
          <w:p>
            <w:pPr>
              <w:pStyle w:val="Compact"/>
              <w:jc w:val="left"/>
            </w:pPr>
            <w:r>
              <w:t xml:space="preserve">[7][8]</w:t>
            </w:r>
          </w:p>
        </w:tc>
      </w:tr>
      <w:tr>
        <w:tc>
          <w:tcPr/>
          <w:p>
            <w:pPr>
              <w:pStyle w:val="Compact"/>
              <w:jc w:val="left"/>
            </w:pPr>
            <w:r>
              <w:t xml:space="preserve">7. Compras de directivos o inversores de referencia</w:t>
            </w:r>
          </w:p>
        </w:tc>
        <w:tc>
          <w:tcPr/>
          <w:p>
            <w:pPr>
              <w:pStyle w:val="Compact"/>
              <w:jc w:val="left"/>
            </w:pPr>
            <w:r>
              <w:t xml:space="preserve">No</w:t>
            </w:r>
          </w:p>
        </w:tc>
        <w:tc>
          <w:tcPr/>
          <w:p>
            <w:pPr>
              <w:pStyle w:val="Compact"/>
              <w:jc w:val="left"/>
            </w:pPr>
            <w:r>
              <w:t xml:space="preserve">Solo ventas (fundador, director financiero, consejeros)</w:t>
            </w:r>
          </w:p>
        </w:tc>
        <w:tc>
          <w:tcPr/>
          <w:p>
            <w:pPr>
              <w:pStyle w:val="Compact"/>
              <w:jc w:val="left"/>
            </w:pPr>
            <w:r>
              <w:t xml:space="preserve">[3]</w:t>
            </w:r>
          </w:p>
        </w:tc>
      </w:tr>
      <w:tr>
        <w:tc>
          <w:tcPr/>
          <w:p>
            <w:pPr>
              <w:pStyle w:val="Compact"/>
              <w:jc w:val="left"/>
            </w:pPr>
            <w:r>
              <w:t xml:space="preserve">8. Catalizador nuevo en 6 meses</w:t>
            </w:r>
          </w:p>
        </w:tc>
        <w:tc>
          <w:tcPr/>
          <w:p>
            <w:pPr>
              <w:pStyle w:val="Compact"/>
              <w:jc w:val="left"/>
            </w:pPr>
            <w:r>
              <w:t xml:space="preserve">Sí</w:t>
            </w:r>
          </w:p>
        </w:tc>
        <w:tc>
          <w:tcPr/>
          <w:p>
            <w:pPr>
              <w:pStyle w:val="Compact"/>
              <w:jc w:val="left"/>
            </w:pPr>
            <w:r>
              <w:t xml:space="preserve">Capital Markets Day del 16-nov con un objetivo 2030 más alto; resultados del 2T; Prevalon y Zimmermann</w:t>
            </w:r>
          </w:p>
        </w:tc>
        <w:tc>
          <w:tcPr/>
          <w:p>
            <w:pPr>
              <w:pStyle w:val="Compact"/>
              <w:jc w:val="left"/>
            </w:pPr>
            <w:r>
              <w:t xml:space="preserve">[1][9]</w:t>
            </w:r>
          </w:p>
        </w:tc>
      </w:tr>
    </w:tbl>
    <w:p>
      <w:pPr>
        <w:pStyle w:val="BodyText"/>
      </w:pPr>
      <w:r>
        <w:rPr>
          <w:bCs/>
          <w:b/>
        </w:rPr>
        <w:t xml:space="preserve">Euforia: no.</w:t>
      </w:r>
      <w:r>
        <w:t xml:space="preserve"> </w:t>
      </w:r>
      <w:r>
        <w:t xml:space="preserve">+2,1 % en 12 meses y −20,4 % en 6 meses, con EV/beneficio bruto de 8,8x. Es lo contrario: el precio ya ha caído un 43 % desde mayo.</w:t>
      </w:r>
    </w:p>
    <w:bookmarkEnd w:id="24"/>
    <w:bookmarkStart w:id="25" w:name="X6a3ced9ea5ed5bb9ac58f5e7c1bb09ad4718b77"/>
    <w:p>
      <w:pPr>
        <w:pStyle w:val="Heading2"/>
      </w:pPr>
      <w:r>
        <w:t xml:space="preserve">6. Economía unitaria y camino a la rentabilidad</w:t>
      </w:r>
    </w:p>
    <w:p>
      <w:pPr>
        <w:numPr>
          <w:ilvl w:val="0"/>
          <w:numId w:val="1005"/>
        </w:numPr>
        <w:pStyle w:val="Compact"/>
      </w:pPr>
      <w:r>
        <w:rPr>
          <w:bCs/>
          <w:b/>
        </w:rPr>
        <w:t xml:space="preserve">Margen bruto</w:t>
      </w:r>
      <w:r>
        <w:t xml:space="preserve">: 33,4 % en los últimos 12 meses (35,9 % en el 1T, con 45X y una devolución de aranceles de 13,8 M). Sin el 45X, rondaría el 25-26 %.</w:t>
      </w:r>
    </w:p>
    <w:p>
      <w:pPr>
        <w:numPr>
          <w:ilvl w:val="0"/>
          <w:numId w:val="1005"/>
        </w:numPr>
        <w:pStyle w:val="Compact"/>
      </w:pPr>
      <w:r>
        <w:rPr>
          <w:bCs/>
          <w:b/>
        </w:rPr>
        <w:t xml:space="preserve">Margen EBITDA ajustado</w:t>
      </w:r>
      <w:r>
        <w:t xml:space="preserve">: 24,9 % en el 1T y ~21 % en los 12 meses siguientes. La guía incluye 50 M de coste por la entrada en inversores.</w:t>
      </w:r>
    </w:p>
    <w:p>
      <w:pPr>
        <w:numPr>
          <w:ilvl w:val="0"/>
          <w:numId w:val="1005"/>
        </w:numPr>
        <w:pStyle w:val="Compact"/>
      </w:pPr>
      <w:r>
        <w:rPr>
          <w:bCs/>
          <w:b/>
        </w:rPr>
        <w:t xml:space="preserve">FCF</w:t>
      </w:r>
      <w:r>
        <w:t xml:space="preserve">: 549 M en 12 meses (</w:t>
      </w:r>
      <w:r>
        <w:rPr>
          <w:bCs/>
          <w:b/>
        </w:rPr>
        <w:t xml:space="preserve">15,1 %</w:t>
      </w:r>
      <w:r>
        <w:t xml:space="preserve"> </w:t>
      </w:r>
      <w:r>
        <w:t xml:space="preserve">de las ventas). Fue 622 M en el FY25 y 514 M en el FY26: positivo, pero no creciente.</w:t>
      </w:r>
    </w:p>
    <w:p>
      <w:pPr>
        <w:numPr>
          <w:ilvl w:val="0"/>
          <w:numId w:val="1005"/>
        </w:numPr>
        <w:pStyle w:val="Compact"/>
      </w:pPr>
      <w:r>
        <w:rPr>
          <w:bCs/>
          <w:b/>
        </w:rPr>
        <w:t xml:space="preserve">Regla del 40</w:t>
      </w:r>
      <w:r>
        <w:t xml:space="preserve">: 17,0 + 15,1 =</w:t>
      </w:r>
      <w:r>
        <w:t xml:space="preserve"> </w:t>
      </w:r>
      <w:r>
        <w:rPr>
          <w:bCs/>
          <w:b/>
        </w:rPr>
        <w:t xml:space="preserve">32,1</w:t>
      </w:r>
      <w:r>
        <w:t xml:space="preserve">.</w:t>
      </w:r>
    </w:p>
    <w:p>
      <w:pPr>
        <w:numPr>
          <w:ilvl w:val="0"/>
          <w:numId w:val="1005"/>
        </w:numPr>
        <w:pStyle w:val="Compact"/>
      </w:pPr>
      <w:r>
        <w:rPr>
          <w:bCs/>
          <w:b/>
        </w:rPr>
        <w:t xml:space="preserve">Apalancamiento operativo</w:t>
      </w:r>
      <w:r>
        <w:t xml:space="preserve">: la investigación se duplicó (44,5 M frente a 21,6 M) y los gastos generales subieron un 36 %, sobre todo por las compras. El beneficio operativo ajustado creció un 8 %, igual que las ventas.</w:t>
      </w:r>
    </w:p>
    <w:bookmarkEnd w:id="25"/>
    <w:bookmarkStart w:id="26" w:name="caja-deuda-y-dilución"/>
    <w:p>
      <w:pPr>
        <w:pStyle w:val="Heading2"/>
      </w:pPr>
      <w:r>
        <w:t xml:space="preserve">7. Caja, deuda y dilución</w:t>
      </w:r>
    </w:p>
    <w:p>
      <w:pPr>
        <w:numPr>
          <w:ilvl w:val="0"/>
          <w:numId w:val="1006"/>
        </w:numPr>
        <w:pStyle w:val="Compact"/>
      </w:pPr>
      <w:r>
        <w:rPr>
          <w:bCs/>
          <w:b/>
        </w:rPr>
        <w:t xml:space="preserve">Caja</w:t>
      </w:r>
      <w:r>
        <w:t xml:space="preserve">: 1.214 M a 3-jul-2026;</w:t>
      </w:r>
      <w:r>
        <w:t xml:space="preserve"> </w:t>
      </w:r>
      <w:r>
        <w:rPr>
          <w:bCs/>
          <w:b/>
        </w:rPr>
        <w:t xml:space="preserve">~1.018 M pro forma</w:t>
      </w:r>
      <w:r>
        <w:t xml:space="preserve"> </w:t>
      </w:r>
      <w:r>
        <w:t xml:space="preserve">tras pagar Prevalon (150 M) y Apex/Zigor (46 M) en julio. Falta el pago de Zimmermann (hasta 330 M EUR en efectivo y acciones) y hay hasta 200 M de pagos contingentes de las dos compras cerradas, que no se restan.</w:t>
      </w:r>
    </w:p>
    <w:p>
      <w:pPr>
        <w:numPr>
          <w:ilvl w:val="0"/>
          <w:numId w:val="1006"/>
        </w:numPr>
        <w:pStyle w:val="Compact"/>
      </w:pPr>
      <w:r>
        <w:rPr>
          <w:bCs/>
          <w:b/>
        </w:rPr>
        <w:t xml:space="preserve">Deuda</w:t>
      </w:r>
      <w:r>
        <w:t xml:space="preserve">: no tiene deuda financiera (38 M de arrendamientos y otros). Sí debe 374 M a Flex por el acuerdo de cesión fiscal (TRA), que se cuenta como deuda:</w:t>
      </w:r>
      <w:r>
        <w:t xml:space="preserve"> </w:t>
      </w:r>
      <w:r>
        <w:rPr>
          <w:bCs/>
          <w:b/>
        </w:rPr>
        <w:t xml:space="preserve">412 M en total</w:t>
      </w:r>
      <w:r>
        <w:t xml:space="preserve">. Línea de crédito de 1.000 M sin usar y calificación de grado de inversión [2].</w:t>
      </w:r>
    </w:p>
    <w:p>
      <w:pPr>
        <w:numPr>
          <w:ilvl w:val="0"/>
          <w:numId w:val="1006"/>
        </w:numPr>
        <w:pStyle w:val="Compact"/>
      </w:pPr>
      <w:r>
        <w:rPr>
          <w:bCs/>
          <w:b/>
        </w:rPr>
        <w:t xml:space="preserve">Pista</w:t>
      </w:r>
      <w:r>
        <w:t xml:space="preserve">: FCF positivo, no aplica.</w:t>
      </w:r>
    </w:p>
    <w:p>
      <w:pPr>
        <w:numPr>
          <w:ilvl w:val="0"/>
          <w:numId w:val="1006"/>
        </w:numPr>
        <w:pStyle w:val="Compact"/>
      </w:pPr>
      <w:r>
        <w:rPr>
          <w:bCs/>
          <w:b/>
        </w:rPr>
        <w:t xml:space="preserve">Dilución</w:t>
      </w:r>
      <w:r>
        <w:t xml:space="preserve">: +2,8 % en un año (acciones diluidas de 150,9 a 155,1 M), por pagos en acciones y opciones.</w:t>
      </w:r>
      <w:r>
        <w:t xml:space="preserve"> </w:t>
      </w:r>
      <w:r>
        <w:rPr>
          <w:bCs/>
          <w:b/>
        </w:rPr>
        <w:t xml:space="preserve">Pagos en acciones</w:t>
      </w:r>
      <w:r>
        <w:t xml:space="preserve">: 120 M en el FY26 (</w:t>
      </w:r>
      <w:r>
        <w:rPr>
          <w:bCs/>
          <w:b/>
        </w:rPr>
        <w:t xml:space="preserve">3,4 % de las ventas</w:t>
      </w:r>
      <w:r>
        <w:t xml:space="preserve">). Recompra autorizada de 500 M (ene-2026)</w:t>
      </w:r>
      <w:r>
        <w:t xml:space="preserve"> </w:t>
      </w:r>
      <w:r>
        <w:rPr>
          <w:bCs/>
          <w:b/>
        </w:rPr>
        <w:t xml:space="preserve">sin usar</w:t>
      </w:r>
      <w:r>
        <w:t xml:space="preserve">: se ha preferido comprar empresas.</w:t>
      </w:r>
    </w:p>
    <w:bookmarkEnd w:id="26"/>
    <w:bookmarkStart w:id="27" w:name="dirección-y-ejecución"/>
    <w:p>
      <w:pPr>
        <w:pStyle w:val="Heading2"/>
      </w:pPr>
      <w:r>
        <w:t xml:space="preserve">8. Dirección y ejecución</w:t>
      </w:r>
    </w:p>
    <w:p>
      <w:pPr>
        <w:numPr>
          <w:ilvl w:val="0"/>
          <w:numId w:val="1007"/>
        </w:numPr>
        <w:pStyle w:val="Compact"/>
      </w:pPr>
      <w:r>
        <w:rPr>
          <w:bCs/>
          <w:b/>
        </w:rPr>
        <w:t xml:space="preserve">Historial 5/5</w:t>
      </w:r>
      <w:r>
        <w:t xml:space="preserve">: subió la guía del FY26 tres veces y la batió por 8,8 pp; la del FY27 ya va por la tercera subida.</w:t>
      </w:r>
    </w:p>
    <w:p>
      <w:pPr>
        <w:numPr>
          <w:ilvl w:val="0"/>
          <w:numId w:val="1007"/>
        </w:numPr>
        <w:pStyle w:val="Compact"/>
      </w:pPr>
      <w:r>
        <w:rPr>
          <w:bCs/>
          <w:b/>
        </w:rPr>
        <w:t xml:space="preserve">Dirección 3/5</w:t>
      </w:r>
      <w:r>
        <w:t xml:space="preserve">: Dan Shugar, fundador y consejero delegado, sigue al mando y es el mayor activo de la empresa. Pero vende acciones con regularidad (unos 7 M USD en agosto a ~103 USD) y nadie de dentro compra. Además, la estrategia ha girado: cuatro compras en tres meses para dejar de ser solo fabricante de seguidores, que el mercado ha recibido mal (Jefferies, 26-jun). Hay pocos datos de rentabilidad de esas compras: Zimmermann tiene margen EBITDA del 15 %, por debajo del 25 % de la casa.</w:t>
      </w:r>
    </w:p>
    <w:bookmarkEnd w:id="27"/>
    <w:bookmarkStart w:id="28" w:name="valoración"/>
    <w:p>
      <w:pPr>
        <w:pStyle w:val="Heading2"/>
      </w:pPr>
      <w:r>
        <w:t xml:space="preserve">9. Valoración</w:t>
      </w:r>
    </w:p>
    <w:p>
      <w:pPr>
        <w:pStyle w:val="FirstParagraph"/>
      </w:pPr>
      <w:r>
        <w:rPr>
          <w:bCs/>
          <w:b/>
        </w:rPr>
        <w:t xml:space="preserve">Datos de partida</w:t>
      </w:r>
      <w:r>
        <w:t xml:space="preserve">: EV 13.198 M USD (88,77 × 155,5 M acciones + 412 de deuda y TRA − 1.018 de caja). EBITDA NTM 960 M →</w:t>
      </w:r>
      <w:r>
        <w:t xml:space="preserve"> </w:t>
      </w:r>
      <w:r>
        <w:rPr>
          <w:bCs/>
          <w:b/>
        </w:rPr>
        <w:t xml:space="preserve">13,7x</w:t>
      </w:r>
      <w:r>
        <w:t xml:space="preserve">. Mediana de 3 años ~9,8x y mínimo ~6,5x (reconstrucción propia, aproximada). Comparables: Array ~8,1x, Shoals ~15,7x y First Solar ~7,5x (mediana 8,1x). EV/ventas NTM 2,9x; EV/beneficio bruto NTM</w:t>
      </w:r>
      <w:r>
        <w:t xml:space="preserve"> </w:t>
      </w:r>
      <w:r>
        <w:rPr>
          <w:bCs/>
          <w:b/>
        </w:rPr>
        <w:t xml:space="preserve">8,8x</w:t>
      </w:r>
      <w:r>
        <w:t xml:space="preserve"> </w:t>
      </w:r>
      <w:r>
        <w:t xml:space="preserve">(el filtro pide ≤ 35).</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Escenario</w:t>
            </w:r>
          </w:p>
        </w:tc>
        <w:tc>
          <w:tcPr/>
          <w:p>
            <w:pPr>
              <w:pStyle w:val="Compact"/>
              <w:jc w:val="left"/>
            </w:pPr>
            <w:r>
              <w:t xml:space="preserve">Ventas a jun-2028 (M)</w:t>
            </w:r>
          </w:p>
        </w:tc>
        <w:tc>
          <w:tcPr/>
          <w:p>
            <w:pPr>
              <w:pStyle w:val="Compact"/>
              <w:jc w:val="left"/>
            </w:pPr>
            <w:r>
              <w:t xml:space="preserve">EV/EBITDA</w:t>
            </w:r>
          </w:p>
        </w:tc>
        <w:tc>
          <w:tcPr/>
          <w:p>
            <w:pPr>
              <w:pStyle w:val="Compact"/>
              <w:jc w:val="left"/>
            </w:pPr>
            <w:r>
              <w:t xml:space="preserve">Precio</w:t>
            </w:r>
          </w:p>
        </w:tc>
        <w:tc>
          <w:tcPr/>
          <w:p>
            <w:pPr>
              <w:pStyle w:val="Compact"/>
              <w:jc w:val="left"/>
            </w:pPr>
            <w:r>
              <w:t xml:space="preserve">Rentabilidad</w:t>
            </w:r>
          </w:p>
        </w:tc>
        <w:tc>
          <w:tcPr/>
          <w:p>
            <w:pPr>
              <w:pStyle w:val="Compact"/>
              <w:jc w:val="left"/>
            </w:pPr>
            <w:r>
              <w:t xml:space="preserve">Probabilidad</w:t>
            </w:r>
          </w:p>
        </w:tc>
      </w:tr>
      <w:tr>
        <w:tc>
          <w:tcPr/>
          <w:p>
            <w:pPr>
              <w:pStyle w:val="Compact"/>
              <w:jc w:val="left"/>
            </w:pPr>
            <w:r>
              <w:t xml:space="preserve">Bajista</w:t>
            </w:r>
          </w:p>
        </w:tc>
        <w:tc>
          <w:tcPr/>
          <w:p>
            <w:pPr>
              <w:pStyle w:val="Compact"/>
              <w:jc w:val="left"/>
            </w:pPr>
            <w:r>
              <w:t xml:space="preserve">4.110</w:t>
            </w:r>
          </w:p>
        </w:tc>
        <w:tc>
          <w:tcPr/>
          <w:p>
            <w:pPr>
              <w:pStyle w:val="Compact"/>
              <w:jc w:val="left"/>
            </w:pPr>
            <w:r>
              <w:t xml:space="preserve">5,8x</w:t>
            </w:r>
          </w:p>
        </w:tc>
        <w:tc>
          <w:tcPr/>
          <w:p>
            <w:pPr>
              <w:pStyle w:val="Compact"/>
              <w:jc w:val="left"/>
            </w:pPr>
            <w:r>
              <w:t xml:space="preserve">35,5 USD</w:t>
            </w:r>
          </w:p>
        </w:tc>
        <w:tc>
          <w:tcPr/>
          <w:p>
            <w:pPr>
              <w:pStyle w:val="Compact"/>
              <w:jc w:val="left"/>
            </w:pPr>
            <w:r>
              <w:t xml:space="preserve">−60,1 %</w:t>
            </w:r>
          </w:p>
        </w:tc>
        <w:tc>
          <w:tcPr/>
          <w:p>
            <w:pPr>
              <w:pStyle w:val="Compact"/>
              <w:jc w:val="left"/>
            </w:pPr>
            <w:r>
              <w:t xml:space="preserve">35 %</w:t>
            </w:r>
          </w:p>
        </w:tc>
      </w:tr>
      <w:tr>
        <w:tc>
          <w:tcPr/>
          <w:p>
            <w:pPr>
              <w:pStyle w:val="Compact"/>
              <w:jc w:val="left"/>
            </w:pPr>
            <w:r>
              <w:t xml:space="preserve">Base</w:t>
            </w:r>
          </w:p>
        </w:tc>
        <w:tc>
          <w:tcPr/>
          <w:p>
            <w:pPr>
              <w:pStyle w:val="Compact"/>
              <w:jc w:val="left"/>
            </w:pPr>
            <w:r>
              <w:t xml:space="preserve">4.619</w:t>
            </w:r>
          </w:p>
        </w:tc>
        <w:tc>
          <w:tcPr/>
          <w:p>
            <w:pPr>
              <w:pStyle w:val="Compact"/>
              <w:jc w:val="left"/>
            </w:pPr>
            <w:r>
              <w:t xml:space="preserve">9,6x</w:t>
            </w:r>
          </w:p>
        </w:tc>
        <w:tc>
          <w:tcPr/>
          <w:p>
            <w:pPr>
              <w:pStyle w:val="Compact"/>
              <w:jc w:val="left"/>
            </w:pPr>
            <w:r>
              <w:t xml:space="preserve">63,1 USD</w:t>
            </w:r>
          </w:p>
        </w:tc>
        <w:tc>
          <w:tcPr/>
          <w:p>
            <w:pPr>
              <w:pStyle w:val="Compact"/>
              <w:jc w:val="left"/>
            </w:pPr>
            <w:r>
              <w:t xml:space="preserve">−28,9 %</w:t>
            </w:r>
          </w:p>
        </w:tc>
        <w:tc>
          <w:tcPr/>
          <w:p>
            <w:pPr>
              <w:pStyle w:val="Compact"/>
              <w:jc w:val="left"/>
            </w:pPr>
            <w:r>
              <w:t xml:space="preserve">50 %</w:t>
            </w:r>
          </w:p>
        </w:tc>
      </w:tr>
      <w:tr>
        <w:tc>
          <w:tcPr/>
          <w:p>
            <w:pPr>
              <w:pStyle w:val="Compact"/>
              <w:jc w:val="left"/>
            </w:pPr>
            <w:r>
              <w:t xml:space="preserve">Alcista</w:t>
            </w:r>
          </w:p>
        </w:tc>
        <w:tc>
          <w:tcPr/>
          <w:p>
            <w:pPr>
              <w:pStyle w:val="Compact"/>
              <w:jc w:val="left"/>
            </w:pPr>
            <w:r>
              <w:t xml:space="preserve">4.831</w:t>
            </w:r>
          </w:p>
        </w:tc>
        <w:tc>
          <w:tcPr/>
          <w:p>
            <w:pPr>
              <w:pStyle w:val="Compact"/>
              <w:jc w:val="left"/>
            </w:pPr>
            <w:r>
              <w:t xml:space="preserve">12,5x</w:t>
            </w:r>
          </w:p>
        </w:tc>
        <w:tc>
          <w:tcPr/>
          <w:p>
            <w:pPr>
              <w:pStyle w:val="Compact"/>
              <w:jc w:val="left"/>
            </w:pPr>
            <w:r>
              <w:t xml:space="preserve">84,4 USD</w:t>
            </w:r>
          </w:p>
        </w:tc>
        <w:tc>
          <w:tcPr/>
          <w:p>
            <w:pPr>
              <w:pStyle w:val="Compact"/>
              <w:jc w:val="left"/>
            </w:pPr>
            <w:r>
              <w:t xml:space="preserve">−4,9 %</w:t>
            </w:r>
          </w:p>
        </w:tc>
        <w:tc>
          <w:tcPr/>
          <w:p>
            <w:pPr>
              <w:pStyle w:val="Compact"/>
              <w:jc w:val="left"/>
            </w:pPr>
            <w:r>
              <w:t xml:space="preserve">15 %</w:t>
            </w:r>
          </w:p>
        </w:tc>
      </w:tr>
      <w:tr>
        <w:tc>
          <w:tcPr/>
          <w:p>
            <w:pPr>
              <w:pStyle w:val="Compact"/>
              <w:jc w:val="left"/>
            </w:pPr>
            <w:r>
              <w:rPr>
                <w:bCs/>
                <w:b/>
              </w:rPr>
              <w:t xml:space="preserve">Ponderada (v11)</w:t>
            </w:r>
          </w:p>
        </w:tc>
        <w:tc>
          <w:tcPr/>
          <w:p>
            <w:pPr>
              <w:pStyle w:val="Compact"/>
            </w:pPr>
          </w:p>
        </w:tc>
        <w:tc>
          <w:tcPr/>
          <w:p>
            <w:pPr>
              <w:pStyle w:val="Compact"/>
            </w:pPr>
          </w:p>
        </w:tc>
        <w:tc>
          <w:tcPr/>
          <w:p>
            <w:pPr>
              <w:pStyle w:val="Compact"/>
              <w:jc w:val="left"/>
            </w:pPr>
            <w:r>
              <w:rPr>
                <w:bCs/>
                <w:b/>
              </w:rPr>
              <w:t xml:space="preserve">56,6 USD</w:t>
            </w:r>
          </w:p>
        </w:tc>
        <w:tc>
          <w:tcPr/>
          <w:p>
            <w:pPr>
              <w:pStyle w:val="Compact"/>
              <w:jc w:val="left"/>
            </w:pPr>
            <w:r>
              <w:rPr>
                <w:bCs/>
                <w:b/>
              </w:rPr>
              <w:t xml:space="preserve">−36,2 %</w:t>
            </w:r>
          </w:p>
        </w:tc>
        <w:tc>
          <w:tcPr/>
          <w:p>
            <w:pPr>
              <w:pStyle w:val="Compact"/>
            </w:pPr>
          </w:p>
        </w:tc>
      </w:tr>
    </w:tbl>
    <w:p>
      <w:pPr>
        <w:numPr>
          <w:ilvl w:val="0"/>
          <w:numId w:val="1008"/>
        </w:numPr>
        <w:pStyle w:val="Compact"/>
      </w:pPr>
      <w:r>
        <w:rPr>
          <w:bCs/>
          <w:b/>
        </w:rPr>
        <w:t xml:space="preserve">Ventas</w:t>
      </w:r>
      <w:r>
        <w:t xml:space="preserve">: proyección mecánica (13,8 % de partida, que decae). El analista da 4.300 / 5.200 / 5.800 M; el consenso para la misma ventana es</w:t>
      </w:r>
      <w:r>
        <w:t xml:space="preserve"> </w:t>
      </w:r>
      <w:r>
        <w:rPr>
          <w:bCs/>
          <w:b/>
        </w:rPr>
        <w:t xml:space="preserve">5.381 M</w:t>
      </w:r>
      <w:r>
        <w:t xml:space="preserve"> </w:t>
      </w:r>
      <w:r>
        <w:t xml:space="preserve">(3/4 del FY28 y 1/4 del FY29). v11 toma la menor en cada escenario, que aquí es siempre la mecánica.</w:t>
      </w:r>
    </w:p>
    <w:p>
      <w:pPr>
        <w:numPr>
          <w:ilvl w:val="0"/>
          <w:numId w:val="1008"/>
        </w:numPr>
        <w:pStyle w:val="Compact"/>
      </w:pPr>
      <w:r>
        <w:rPr>
          <w:bCs/>
          <w:b/>
        </w:rPr>
        <w:t xml:space="preserve">Múltiplo</w:t>
      </w:r>
      <w:r>
        <w:t xml:space="preserve">: base = 13,7x × 0,70. La regla rebaja un 30 %, el máximo, porque el crecimiento pasa del 24 % de los 12 meses siguientes (con compras) al 10 % del año objetivo.</w:t>
      </w:r>
    </w:p>
    <w:p>
      <w:pPr>
        <w:numPr>
          <w:ilvl w:val="0"/>
          <w:numId w:val="1008"/>
        </w:numPr>
        <w:pStyle w:val="Compact"/>
      </w:pPr>
      <w:r>
        <w:rPr>
          <w:bCs/>
          <w:b/>
        </w:rPr>
        <w:t xml:space="preserve">Probabilidades 35/50/15</w:t>
      </w:r>
      <w:r>
        <w:t xml:space="preserve"> </w:t>
      </w:r>
      <w:r>
        <w:t xml:space="preserve">(decisión del analista, método §2.4): el negocio depende de un hecho que no se repite. El 45X es el 30-44 % del EBITDA y se acaba, y la demanda de EE. UU. se adelanta por el final de los créditos de los clientes. Con 25/50/25 la ponderada sería −30,7 %: sigue en Vender.</w:t>
      </w:r>
    </w:p>
    <w:p>
      <w:pPr>
        <w:numPr>
          <w:ilvl w:val="0"/>
          <w:numId w:val="1008"/>
        </w:numPr>
        <w:pStyle w:val="Compact"/>
      </w:pPr>
      <w:r>
        <w:rPr>
          <w:bCs/>
          <w:b/>
        </w:rPr>
        <w:t xml:space="preserve">Dónde el método es duro con esta empresa (dicho claro)</w:t>
      </w:r>
      <w:r>
        <w:t xml:space="preserve">: (a) la proyección mecánica no incluye lo comprado, pero la caja ya descuenta lo que se pagó por Prevalon. (b) La rebaja del múltiplo compara un crecimiento con compras (24 %) con uno orgánico (10 %). La candidata</w:t>
      </w:r>
      <w:r>
        <w:t xml:space="preserve"> </w:t>
      </w:r>
      <w:r>
        <w:rPr>
          <w:bCs/>
          <w:b/>
        </w:rPr>
        <w:t xml:space="preserve">v12</w:t>
      </w:r>
      <w:r>
        <w:t xml:space="preserve">, que corrige las dos cosas, da</w:t>
      </w:r>
      <w:r>
        <w:t xml:space="preserve"> </w:t>
      </w:r>
      <w:r>
        <w:rPr>
          <w:bCs/>
          <w:b/>
        </w:rPr>
        <w:t xml:space="preserve">ponderada −10,7 %, base −0,3 %, bajista −44,8 %</w:t>
      </w:r>
      <w:r>
        <w:t xml:space="preserve">, objetivo ~79,3 USD y compra hasta 75,5 USD. Sigue en Vender por la puntuación. La v14 da casi lo mismo (−10,4 %, hasta 75,7 USD).</w:t>
      </w:r>
    </w:p>
    <w:p>
      <w:pPr>
        <w:numPr>
          <w:ilvl w:val="0"/>
          <w:numId w:val="1008"/>
        </w:numPr>
        <w:pStyle w:val="Compact"/>
      </w:pPr>
      <w:r>
        <w:rPr>
          <w:bCs/>
          <w:b/>
        </w:rPr>
        <w:t xml:space="preserve">Contraste con el consenso</w:t>
      </w:r>
      <w:r>
        <w:t xml:space="preserve">: objetivo medio de 135,71 USD (29 analistas, 19 compra fuerte). El consenso supone que el EBITDA sube a 1.143 M en el FY28 con las compras y que el múltiplo se mantiene; el método no paga ese múltiplo por un crecimiento comprado.</w:t>
      </w:r>
    </w:p>
    <w:p>
      <w:pPr>
        <w:numPr>
          <w:ilvl w:val="0"/>
          <w:numId w:val="1008"/>
        </w:numPr>
        <w:pStyle w:val="Compact"/>
      </w:pPr>
      <w:r>
        <w:rPr>
          <w:bCs/>
          <w:b/>
        </w:rPr>
        <w:t xml:space="preserve">DCF inverso</w:t>
      </w:r>
      <w:r>
        <w:t xml:space="preserve">: el precio de hoy descuenta que el FCF crezca un</w:t>
      </w:r>
      <w:r>
        <w:t xml:space="preserve"> </w:t>
      </w:r>
      <w:r>
        <w:rPr>
          <w:bCs/>
          <w:b/>
        </w:rPr>
        <w:t xml:space="preserve">~7,4 % al año durante 10 años</w:t>
      </w:r>
      <w:r>
        <w:t xml:space="preserve"> </w:t>
      </w:r>
      <w:r>
        <w:t xml:space="preserve">(9 % de descuento, 3 % a perpetuidad), con un FCF que hoy lleva el 45X dentro. No es exigente si el 45X se sustituye por otro margen; sí lo es si el 45X se va sin reemplazo después de 2032.</w:t>
      </w:r>
    </w:p>
    <w:bookmarkEnd w:id="28"/>
    <w:bookmarkStart w:id="29" w:name="foros-y-sentimiento"/>
    <w:p>
      <w:pPr>
        <w:pStyle w:val="Heading2"/>
      </w:pPr>
      <w:r>
        <w:t xml:space="preserve">10. Foros y sentimiento</w:t>
      </w:r>
    </w:p>
    <w:p>
      <w:pPr>
        <w:numPr>
          <w:ilvl w:val="0"/>
          <w:numId w:val="1009"/>
        </w:numPr>
        <w:pStyle w:val="Compact"/>
      </w:pPr>
      <w:r>
        <w:rPr>
          <w:bCs/>
          <w:b/>
        </w:rPr>
        <w:t xml:space="preserve">Foros</w:t>
      </w:r>
      <w:r>
        <w:t xml:space="preserve">: no se encontraron hilos relevantes de 2026 en Reddit, StockTwits, Rankia ni Investing.com España tras tres búsquedas [11]. Es poco seguido por el inversor particular.</w:t>
      </w:r>
    </w:p>
    <w:p>
      <w:pPr>
        <w:numPr>
          <w:ilvl w:val="0"/>
          <w:numId w:val="1009"/>
        </w:numPr>
        <w:pStyle w:val="Compact"/>
      </w:pPr>
      <w:r>
        <w:rPr>
          <w:bCs/>
          <w:b/>
        </w:rPr>
        <w:t xml:space="preserve">Prensa y analistas</w:t>
      </w:r>
      <w:r>
        <w:t xml:space="preserve">: la mayoría sigue en compra (19 compra fuerte, 7 compra, 3 mantener), pero los objetivos bajan desde julio. Las dudas se repiten: el ritmo de compras (Jefferies), el coste de financiación de las plantas solares (24-sep) y la caída de Array y del sector.</w:t>
      </w:r>
    </w:p>
    <w:p>
      <w:pPr>
        <w:numPr>
          <w:ilvl w:val="0"/>
          <w:numId w:val="1009"/>
        </w:numPr>
        <w:pStyle w:val="Compact"/>
      </w:pPr>
      <w:r>
        <w:rPr>
          <w:bCs/>
          <w:b/>
        </w:rPr>
        <w:t xml:space="preserve">¿Cambia?</w:t>
      </w:r>
      <w:r>
        <w:t xml:space="preserve"> </w:t>
      </w:r>
      <w:r>
        <w:t xml:space="preserve">Sí, a peor desde mayo. No hay euforia; hay cansancio. Los datos (cartera récord, EE. UU. +29 %) son mejores que el tono, pero el orgánico de ~10 % da la razón en parte a los escépticos.</w:t>
      </w:r>
    </w:p>
    <w:p>
      <w:pPr>
        <w:numPr>
          <w:ilvl w:val="0"/>
          <w:numId w:val="1009"/>
        </w:numPr>
        <w:pStyle w:val="Compact"/>
      </w:pPr>
      <w:r>
        <w:rPr>
          <w:bCs/>
          <w:b/>
        </w:rPr>
        <w:t xml:space="preserve">Riesgo de IA</w:t>
      </w:r>
      <w:r>
        <w:t xml:space="preserve">:</w:t>
      </w:r>
      <w:r>
        <w:t xml:space="preserve"> </w:t>
      </w:r>
      <w:r>
        <w:rPr>
          <w:bCs/>
          <w:b/>
        </w:rPr>
        <w:t xml:space="preserve">bajo como amenaza</w:t>
      </w:r>
      <w:r>
        <w:t xml:space="preserve">. Vende acero, motores y electrónica de potencia para obras físicas, y la IA no sustituye eso. La IA es más bien</w:t>
      </w:r>
      <w:r>
        <w:t xml:space="preserve"> </w:t>
      </w:r>
      <w:r>
        <w:rPr>
          <w:bCs/>
          <w:b/>
        </w:rPr>
        <w:t xml:space="preserve">demanda</w:t>
      </w:r>
      <w:r>
        <w:t xml:space="preserve">: los centros de datos necesitan electricidad, y Prevalon vende baterías para ellos (1,3 GW de contratos firmes). Lo que la IA no cambia es el riesgo político del 45X.</w:t>
      </w:r>
    </w:p>
    <w:bookmarkEnd w:id="29"/>
    <w:bookmarkStart w:id="30" w:name="riesgos-y-qué-rompería-la-tesis"/>
    <w:p>
      <w:pPr>
        <w:pStyle w:val="Heading2"/>
      </w:pPr>
      <w:r>
        <w:t xml:space="preserve">11. Riesgos y qué rompería la tesis</w:t>
      </w:r>
    </w:p>
    <w:p>
      <w:pPr>
        <w:numPr>
          <w:ilvl w:val="0"/>
          <w:numId w:val="1010"/>
        </w:numPr>
        <w:pStyle w:val="Compact"/>
      </w:pPr>
      <w:r>
        <w:rPr>
          <w:bCs/>
          <w:b/>
        </w:rPr>
        <w:t xml:space="preserve">Crédito 45X y reglas FEOC</w:t>
      </w:r>
      <w:r>
        <w:t xml:space="preserve"> </w:t>
      </w:r>
      <w:r>
        <w:t xml:space="preserve">(el mayor): ~30-44 % del EBITDA. Si un proveedor queda fuera por las reglas sobre empresas chinas, o si se recorta el crédito, el margen bruto bajaría unos 7 puntos (266 M de 45X en 12 meses sobre 3.630 M de ventas). Fin escalonado: −25 % al año desde 2030 y cero después de 2032.</w:t>
      </w:r>
    </w:p>
    <w:p>
      <w:pPr>
        <w:numPr>
          <w:ilvl w:val="0"/>
          <w:numId w:val="1010"/>
        </w:numPr>
        <w:pStyle w:val="Compact"/>
      </w:pPr>
      <w:r>
        <w:rPr>
          <w:bCs/>
          <w:b/>
        </w:rPr>
        <w:t xml:space="preserve">Hueco de demanda en EE. UU. tras 2028-2030</w:t>
      </w:r>
      <w:r>
        <w:t xml:space="preserve">, por el fin de los créditos 48E/45Y para la solar, que la ley OBBBA adelantó.</w:t>
      </w:r>
    </w:p>
    <w:p>
      <w:pPr>
        <w:numPr>
          <w:ilvl w:val="0"/>
          <w:numId w:val="1010"/>
        </w:numPr>
        <w:pStyle w:val="Compact"/>
      </w:pPr>
      <w:r>
        <w:rPr>
          <w:bCs/>
          <w:b/>
        </w:rPr>
        <w:t xml:space="preserve">Compras</w:t>
      </w:r>
      <w:r>
        <w:t xml:space="preserve">: cuatro en tres meses en negocios nuevos (baterías, inversores), donde compite con gigantes (Tesla, Fluence, Sungrow, SMA) y el margen es menor.</w:t>
      </w:r>
    </w:p>
    <w:p>
      <w:pPr>
        <w:numPr>
          <w:ilvl w:val="0"/>
          <w:numId w:val="1010"/>
        </w:numPr>
        <w:pStyle w:val="Compact"/>
      </w:pPr>
      <w:r>
        <w:rPr>
          <w:bCs/>
          <w:b/>
        </w:rPr>
        <w:t xml:space="preserve">Concentración creciente</w:t>
      </w:r>
      <w:r>
        <w:t xml:space="preserve">: cinco clientes son el 46 % de las ventas.</w:t>
      </w:r>
    </w:p>
    <w:p>
      <w:pPr>
        <w:numPr>
          <w:ilvl w:val="0"/>
          <w:numId w:val="1010"/>
        </w:numPr>
        <w:pStyle w:val="Compact"/>
      </w:pPr>
      <w:r>
        <w:rPr>
          <w:bCs/>
          <w:b/>
        </w:rPr>
        <w:t xml:space="preserve">Resto del mundo</w:t>
      </w:r>
      <w:r>
        <w:t xml:space="preserve"> </w:t>
      </w:r>
      <w:r>
        <w:t xml:space="preserve">cayendo un 40 %.</w:t>
      </w:r>
    </w:p>
    <w:p>
      <w:pPr>
        <w:numPr>
          <w:ilvl w:val="0"/>
          <w:numId w:val="1010"/>
        </w:numPr>
        <w:pStyle w:val="Compact"/>
      </w:pPr>
      <w:r>
        <w:rPr>
          <w:bCs/>
          <w:b/>
        </w:rPr>
        <w:t xml:space="preserve">Tipos de interés altos</w:t>
      </w:r>
      <w:r>
        <w:t xml:space="preserve">, que encarecen la financiación de las plantas.</w:t>
      </w:r>
    </w:p>
    <w:p>
      <w:pPr>
        <w:numPr>
          <w:ilvl w:val="0"/>
          <w:numId w:val="1011"/>
        </w:numPr>
        <w:pStyle w:val="Compact"/>
      </w:pPr>
      <w:r>
        <w:rPr>
          <w:bCs/>
          <w:b/>
        </w:rPr>
        <w:t xml:space="preserve">Alertas del motor (</w:t>
      </w:r>
      <w:r>
        <w:rPr>
          <w:rStyle w:val="VerbatimChar"/>
          <w:bCs/>
          <w:b/>
        </w:rPr>
        <w:t xml:space="preserve">calc.alertas</w:t>
      </w:r>
      <w:r>
        <w:rPr>
          <w:bCs/>
          <w:b/>
        </w:rPr>
        <w:t xml:space="preserve">)</w:t>
      </w:r>
      <w:r>
        <w:t xml:space="preserve">: ninguna, ni en v11 ni en v9. No hay proyección por encima de la del analista o del consenso, el múltiplo no dobla su mediana (1,4 veces), hay guía anual, el exceso es de 8,8 pp (menos de 10), hay</w:t>
      </w:r>
      <w:r>
        <w:t xml:space="preserve"> </w:t>
      </w:r>
      <w:r>
        <w:rPr>
          <w:rStyle w:val="VerbatimChar"/>
        </w:rPr>
        <w:t xml:space="preserve">ebitda_ntm_m</w:t>
      </w:r>
      <w:r>
        <w:t xml:space="preserve">, los clientes no están concentrados según la regla y los pagos en acciones son del 3,4 %.</w:t>
      </w:r>
    </w:p>
    <w:p>
      <w:pPr>
        <w:numPr>
          <w:ilvl w:val="0"/>
          <w:numId w:val="1011"/>
        </w:numPr>
        <w:pStyle w:val="Compact"/>
      </w:pPr>
      <w:r>
        <w:rPr>
          <w:bCs/>
          <w:b/>
        </w:rPr>
        <w:t xml:space="preserve">Señales de venta concretas</w:t>
      </w:r>
      <w:r>
        <w:t xml:space="preserve">, que también confirmarían la decisión de no comprar: orgánico por debajo del 5 % dos trimestres seguidos, recorte de la guía del FY27, pérdida del 45X de un proveedor importante o caída del margen bruto ajustado por debajo del 28 %.</w:t>
      </w:r>
    </w:p>
    <w:bookmarkEnd w:id="30"/>
    <w:bookmarkStart w:id="31" w:name="catalizadores-con-fecha"/>
    <w:p>
      <w:pPr>
        <w:pStyle w:val="Heading2"/>
      </w:pPr>
      <w:r>
        <w:t xml:space="preserve">12. Catalizadores con fecha</w:t>
      </w:r>
    </w:p>
    <w:p>
      <w:pPr>
        <w:numPr>
          <w:ilvl w:val="0"/>
          <w:numId w:val="1012"/>
        </w:numPr>
        <w:pStyle w:val="Compact"/>
      </w:pPr>
      <w:r>
        <w:rPr>
          <w:bCs/>
          <w:b/>
        </w:rPr>
        <w:t xml:space="preserve">Finales de octubre de 2026</w:t>
      </w:r>
      <w:r>
        <w:t xml:space="preserve">: resultados del 2T FY27 (fecha sin confirmar).</w:t>
      </w:r>
    </w:p>
    <w:p>
      <w:pPr>
        <w:numPr>
          <w:ilvl w:val="0"/>
          <w:numId w:val="1012"/>
        </w:numPr>
        <w:pStyle w:val="Compact"/>
      </w:pPr>
      <w:r>
        <w:rPr>
          <w:bCs/>
          <w:b/>
        </w:rPr>
        <w:t xml:space="preserve">16-nov-2026</w:t>
      </w:r>
      <w:r>
        <w:t xml:space="preserve">: segundo Capital Markets Day (RE+, Las Vegas), con un objetivo 2030 nuevo. El anterior era de 4.800-5.600 M de ventas en el FY30, que el consenso ya alcanza en el FY28 con las compras.</w:t>
      </w:r>
    </w:p>
    <w:p>
      <w:pPr>
        <w:numPr>
          <w:ilvl w:val="0"/>
          <w:numId w:val="1012"/>
        </w:numPr>
        <w:pStyle w:val="Compact"/>
      </w:pPr>
      <w:r>
        <w:rPr>
          <w:bCs/>
          <w:b/>
        </w:rPr>
        <w:t xml:space="preserve">2S FY27 (oct-2026 a mar-2027)</w:t>
      </w:r>
      <w:r>
        <w:t xml:space="preserve">: cierre de Zimmermann.</w:t>
      </w:r>
    </w:p>
    <w:p>
      <w:pPr>
        <w:numPr>
          <w:ilvl w:val="0"/>
          <w:numId w:val="1012"/>
        </w:numPr>
        <w:pStyle w:val="Compact"/>
      </w:pPr>
      <w:r>
        <w:rPr>
          <w:bCs/>
          <w:b/>
        </w:rPr>
        <w:t xml:space="preserve">Finales de 2026</w:t>
      </w:r>
      <w:r>
        <w:t xml:space="preserve">: reglamento propuesto del Tesoro sobre FEOC (45X y 48E/45Y).</w:t>
      </w:r>
    </w:p>
    <w:p>
      <w:pPr>
        <w:numPr>
          <w:ilvl w:val="0"/>
          <w:numId w:val="1012"/>
        </w:numPr>
        <w:pStyle w:val="Compact"/>
      </w:pPr>
      <w:r>
        <w:rPr>
          <w:bCs/>
          <w:b/>
        </w:rPr>
        <w:t xml:space="preserve">Jul-2027</w:t>
      </w:r>
      <w:r>
        <w:t xml:space="preserve">: entrega de 50 M en acciones a los vendedores de Prevalon.</w:t>
      </w:r>
    </w:p>
    <w:bookmarkEnd w:id="31"/>
    <w:bookmarkStart w:id="32" w:name="encaje-en-cartera"/>
    <w:p>
      <w:pPr>
        <w:pStyle w:val="Heading2"/>
      </w:pPr>
      <w:r>
        <w:t xml:space="preserve">13. Encaje en cartera</w:t>
      </w:r>
    </w:p>
    <w:p>
      <w:pPr>
        <w:numPr>
          <w:ilvl w:val="0"/>
          <w:numId w:val="1013"/>
        </w:numPr>
        <w:pStyle w:val="Compact"/>
      </w:pPr>
      <w:r>
        <w:rPr>
          <w:bCs/>
          <w:b/>
        </w:rPr>
        <w:t xml:space="preserve">Señal: Vender / no comprar. No entra</w:t>
      </w:r>
      <w:r>
        <w:t xml:space="preserve"> </w:t>
      </w:r>
      <w:r>
        <w:t xml:space="preserve">ni sustituye a nadie. El bolsillo growth está lleno (~20 %) con Nu (+19 % al precio actual con v11), Axon (+36 %), Shopify (+18 %), Snowflake (+13 %) y Samsara (+15 %), todas en Comprar. Una ponderada negativa no puede desplazar a ninguna, y con una liquidez de unos 27 EUR solo cabe sustituir.</w:t>
      </w:r>
    </w:p>
    <w:p>
      <w:pPr>
        <w:numPr>
          <w:ilvl w:val="0"/>
          <w:numId w:val="1013"/>
        </w:numPr>
        <w:pStyle w:val="Compact"/>
      </w:pPr>
      <w:r>
        <w:rPr>
          <w:bCs/>
          <w:b/>
        </w:rPr>
        <w:t xml:space="preserve">No entra en la lista de suplentes</w:t>
      </w:r>
      <w:r>
        <w:t xml:space="preserve"> </w:t>
      </w:r>
      <w:r>
        <w:t xml:space="preserve">(orden vigente: MongoDB, Toast, Zscaler, dLocal, Dexcom, argenx, Datadog, Saab, Natera). Todas están en Comprar; Nextpower queda entre las de «no comprar».</w:t>
      </w:r>
    </w:p>
    <w:p>
      <w:pPr>
        <w:numPr>
          <w:ilvl w:val="0"/>
          <w:numId w:val="1013"/>
        </w:numPr>
        <w:pStyle w:val="Compact"/>
      </w:pPr>
      <w:r>
        <w:rPr>
          <w:bCs/>
          <w:b/>
        </w:rPr>
        <w:t xml:space="preserve">Exposición a IA</w:t>
      </w:r>
      <w:r>
        <w:t xml:space="preserve">: con la venta de Alphabet mañana, la cartera pierde su apuesta directa en IA. Nextpower no sería un sustituto: su relación con la IA es indirecta (electricidad para centros de datos) y depende de la política de EE. UU.</w:t>
      </w:r>
    </w:p>
    <w:p>
      <w:pPr>
        <w:numPr>
          <w:ilvl w:val="0"/>
          <w:numId w:val="1013"/>
        </w:numPr>
        <w:pStyle w:val="Compact"/>
      </w:pPr>
      <w:r>
        <w:rPr>
          <w:bCs/>
          <w:b/>
        </w:rPr>
        <w:t xml:space="preserve">Frente a la cartera value</w:t>
      </w:r>
      <w:r>
        <w:t xml:space="preserve"> </w:t>
      </w:r>
      <w:r>
        <w:t xml:space="preserve">(</w:t>
      </w:r>
      <w:r>
        <w:rPr>
          <w:rStyle w:val="VerbatimChar"/>
        </w:rPr>
        <w:t xml:space="preserve">MEMORIA.md</w:t>
      </w:r>
      <w:r>
        <w:t xml:space="preserve">): no es juego ni comercio minorista, así que sería admisible, pero hoy no cumple el método growth y su calidad depende de un subsidio. Si interesa la tesis de «electricidad para la IA», en growth ya se analizaron Quanta, GE Vernova y Comfort Systems, y ninguna está en Comprar.</w:t>
      </w:r>
    </w:p>
    <w:p>
      <w:pPr>
        <w:numPr>
          <w:ilvl w:val="0"/>
          <w:numId w:val="1013"/>
        </w:numPr>
        <w:pStyle w:val="Compact"/>
      </w:pPr>
      <w:r>
        <w:rPr>
          <w:bCs/>
          <w:b/>
        </w:rPr>
        <w:t xml:space="preserve">Qué la cambiaría</w:t>
      </w:r>
      <w:r>
        <w:t xml:space="preserve">: crecimiento orgánico de nuevo por encima del 15 % y 3 o 4 señales de tendencia (precio sobre la media de 200 sesiones, revisiones al alza), lo que subiría la puntuación por encima de 60. Con v12, el precio para comprar estaría por debajo de ~75 USD; con v11, de 53,9 USD.</w:t>
      </w:r>
    </w:p>
    <w:bookmarkEnd w:id="32"/>
    <w:bookmarkStart w:id="34"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c>
          <w:tcPr/>
          <w:p>
            <w:pPr>
              <w:pStyle w:val="Compact"/>
              <w:jc w:val="left"/>
            </w:pPr>
            <w:r>
              <w:t xml:space="preserve">Por qué</w:t>
            </w:r>
          </w:p>
        </w:tc>
      </w:tr>
      <w:tr>
        <w:tc>
          <w:tcPr/>
          <w:p>
            <w:pPr>
              <w:pStyle w:val="Compact"/>
              <w:jc w:val="left"/>
            </w:pPr>
            <w:r>
              <w:t xml:space="preserve">A. Crecimiento</w:t>
            </w:r>
          </w:p>
        </w:tc>
        <w:tc>
          <w:tcPr/>
          <w:p>
            <w:pPr>
              <w:pStyle w:val="Compact"/>
              <w:jc w:val="left"/>
            </w:pPr>
            <w:r>
              <w:t xml:space="preserve">6,7</w:t>
            </w:r>
          </w:p>
        </w:tc>
        <w:tc>
          <w:tcPr/>
          <w:p>
            <w:pPr>
              <w:pStyle w:val="Compact"/>
              <w:jc w:val="left"/>
            </w:pPr>
            <w:r>
              <w:t xml:space="preserve">25</w:t>
            </w:r>
          </w:p>
        </w:tc>
        <w:tc>
          <w:tcPr/>
          <w:p>
            <w:pPr>
              <w:pStyle w:val="Compact"/>
              <w:jc w:val="left"/>
            </w:pPr>
            <w:r>
              <w:t xml:space="preserve">+17,0 % en 12 meses, CAGR del 15,1 % y aceleración de −14,7 pp</w:t>
            </w:r>
          </w:p>
        </w:tc>
      </w:tr>
      <w:tr>
        <w:tc>
          <w:tcPr/>
          <w:p>
            <w:pPr>
              <w:pStyle w:val="Compact"/>
              <w:jc w:val="left"/>
            </w:pPr>
            <w:r>
              <w:t xml:space="preserve">B. Mercado y tecnología</w:t>
            </w:r>
          </w:p>
        </w:tc>
        <w:tc>
          <w:tcPr/>
          <w:p>
            <w:pPr>
              <w:pStyle w:val="Compact"/>
              <w:jc w:val="left"/>
            </w:pPr>
            <w:r>
              <w:t xml:space="preserve">13,3</w:t>
            </w:r>
          </w:p>
        </w:tc>
        <w:tc>
          <w:tcPr/>
          <w:p>
            <w:pPr>
              <w:pStyle w:val="Compact"/>
              <w:jc w:val="left"/>
            </w:pPr>
            <w:r>
              <w:t xml:space="preserve">20</w:t>
            </w:r>
          </w:p>
        </w:tc>
        <w:tc>
          <w:tcPr/>
          <w:p>
            <w:pPr>
              <w:pStyle w:val="Compact"/>
              <w:jc w:val="left"/>
            </w:pPr>
            <w:r>
              <w:t xml:space="preserve">Penetración del 18 % (2/5), tecnología 3/5, posición 5/5</w:t>
            </w:r>
          </w:p>
        </w:tc>
      </w:tr>
      <w:tr>
        <w:tc>
          <w:tcPr/>
          <w:p>
            <w:pPr>
              <w:pStyle w:val="Compact"/>
              <w:jc w:val="left"/>
            </w:pPr>
            <w:r>
              <w:t xml:space="preserve">C. Cambio de tendencia</w:t>
            </w:r>
          </w:p>
        </w:tc>
        <w:tc>
          <w:tcPr/>
          <w:p>
            <w:pPr>
              <w:pStyle w:val="Compact"/>
              <w:jc w:val="left"/>
            </w:pPr>
            <w:r>
              <w:t xml:space="preserve">2,5</w:t>
            </w:r>
          </w:p>
        </w:tc>
        <w:tc>
          <w:tcPr/>
          <w:p>
            <w:pPr>
              <w:pStyle w:val="Compact"/>
              <w:jc w:val="left"/>
            </w:pPr>
            <w:r>
              <w:t xml:space="preserve">20</w:t>
            </w:r>
          </w:p>
        </w:tc>
        <w:tc>
          <w:tcPr/>
          <w:p>
            <w:pPr>
              <w:pStyle w:val="Compact"/>
              <w:jc w:val="left"/>
            </w:pPr>
            <w:r>
              <w:t xml:space="preserve">1 de 8 señales (catalizador)</w:t>
            </w:r>
          </w:p>
        </w:tc>
      </w:tr>
      <w:tr>
        <w:tc>
          <w:tcPr/>
          <w:p>
            <w:pPr>
              <w:pStyle w:val="Compact"/>
              <w:jc w:val="left"/>
            </w:pPr>
            <w:r>
              <w:t xml:space="preserve">D. Economía unitaria</w:t>
            </w:r>
          </w:p>
        </w:tc>
        <w:tc>
          <w:tcPr/>
          <w:p>
            <w:pPr>
              <w:pStyle w:val="Compact"/>
              <w:jc w:val="left"/>
            </w:pPr>
            <w:r>
              <w:t xml:space="preserve">8,0</w:t>
            </w:r>
          </w:p>
        </w:tc>
        <w:tc>
          <w:tcPr/>
          <w:p>
            <w:pPr>
              <w:pStyle w:val="Compact"/>
              <w:jc w:val="left"/>
            </w:pPr>
            <w:r>
              <w:t xml:space="preserve">15</w:t>
            </w:r>
          </w:p>
        </w:tc>
        <w:tc>
          <w:tcPr/>
          <w:p>
            <w:pPr>
              <w:pStyle w:val="Compact"/>
              <w:jc w:val="left"/>
            </w:pPr>
            <w:r>
              <w:t xml:space="preserve">Margen bruto del 33 %, regla del 40 de 32, FCF positivo pero no creciente</w:t>
            </w:r>
          </w:p>
        </w:tc>
      </w:tr>
      <w:tr>
        <w:tc>
          <w:tcPr/>
          <w:p>
            <w:pPr>
              <w:pStyle w:val="Compact"/>
              <w:jc w:val="left"/>
            </w:pPr>
            <w:r>
              <w:t xml:space="preserve">E. Caja y dilución</w:t>
            </w:r>
          </w:p>
        </w:tc>
        <w:tc>
          <w:tcPr/>
          <w:p>
            <w:pPr>
              <w:pStyle w:val="Compact"/>
              <w:jc w:val="left"/>
            </w:pPr>
            <w:r>
              <w:t xml:space="preserve">8,0</w:t>
            </w:r>
          </w:p>
        </w:tc>
        <w:tc>
          <w:tcPr/>
          <w:p>
            <w:pPr>
              <w:pStyle w:val="Compact"/>
              <w:jc w:val="left"/>
            </w:pPr>
            <w:r>
              <w:t xml:space="preserve">10</w:t>
            </w:r>
          </w:p>
        </w:tc>
        <w:tc>
          <w:tcPr/>
          <w:p>
            <w:pPr>
              <w:pStyle w:val="Compact"/>
              <w:jc w:val="left"/>
            </w:pPr>
            <w:r>
              <w:t xml:space="preserve">FCF positivo, dilución del 2,8 %</w:t>
            </w:r>
          </w:p>
        </w:tc>
      </w:tr>
      <w:tr>
        <w:tc>
          <w:tcPr/>
          <w:p>
            <w:pPr>
              <w:pStyle w:val="Compact"/>
              <w:jc w:val="left"/>
            </w:pPr>
            <w:r>
              <w:t xml:space="preserve">F. Ejecución y dirección</w:t>
            </w:r>
          </w:p>
        </w:tc>
        <w:tc>
          <w:tcPr/>
          <w:p>
            <w:pPr>
              <w:pStyle w:val="Compact"/>
              <w:jc w:val="left"/>
            </w:pPr>
            <w:r>
              <w:t xml:space="preserve">8,0</w:t>
            </w:r>
          </w:p>
        </w:tc>
        <w:tc>
          <w:tcPr/>
          <w:p>
            <w:pPr>
              <w:pStyle w:val="Compact"/>
              <w:jc w:val="left"/>
            </w:pPr>
            <w:r>
              <w:t xml:space="preserve">10</w:t>
            </w:r>
          </w:p>
        </w:tc>
        <w:tc>
          <w:tcPr/>
          <w:p>
            <w:pPr>
              <w:pStyle w:val="Compact"/>
              <w:jc w:val="left"/>
            </w:pPr>
            <w:r>
              <w:t xml:space="preserve">Historial 5/5, dirección 3/5</w:t>
            </w:r>
          </w:p>
        </w:tc>
      </w:tr>
      <w:tr>
        <w:tc>
          <w:tcPr/>
          <w:p>
            <w:pPr>
              <w:pStyle w:val="Compact"/>
              <w:jc w:val="left"/>
            </w:pPr>
            <w:r>
              <w:rPr>
                <w:bCs/>
                <w:b/>
              </w:rPr>
              <w:t xml:space="preserve">Total</w:t>
            </w:r>
          </w:p>
        </w:tc>
        <w:tc>
          <w:tcPr/>
          <w:p>
            <w:pPr>
              <w:pStyle w:val="Compact"/>
              <w:jc w:val="left"/>
            </w:pPr>
            <w:r>
              <w:rPr>
                <w:bCs/>
                <w:b/>
              </w:rPr>
              <w:t xml:space="preserve">46,5</w:t>
            </w:r>
          </w:p>
        </w:tc>
        <w:tc>
          <w:tcPr/>
          <w:p>
            <w:pPr>
              <w:pStyle w:val="Compact"/>
              <w:jc w:val="left"/>
            </w:pPr>
            <w:r>
              <w:rPr>
                <w:bCs/>
                <w:b/>
              </w:rPr>
              <w:t xml:space="preserve">100</w:t>
            </w:r>
          </w:p>
        </w:tc>
        <w:tc>
          <w:tcPr/>
          <w:p>
            <w:pPr>
              <w:pStyle w:val="Compact"/>
              <w:jc w:val="left"/>
            </w:pPr>
            <w:r>
              <w:t xml:space="preserve">Por debajo de 50: Vender / no comprar</w:t>
            </w:r>
          </w:p>
        </w:tc>
      </w:tr>
    </w:tbl>
    <w:bookmarkStart w:id="33" w:name="pruebas-de-robustez"/>
    <w:p>
      <w:pPr>
        <w:pStyle w:val="Heading3"/>
      </w:pPr>
      <w:r>
        <w:t xml:space="preserve">Pruebas de robustez</w:t>
      </w:r>
    </w:p>
    <w:p>
      <w:pPr>
        <w:pStyle w:val="FirstParagraph"/>
      </w:pPr>
      <w:r>
        <w:rPr>
          <w:rStyle w:val="VerbatimChar"/>
        </w:rPr>
        <w:t xml:space="preserve">node herramientas/robustez-growth.mjs informes-growth/nextracker-2026-10-14 --precios</w:t>
      </w:r>
      <w:r>
        <w:t xml:space="preserve">:</w:t>
      </w:r>
      <w:r>
        <w:t xml:space="preserve"> </w:t>
      </w:r>
      <w:r>
        <w:rPr>
          <w:bCs/>
          <w:b/>
        </w:rPr>
        <w:t xml:space="preserve">SÓLIDA, señal robusta: Vender</w:t>
      </w:r>
      <w:r>
        <w:t xml:space="preserve">. Todas las variantes dan Vender: v7 (−36,2 %); ventas del analista (−28,2 %); probabilidades 25/50/25 (−30,7 %) y 35/50/15 (−36,2 %); precio de hoy con el objetivo fijo (−31,4 %). Hay dos avisos, que no cambian la señal. (1) El objetivo se movería con el precio si se recalculara el motor: por eso se deja fijo el objetivo de 56,6 USD y el límite de 53,9 USD. (2) El bajista llega al −60 %. Además, la v12 (−10,7 %) y la v14 (−10,4 %) también dan Vender. Ni siquiera un giro de la tendencia cambiaría hoy la señal: con 5 de 8 señales a favor, la puntuación subiría a 56,5, pero la ponderada de v11 (−36 %) seguiría mandando Vender.</w:t>
      </w:r>
    </w:p>
    <w:bookmarkEnd w:id="33"/>
    <w:bookmarkEnd w:id="34"/>
    <w:bookmarkStart w:id="35" w:name="fuentes"/>
    <w:p>
      <w:pPr>
        <w:pStyle w:val="Heading2"/>
      </w:pPr>
      <w:r>
        <w:t xml:space="preserve">Fuentes</w:t>
      </w:r>
    </w:p>
    <w:p>
      <w:pPr>
        <w:pStyle w:val="FirstParagraph"/>
      </w:pPr>
      <w:r>
        <w:t xml:space="preserve">[1] Nextpower, nota de resultados del 1T FY27 (8-K, ex. 99.1, 30-jul-2026, SEC EDGAR) y notas del 4T FY26 (12-may-2026), 3T FY26 (27-ene-2026), 2T FY26 (23-oct-2025), 1T FY26 (29-jul-2025) y 4T FY25 (14-may-2025): ventas, márgenes, EBITDA ajustado, 45X, cartera y guías sucesivas.</w:t>
      </w:r>
      <w:r>
        <w:t xml:space="preserve"> </w:t>
      </w:r>
      <w:r>
        <w:t xml:space="preserve">[2] SEC EDGAR: 10-Q del 1T FY27 (3-ago-2026): ventas por región, créditos 45X de proveedores (103,3 M), clientes (A 16 %, cinco mayores 46 %), compras de Prevalon y Apex/Zigor, TRA de 373,8 M, línea de crédito, 151,73 M acciones a 24-jul, OBBBA, 45X y FEOC. XBRL companyfacts (CIK 1852131). 10-K del FY26.</w:t>
      </w:r>
      <w:r>
        <w:t xml:space="preserve"> </w:t>
      </w:r>
      <w:r>
        <w:t xml:space="preserve">[3] SEC: formularios 4 de 2026; 8-K del 12-nov-2025 (Nextpower, objetivo FY30), 28-may-2026 (Prevalon y guía), 22-jun-2026 (Zimmermann).</w:t>
      </w:r>
      <w:r>
        <w:t xml:space="preserve"> </w:t>
      </w:r>
      <w:r>
        <w:t xml:space="preserve">[4] Yahoo Finance chart API (NXT, SPY, QQQ; cierre de 88,77 USD el 13-oct; 82,56 USD el 14-oct a las 20:00 UTC) y Nasdaq.com (cierre de 88,77 USD el 13-oct; rango 84,72-89,56).</w:t>
      </w:r>
      <w:r>
        <w:t xml:space="preserve"> </w:t>
      </w:r>
      <w:r>
        <w:t xml:space="preserve">[5] stockanalysis.com: consenso de 29 analistas (objetivo medio 135,71 USD; ventas FY27 4.340 M y FY28 5.210 M; BPA 4,68 y 5,72) y estadísticas (deuda 38,4 M; 6,4 % de las acciones a corto).</w:t>
      </w:r>
      <w:r>
        <w:t xml:space="preserve"> </w:t>
      </w:r>
      <w:r>
        <w:t xml:space="preserve">[6] MarketScreener: ventas, EBITDA y FCF de consenso para el FY27-FY29 e histórico del FY23-FY26.</w:t>
      </w:r>
      <w:r>
        <w:t xml:space="preserve"> </w:t>
      </w:r>
      <w:r>
        <w:t xml:space="preserve">[7] Investing.com: «Why is Nextpower stock sliding today?» (26-jun-2026; Jefferies) y «Nextpower beats Q1 estimates but shares edge lower as guidance disappoints» (30-jul-2026).</w:t>
      </w:r>
      <w:r>
        <w:t xml:space="preserve"> </w:t>
      </w:r>
      <w:r>
        <w:t xml:space="preserve">[8] 24/7 Wall St (24-sep-2026), sobre la caída del sector solar; stockanalysis.com: Array, Shoals y First Solar (14-oct-2026).</w:t>
      </w:r>
      <w:r>
        <w:t xml:space="preserve"> </w:t>
      </w:r>
      <w:r>
        <w:t xml:space="preserve">[9] Resumen de la llamada del 1T FY27 (Equibles); MarketBeat y TickerReport (cambios de precio objetivo).</w:t>
      </w:r>
      <w:r>
        <w:t xml:space="preserve"> </w:t>
      </w:r>
      <w:r>
        <w:t xml:space="preserve">[10] Estimaciones propias: EBITDA y ventas NTM, valor de empresa, múltiplos históricos reconstruidos y DCF inverso (detalle en</w:t>
      </w:r>
      <w:r>
        <w:t xml:space="preserve"> </w:t>
      </w:r>
      <w:r>
        <w:rPr>
          <w:rStyle w:val="VerbatimChar"/>
        </w:rPr>
        <w:t xml:space="preserve">datos.json</w:t>
      </w:r>
      <w:r>
        <w:t xml:space="preserve">).</w:t>
      </w:r>
      <w:r>
        <w:t xml:space="preserve"> </w:t>
      </w:r>
      <w:r>
        <w:t xml:space="preserve">[11] Búsqueda de foros sin resultados relevantes (Reddit, StockTwits, Rankia, Investing.com ES).</w:t>
      </w:r>
      <w:r>
        <w:t xml:space="preserve"> </w:t>
      </w:r>
      <w:r>
        <w:t xml:space="preserve">[12] Mercado alcanzable: estimación propia con rangos de Wood Mackenzie (de memoria) y el 8-K del 28-may-2026.</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2026-10-14T20:31:42Z</dcterms:created>
  <dcterms:modified xsi:type="dcterms:W3CDTF">2026-10-14T20:31:42Z</dcterms:modified>
</cp:coreProperties>
</file>

<file path=docProps/custom.xml><?xml version="1.0" encoding="utf-8"?>
<Properties xmlns="http://schemas.openxmlformats.org/officeDocument/2006/custom-properties" xmlns:vt="http://schemas.openxmlformats.org/officeDocument/2006/docPropsVTypes"/>
</file>