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8b9579e5e4e9ee34dc839fbe5f4f3c19fcc852"/>
    <w:p>
      <w:pPr>
        <w:pStyle w:val="Heading1"/>
      </w:pPr>
      <w:r>
        <w:t xml:space="preserve">TG Therapeutics (TGTX): análisis growth, 14-oct-2026</w:t>
      </w:r>
    </w:p>
    <w:p>
      <w:pPr>
        <w:pStyle w:val="FirstParagraph"/>
      </w:pPr>
      <w:r>
        <w:rPr>
          <w:bCs/>
          <w:b/>
        </w:rPr>
        <w:t xml:space="preserve">Señal (método v11, vigente): Mantener, en vigilancia</w:t>
      </w:r>
      <w:r>
        <w:t xml:space="preserve"> </w:t>
      </w:r>
      <w:r>
        <w:t xml:space="preserve">· Puntuación 73/100 · Señales de cambio de tendencia 5/8 · EV/beneficio bruto NTM 9,4x</w:t>
      </w:r>
      <w:r>
        <w:t xml:space="preserve"> </w:t>
      </w:r>
      <w:r>
        <w:t xml:space="preserve">Precio 54,34 USD (cierre del 13-oct) · Objetivo a 12 meses 55,3 USD · Rentabilidad ponderada +1,8 % · Caso base +14,0 % · Bajista −46,6 % · Alcista +74,6 % · Compra hasta 52,7 USD</w:t>
      </w:r>
      <w:r>
        <w:t xml:space="preserve"> </w:t>
      </w:r>
      <w:r>
        <w:rPr>
          <w:bCs/>
          <w:b/>
        </w:rPr>
        <w:t xml:space="preserve">Al precio actual</w:t>
      </w:r>
      <w:r>
        <w:t xml:space="preserve"> </w:t>
      </w:r>
      <w:r>
        <w:t xml:space="preserve">(54,37 USD, cierre del 14-oct, 20:00 UTC; objetivo fijo): ponderada +1,7 %.</w:t>
      </w:r>
      <w:r>
        <w:t xml:space="preserve"> </w:t>
      </w:r>
      <w:r>
        <w:t xml:space="preserve">Referencia v9: Comprar con convicción baja y ponderada +31,7 %, porque proyecta 1.932 M de ventas, un 33 % más que el consenso; v11 usa las ventas del informe (1.450 M, como el consenso) y por eso no compra.</w:t>
      </w:r>
      <w:r>
        <w:t xml:space="preserve"> </w:t>
      </w:r>
      <w:r>
        <w:t xml:space="preserve">Candidata v14 (no vigente): Mantener sin vigilancia, ponderada −2,8 %, compra hasta 50,3 USD.</w:t>
      </w:r>
      <w:r>
        <w:t xml:space="preserve"> </w:t>
      </w:r>
      <w:r>
        <w:t xml:space="preserve">Alertas de robustez (</w:t>
      </w:r>
      <w:r>
        <w:rPr>
          <w:rStyle w:val="VerbatimChar"/>
        </w:rPr>
        <w:t xml:space="preserve">calc.alertas</w:t>
      </w:r>
      <w:r>
        <w:t xml:space="preserve">): tres (sección 11). Prueba de robustez:</w:t>
      </w:r>
      <w:r>
        <w:t xml:space="preserve"> </w:t>
      </w:r>
      <w:r>
        <w:rPr>
          <w:bCs/>
          <w:b/>
        </w:rPr>
        <w:t xml:space="preserve">FRÁGIL, Mantener</w:t>
      </w:r>
      <w:r>
        <w:t xml:space="preserve"> </w:t>
      </w:r>
      <w:r>
        <w:t xml:space="preserve">(sección 11).</w:t>
      </w:r>
      <w:r>
        <w:t xml:space="preserve"> </w:t>
      </w:r>
      <w:r>
        <w:t xml:space="preserve">Peso orientativo:</w:t>
      </w:r>
      <w:r>
        <w:t xml:space="preserve"> </w:t>
      </w:r>
      <w:r>
        <w:rPr>
          <w:bCs/>
          <w:b/>
        </w:rPr>
        <w:t xml:space="preserve">no entra</w:t>
      </w:r>
      <w:r>
        <w:t xml:space="preserve">. No sustituye a nadie ni entra en la lista de suplentes (sección 13).</w:t>
      </w:r>
    </w:p>
    <w:p>
      <w:pPr>
        <w:pStyle w:val="BlockText"/>
      </w:pPr>
      <w:r>
        <w:rPr>
          <w:bCs/>
          <w:b/>
        </w:rPr>
        <w:t xml:space="preserve">Valorada por EV/ventas de los 12 meses siguientes</w:t>
      </w:r>
      <w:r>
        <w:t xml:space="preserve">, no por EV/EBITDA: TG gana dinero solo desde mediados de 2024, el flujo de caja libre de 12 meses es del 2 % de las ventas y en 2026 el margen de explotación ha bajado del 25 % al 9 % por la inversión en el Briumvi subcutáneo. No es rentable de forma estable; con EBITDA saldría un múltiplo de 58x sin sentido. Lectura en una línea: el fármaco vende muy bien y la empresa no para de subir la guía, pero tras subir un 59 % en un año el precio ya descuenta las ventas que espera el consenso; el método la deja en vigilancia y compraría por debajo de 52,7 USD.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TG vende</w:t>
      </w:r>
      <w:r>
        <w:t xml:space="preserve"> </w:t>
      </w:r>
      <w:r>
        <w:rPr>
          <w:bCs/>
          <w:b/>
        </w:rPr>
        <w:t xml:space="preserve">Briumvi</w:t>
      </w:r>
      <w:r>
        <w:t xml:space="preserve"> </w:t>
      </w:r>
      <w:r>
        <w:t xml:space="preserve">(ublituximab), un anticuerpo anti-CD20 para la esclerosis múltiple recurrente que se pone en infusión de una hora dos veces al año. Es casi el 100 % de sus ingresos:</w:t>
      </w:r>
      <w:r>
        <w:t xml:space="preserve"> </w:t>
      </w:r>
      <w:r>
        <w:rPr>
          <w:bCs/>
          <w:b/>
        </w:rPr>
        <w:t xml:space="preserve">799,5 M USD en 12 meses (+76 %)</w:t>
      </w:r>
      <w:r>
        <w:t xml:space="preserve">, con un 82 % de margen bruto [1][2].</w:t>
      </w:r>
    </w:p>
    <w:p>
      <w:pPr>
        <w:numPr>
          <w:ilvl w:val="0"/>
          <w:numId w:val="1001"/>
        </w:numPr>
        <w:pStyle w:val="Compact"/>
      </w:pPr>
      <w:r>
        <w:t xml:space="preserve">Ha subido la guía en casi cada trimestre desde el lanzamiento: para 2026 espera</w:t>
      </w:r>
      <w:r>
        <w:t xml:space="preserve"> </w:t>
      </w:r>
      <w:r>
        <w:rPr>
          <w:bCs/>
          <w:b/>
        </w:rPr>
        <w:t xml:space="preserve">~950 M de ingresos</w:t>
      </w:r>
      <w:r>
        <w:t xml:space="preserve"> </w:t>
      </w:r>
      <w:r>
        <w:t xml:space="preserve">(+54 %) y el consenso ve</w:t>
      </w:r>
      <w:r>
        <w:t xml:space="preserve"> </w:t>
      </w:r>
      <w:r>
        <w:rPr>
          <w:bCs/>
          <w:b/>
        </w:rPr>
        <w:t xml:space="preserve">1.320 M en 2027</w:t>
      </w:r>
      <w:r>
        <w:t xml:space="preserve"> </w:t>
      </w:r>
      <w:r>
        <w:t xml:space="preserve">(+37 %) [1][10].</w:t>
      </w:r>
    </w:p>
    <w:p>
      <w:pPr>
        <w:numPr>
          <w:ilvl w:val="0"/>
          <w:numId w:val="1001"/>
        </w:numPr>
        <w:pStyle w:val="Compact"/>
      </w:pPr>
      <w:r>
        <w:t xml:space="preserve">Compite con dos gigantes:</w:t>
      </w:r>
      <w:r>
        <w:t xml:space="preserve"> </w:t>
      </w:r>
      <w:r>
        <w:rPr>
          <w:bCs/>
          <w:b/>
        </w:rPr>
        <w:t xml:space="preserve">Ocrevus</w:t>
      </w:r>
      <w:r>
        <w:t xml:space="preserve"> </w:t>
      </w:r>
      <w:r>
        <w:t xml:space="preserve">de Roche (con versión subcutánea, Zunovo) y</w:t>
      </w:r>
      <w:r>
        <w:t xml:space="preserve"> </w:t>
      </w:r>
      <w:r>
        <w:rPr>
          <w:bCs/>
          <w:b/>
        </w:rPr>
        <w:t xml:space="preserve">Kesimpta</w:t>
      </w:r>
      <w:r>
        <w:t xml:space="preserve"> </w:t>
      </w:r>
      <w:r>
        <w:t xml:space="preserve">de Novartis (pluma mensual en casa). La gran baza de TG es su</w:t>
      </w:r>
      <w:r>
        <w:t xml:space="preserve"> </w:t>
      </w:r>
      <w:r>
        <w:rPr>
          <w:bCs/>
          <w:b/>
        </w:rPr>
        <w:t xml:space="preserve">Briumvi subcutáneo trimestral y en casa</w:t>
      </w:r>
      <w:r>
        <w:t xml:space="preserve">, con datos de fase 3 a finales de 2026 o principios de 2027 [5].</w:t>
      </w:r>
    </w:p>
    <w:p>
      <w:pPr>
        <w:numPr>
          <w:ilvl w:val="0"/>
          <w:numId w:val="1001"/>
        </w:numPr>
        <w:pStyle w:val="Compact"/>
      </w:pPr>
      <w:r>
        <w:t xml:space="preserve">El precio es razonable para lo que crece:</w:t>
      </w:r>
      <w:r>
        <w:t xml:space="preserve"> </w:t>
      </w:r>
      <w:r>
        <w:rPr>
          <w:bCs/>
          <w:b/>
        </w:rPr>
        <w:t xml:space="preserve">7,75x las ventas de los 12 meses siguientes</w:t>
      </w:r>
      <w:r>
        <w:t xml:space="preserve"> </w:t>
      </w:r>
      <w:r>
        <w:t xml:space="preserve">(9,4x el beneficio bruto), algo por encima de su mediana de 3 años (6,8x) y de comparables (7,3x). El DCF inverso pide un 10,7 % anual a 10 años.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Mantener en vigilancia</w:t>
      </w:r>
      <w:r>
        <w:t xml:space="preserve">. Con las ventas del consenso, el caso base da +14 %, pero el bajista (−47 %) pesa un 35 % por depender de un solo producto, y la media ponderada se queda en +1,8 %. Compraría por debajo de</w:t>
      </w:r>
      <w:r>
        <w:t xml:space="preserve"> </w:t>
      </w:r>
      <w:r>
        <w:rPr>
          <w:bCs/>
          <w:b/>
        </w:rPr>
        <w:t xml:space="preserve">52,7 USD</w:t>
      </w:r>
      <w:r>
        <w:t xml:space="preserve">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TG Therapeutics (Nueva York) licenció ublituximab de LFB (Francia) en 2012 y lo llevó a la aprobación de la FDA en diciembre de 2022 para la esclerosis múltiple recurrente. Tiene 399 empleados y subcontrata toda la fabricación [3].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Qué tiene de distinto</w:t>
      </w:r>
      <w:r>
        <w:t xml:space="preserve">: es un anti-CD20 «glicoingenierizado» (sin ciertos azúcares), que elimina los linfocitos B con dosis bajas y permite una</w:t>
      </w:r>
      <w:r>
        <w:t xml:space="preserve"> </w:t>
      </w:r>
      <w:r>
        <w:rPr>
          <w:bCs/>
          <w:b/>
        </w:rPr>
        <w:t xml:space="preserve">infusión de una hora cada seis meses</w:t>
      </w:r>
      <w:r>
        <w:t xml:space="preserve">, frente a las 2-3,5 horas de Ocrevus intravenoso [1].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Cómo vende</w:t>
      </w:r>
      <w:r>
        <w:t xml:space="preserve">: en EE. UU., a través de cuatro distribuidores especializados que sirven a centros de infusión y neurólogos. Fuera de EE. UU. lo vende</w:t>
      </w:r>
      <w:r>
        <w:t xml:space="preserve"> </w:t>
      </w:r>
      <w:r>
        <w:rPr>
          <w:bCs/>
          <w:b/>
        </w:rPr>
        <w:t xml:space="preserve">Neuraxpharm</w:t>
      </w:r>
      <w:r>
        <w:t xml:space="preserve"> </w:t>
      </w:r>
      <w:r>
        <w:t xml:space="preserve">(pagó 140 M de entrada y paga regalías de dos dígitos hasta el 30 %) [2].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Lo que paga a terceros</w:t>
      </w:r>
      <w:r>
        <w:t xml:space="preserve">: regalías a</w:t>
      </w:r>
      <w:r>
        <w:t xml:space="preserve"> </w:t>
      </w:r>
      <w:r>
        <w:rPr>
          <w:bCs/>
          <w:b/>
        </w:rPr>
        <w:t xml:space="preserve">LFB</w:t>
      </w:r>
      <w:r>
        <w:t xml:space="preserve"> </w:t>
      </w:r>
      <w:r>
        <w:t xml:space="preserve">de un dígito medio a alto sobre las ventas (24,4 M en el 2T26, dentro del coste de ventas); si azer-cel llega al mercado, regalías a Precision BioSciences de un dígito alto a dos dígitos bajos [2].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Lo que viene</w:t>
      </w:r>
      <w:r>
        <w:t xml:space="preserve">: Briumvi subcutáneo trimestral (fase 3 completa; datos a finales de 2026 o principios de 2027), pauta de inicio en una sola infusión (fase 3 ENHANCE positiva, solicitud a la FDA en el 2S26), miastenia gravis y esquizofrenia (fase 2), y</w:t>
      </w:r>
      <w:r>
        <w:t xml:space="preserve"> </w:t>
      </w:r>
      <w:r>
        <w:rPr>
          <w:bCs/>
          <w:b/>
        </w:rPr>
        <w:t xml:space="preserve">azer-cel</w:t>
      </w:r>
      <w:r>
        <w:t xml:space="preserve">, una terapia celular CAR-T para esclerosis múltiple progresiva (datos en el 2S26) [1][5].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Tecnología 3/5</w:t>
      </w:r>
      <w:r>
        <w:t xml:space="preserve">: buen fármaco con ventaja de comodidad, patentes hasta 2042 y exclusividad de biológico hasta diciembre de 2034 [3], pero hay alternativas casi equivalentes (Ocrevus, Kesimpta).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Posición 3/5</w:t>
      </w:r>
      <w:r>
        <w:t xml:space="preserve">: tercer anti-CD20 en EE. UU., ganando cuota con fuerza (~10 % del mercado), lejos de Ocrevus.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Briumvi EE. UU.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227,7</w:t>
            </w:r>
          </w:p>
        </w:tc>
      </w:tr>
    </w:tbl>
    <w:p>
      <w:pPr>
        <w:pStyle w:val="BodyText"/>
      </w:pPr>
      <w:r>
        <w:t xml:space="preserve">Fuentes: [1][4][13].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(subida tres veces)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875-900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 (subida dos veces)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12 meses</w:t>
      </w:r>
      <w:r>
        <w:t xml:space="preserve">:</w:t>
      </w:r>
      <w:r>
        <w:t xml:space="preserve"> </w:t>
      </w:r>
      <w:r>
        <w:rPr>
          <w:bCs/>
          <w:b/>
        </w:rPr>
        <w:t xml:space="preserve">799,5 M USD, +76,1 %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51,9 %</w:t>
      </w:r>
      <w:r>
        <w:t xml:space="preserve"> </w:t>
      </w:r>
      <w:r>
        <w:t xml:space="preserve">(sin el pago único de Neuraxpharm de 2023 sería mayor).</w:t>
      </w:r>
      <w:r>
        <w:t xml:space="preserve"> </w:t>
      </w:r>
      <w:r>
        <w:rPr>
          <w:bCs/>
          <w:b/>
        </w:rPr>
        <w:t xml:space="preserve">Aceleración: −12,8 puntos</w:t>
      </w:r>
      <w:r>
        <w:t xml:space="preserve">: sigue creciendo muy rápido, pero cada trimestre un poco menos.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 (para v9)</w:t>
      </w:r>
      <w:r>
        <w:t xml:space="preserve">:</w:t>
      </w:r>
      <w:r>
        <w:t xml:space="preserve"> </w:t>
      </w:r>
      <w:r>
        <w:rPr>
          <w:rStyle w:val="VerbatimChar"/>
        </w:rPr>
        <w:t xml:space="preserve">guia_12m_pct</w:t>
      </w:r>
      <w:r>
        <w:t xml:space="preserve"> </w:t>
      </w:r>
      <w:r>
        <w:t xml:space="preserve">= 42,4 % (2S26 implícito: 950 − 445 = 505 M frente a 354 M del 2S25) y</w:t>
      </w:r>
      <w:r>
        <w:t xml:space="preserve"> </w:t>
      </w:r>
      <w:r>
        <w:rPr>
          <w:rStyle w:val="VerbatimChar"/>
        </w:rPr>
        <w:t xml:space="preserve">exceso_guia_pp</w:t>
      </w:r>
      <w:r>
        <w:t xml:space="preserve"> </w:t>
      </w:r>
      <w:r>
        <w:t xml:space="preserve">= +23,2 puntos (2025: creció un 87 % cuando la primera guía decía 64 %). En 2026 bate menos (unos 10 puntos). Partida v9 = 65,6 %, por encima del tope mecánico (60 %): no recorta.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 en el ejercicio objetivo: ~10.000 M USD</w:t>
      </w:r>
      <w:r>
        <w:t xml:space="preserve"> </w:t>
      </w:r>
      <w:r>
        <w:t xml:space="preserve">(estimación propia): anticuerpos anti-CD20 en esclerosis múltiple en EE. UU. Ocrevus vendió 7.600 M USD en todo el mundo en 2024 y Kesimpta 4.400 M en 2025 (+36 %) [16]; EE. UU. es algo más de la mitad. Penetración de Briumvi: 8 %.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Ocrevus (Roche, líder, intravenoso cada seis meses y, desde 2024, subcutáneo Zunovo en consulta) y Kesimpta (Novartis, pluma mensual en casa) [17, de memoria]. A más largo plazo, los inhibidores de BTK, pastillas que podrían cambiar el tratamiento [17].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 cuota</w:t>
      </w:r>
      <w:r>
        <w:t xml:space="preserve">: infusión más corta, buen perfil de eficacia y una red comercial agresiva. Si el</w:t>
      </w:r>
      <w:r>
        <w:t xml:space="preserve"> </w:t>
      </w:r>
      <w:r>
        <w:rPr>
          <w:bCs/>
          <w:b/>
        </w:rPr>
        <w:t xml:space="preserve">subcutáneo trimestral</w:t>
      </w:r>
      <w:r>
        <w:t xml:space="preserve"> </w:t>
      </w:r>
      <w:r>
        <w:t xml:space="preserve">sale bien, sería el único anti-CD20 en casa cada tres meses (Kesimpta es mensual) y abriría el segmento de autoadministración [5].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Riesgo de la IA</w:t>
      </w:r>
      <w:r>
        <w:t xml:space="preserve">: bajo. Es un fármaco biológico protegido por patentes y por la regulación; la IA no amenaza sus ventas en los próximos años. Tampoco es una apuesta por la IA.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2026 subida el 3-ago a ~950 M; consenso 2026 en 960 M; J.P. Morgan sube el objetivo de 65 a 72 USD (11-ago)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54,34 frente a 42,1, y la media sube (35,9 hace 60 sesiones)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+61 % frente a +16 % del IBB y +20 % del Nasdaq-100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Mejora de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~4,5x (mar-2026) a 7,75x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de explotación del 2T26 9 % frente a 25 % un año antes, por el gasto en el subcutáneo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Foros muy alcistas, pero el 21,6 % de las acciones está vendido en corto, Bank of America en Vender y la acción lleva cuatro meses plana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[10][11][12]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compra de directivos en 2026; solo la empresa recompra (200 M a 29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en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en noviembre; fase 3 del subcutáneo a finales de 2026 o principios de 2027; solicitud de ENHANCE; datos de azer-cel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[1][5]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</w:t>
      </w:r>
      <w:r>
        <w:t xml:space="preserve">. Sube un 59 % en 12 meses, lejos del 150 % de la regla, y el EV/beneficio bruto es 9,4.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 82,4 %</w:t>
      </w:r>
      <w:r>
        <w:t xml:space="preserve">, después de pagar las regalías a LFB y la fabricación externa [3].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Beneficio de explotación de 12 meses 136 M (17 %)</w:t>
      </w:r>
      <w:r>
        <w:t xml:space="preserve">, pero el del 2T26 bajó al 9 % por 55 M de gasto en fabricar el subcutáneo y poner en marcha un segundo fabricante; la empresa dice que es un gasto de 2026 [1].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Flujo de caja libre de 12 meses 17 M (2,2 %)</w:t>
      </w:r>
      <w:r>
        <w:t xml:space="preserve">: poco, porque las cuentas a cobrar (402 M, casi dos trimestres de ventas) y el inventario (223 M) crecen más que el beneficio. Mejora: −41 M en 2024, −25 M en 2025 [2][13].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40: 78</w:t>
      </w:r>
      <w:r>
        <w:t xml:space="preserve">, muy buena por el crecimiento.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Camino</w:t>
      </w:r>
      <w:r>
        <w:t xml:space="preserve">: ya gana dinero. Si el gasto del subcutáneo cae en 2027 y el circulante deja de crecer tanto, el flujo de caja debería subir con fuerza (el consenso espera un beneficio por acción de 2,71 USD en 2027) [10].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e inversiones 612 M; deuda 750 M</w:t>
      </w:r>
      <w:r>
        <w:t xml:space="preserve"> </w:t>
      </w:r>
      <w:r>
        <w:t xml:space="preserve">(préstamo de Blue Owl hasta 2031, con garantía sobre todos los activos). Deuda neta ~140 M [2].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flujo de caja libre positivo; la empresa dice que no necesita más capital [2].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 las acciones diluidas bajan un 3,2 % en un año por las recompras (200 M a 29 USD de media, muy por debajo del precio de hoy). Quedan 200 M autorizados [6].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acciones: 10,2 % de las ventas</w:t>
      </w:r>
      <w:r>
        <w:t xml:space="preserve"> </w:t>
      </w:r>
      <w:r>
        <w:t xml:space="preserve">(81 M), por debajo del 15 % que el método marca en rojo.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Michael Weiss</w:t>
      </w:r>
      <w:r>
        <w:t xml:space="preserve">, presidente y consejero delegado desde 2011; directivos y consejeros tienen el 8,9 % [14].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5/5</w:t>
      </w:r>
      <w:r>
        <w:t xml:space="preserve">: desde el lanzamiento ha subido la guía casi cada trimestre y ha batido sus metas trimestrales. Antes, en 2022, tuvo que retirar otro fármaco (Ukoniq) por seguridad [17, de memoria].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3/5</w:t>
      </w:r>
      <w:r>
        <w:t xml:space="preserve">: recompras baratas y bien hechas, pero pagos en acciones altos (750.000 acciones restringidas a Weiss en 2025 y 622.000 en 2026), un préstamo de 750 M con garantía sobre todo para recomprar y financiar el subcutáneo, y cuentas a cobrar muy altas que conviene vigilar [2][3][7].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Método</w:t>
      </w:r>
      <w:r>
        <w:t xml:space="preserve">: EV/ventas de los 12 meses siguientes. EV hoy 8.684 M (54,34 × 157,3 M de acciones + 750 de deuda − 612 de caja); ventas NTM ~1.120 M (+40 %) →</w:t>
      </w:r>
      <w:r>
        <w:t xml:space="preserve"> </w:t>
      </w:r>
      <w:r>
        <w:rPr>
          <w:bCs/>
          <w:b/>
        </w:rPr>
        <w:t xml:space="preserve">7,75x</w:t>
      </w:r>
      <w:r>
        <w:t xml:space="preserve"> </w:t>
      </w:r>
      <w:r>
        <w:t xml:space="preserve">[15].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a jun-2028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−46,6 %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+74,6 %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+1,8 %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</w:t>
      </w:r>
      <w:r>
        <w:t xml:space="preserve">: las del informe, iguales al consenso de la ventana (~1.450 M; 2027 publicado, 2028 supuesto). La proyección mecánica daba 1.932 M (parte de un crecimiento del 60 % y lo baja poco a poco); v11 toma la menor. Bajista: el subcutáneo falla o se retrasa y Ocrevus y Kesimpta frenan la cuota con descuentos. Alcista: subcutáneo aprobado en 2027 y adoptado rápido.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Probabilidades 35/50/15</w:t>
      </w:r>
      <w:r>
        <w:t xml:space="preserve">: depende de un producto (Briumvi, ~98 % de los ingresos).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</w:t>
      </w:r>
      <w:r>
        <w:t xml:space="preserve">: objetivo medio de los analistas 69,7 USD (+28 %; mediana 75; Bank of America 21) [10]. PER adelantado de 2027: 54,34 / 2,71 =</w:t>
      </w:r>
      <w:r>
        <w:t xml:space="preserve"> </w:t>
      </w:r>
      <w:r>
        <w:rPr>
          <w:bCs/>
          <w:b/>
        </w:rPr>
        <w:t xml:space="preserve">20x</w:t>
      </w:r>
      <w:r>
        <w:t xml:space="preserve">.</w:t>
      </w:r>
      <w:r>
        <w:t xml:space="preserve"> </w:t>
      </w:r>
      <w:r>
        <w:rPr>
          <w:bCs/>
          <w:b/>
        </w:rPr>
        <w:t xml:space="preserve">DCF inverso</w:t>
      </w:r>
      <w:r>
        <w:t xml:space="preserve">: el precio pide un 10,7 % anual de crecimiento a 10 años con un 35 % de margen de caja; exigente pero alcanzable si Briumvi llega a ~2.000 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Qué la haría comprable</w:t>
      </w:r>
      <w:r>
        <w:t xml:space="preserve">: un precio por debajo de 52,7 USD, o resultados que suban las ventas esperadas de 2027-2028 sin que suba el precio.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(13-14 oct): 17 alcistas, 0 bajistas y 13 neutros de 30 mensajes. Hablan del final del ensayo del subcutáneo (31-oct), de compras en las caídas, de las posiciones cortas («a los cortos se les acaba el tiempo») y de una posible compra de la empresa [12].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Analistas</w:t>
      </w:r>
      <w:r>
        <w:t xml:space="preserve">: 7 de 8 recomiendan comprar; Bank of America mantiene Vender con 21 USD desde el lanzamiento [10].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Posiciones cortas</w:t>
      </w:r>
      <w:r>
        <w:t xml:space="preserve">: 21,6 % de las acciones (16,5 días para cubrir) [11]: hay un bando bajista grande y convencido.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</w:t>
      </w:r>
      <w:r>
        <w:t xml:space="preserve">: el caso bajista que más se repite es la dependencia de un solo producto (Walnut Invest, julio) [12].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 y foros en castellano</w:t>
      </w:r>
      <w:r>
        <w:t xml:space="preserve"> </w:t>
      </w:r>
      <w:r>
        <w:t xml:space="preserve">(Rankia, Investing.com ES): sin hilos recientes encontrados.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entusiasmo de los foros tiene base (ventas y guía al alza), pero la acción lleva cuatro meses plana: el mercado ya pagó en junio la buena noticia del subcutáneo.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pStyle w:val="FirstParagraph"/>
      </w:pPr>
      <w:r>
        <w:rPr>
          <w:bCs/>
          <w:b/>
        </w:rPr>
        <w:t xml:space="preserve">Alertas de robustez del motor (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Proyección mecánica (1.932 M) más de 1,2 veces la del informe (1.450 M)</w:t>
      </w:r>
      <w:r>
        <w:t xml:space="preserve">: el motor proyecta el crecimiento del lanzamiento (60 %), que ya está frenando. v11 usa las ventas del informe, que son las del consenso.</w:t>
      </w:r>
      <w:r>
        <w:t xml:space="preserve"> </w:t>
      </w:r>
      <w:r>
        <w:rPr>
          <w:bCs/>
          <w:b/>
        </w:rPr>
        <w:t xml:space="preserve">No debilita la señal; explica por qué v9 compraría y v11 no.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Exceso sobre la guía de 23,2 puntos</w:t>
      </w:r>
      <w:r>
        <w:t xml:space="preserve">: viene de 2025, el primer año grande del lanzamiento, cuando la guía inicial era muy prudente. En 2026 bate unos 10 puntos y en las metas trimestrales unos 5. Con v11 no importa (manda el informe), pero confirma que la mecánica es demasiado optimista.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Dos clientes suman el 68 % de las ventas</w:t>
      </w:r>
      <w:r>
        <w:t xml:space="preserve">: son distribuidores mayoristas, no clientes finales; la demanda está repartida entre miles de centros. El riesgo real es de cobro: 402 M de cuentas a cobrar.</w:t>
      </w:r>
      <w:r>
        <w:t xml:space="preserve"> </w:t>
      </w:r>
      <w:r>
        <w:rPr>
          <w:bCs/>
          <w:b/>
        </w:rPr>
        <w:t xml:space="preserve">Debilita un poco la calidad del flujo de caja, no la señal.</w:t>
      </w:r>
    </w:p>
    <w:p>
      <w:pPr>
        <w:pStyle w:val="BodyText"/>
      </w:pPr>
      <w:r>
        <w:rPr>
          <w:bCs/>
          <w:b/>
        </w:rPr>
        <w:t xml:space="preserve">Prueba de robustez</w:t>
      </w:r>
      <w:r>
        <w:t xml:space="preserve"> </w:t>
      </w:r>
      <w:r>
        <w:t xml:space="preserve">(</w:t>
      </w:r>
      <w:r>
        <w:rPr>
          <w:rStyle w:val="VerbatimChar"/>
        </w:rPr>
        <w:t xml:space="preserve">herramientas/robustez-growth.mjs --precios</w:t>
      </w:r>
      <w:r>
        <w:t xml:space="preserve">):</w:t>
      </w:r>
      <w:r>
        <w:t xml:space="preserve"> </w:t>
      </w:r>
      <w:r>
        <w:rPr>
          <w:bCs/>
          <w:b/>
        </w:rPr>
        <w:t xml:space="preserve">FRÁGIL, Mantener</w:t>
      </w:r>
      <w:r>
        <w:t xml:space="preserve">. La señal cambia a Comprar con v7 (+31,7 %) y con pesos 25/50/25 (+14,0 %); se mantiene con v11, con las ventas del informe y al precio de hoy con el objetivo fijo (+1,7 %). Lectura: la decisión depende de pesar más el bajista por ser un solo producto. Es lo que pide el método (§2.4) y lo que hacen los demás informes de un solo fármaco, así que se mantiene; pero no es una señal de venta clara. Avisos: el objetivo se deja fijo (55,3 USD) al revisar el precio; el bajista es del −47 %, así que si algún día entra, en tramos y con poco peso.</w:t>
      </w:r>
    </w:p>
    <w:p>
      <w:pPr>
        <w:pStyle w:val="BodyText"/>
      </w:pPr>
      <w:r>
        <w:rPr>
          <w:bCs/>
          <w:b/>
        </w:rPr>
        <w:t xml:space="preserve">Riesgos principales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 solo producto</w:t>
      </w:r>
      <w:r>
        <w:t xml:space="preserve">: cualquier problema de seguridad, de suministro (fabricación externa) o de precio afecta a todo.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Competencia</w:t>
      </w:r>
      <w:r>
        <w:t xml:space="preserve">: Ocrevus Zunovo y Kesimpta pueden frenar la cuota con descuentos; los inhibidores de BTK pueden cambiar el tratamiento en unos años.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3 del subcutáneo</w:t>
      </w:r>
      <w:r>
        <w:t xml:space="preserve"> </w:t>
      </w:r>
      <w:r>
        <w:t xml:space="preserve">(finales de 2026 o principios de 2027): si falla, se pierde el principal motor del caso alcista; la acción subió un 50 % en junio tras la fase 1.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Circulante</w:t>
      </w:r>
      <w:r>
        <w:t xml:space="preserve">: cuentas a cobrar de casi dos trimestres de ventas; si los distribuidores alargan aún más los pagos, el flujo de caja no llega.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Deuda</w:t>
      </w:r>
      <w:r>
        <w:t xml:space="preserve">: 750 M con garantía sobre todos los activos; asumible con el beneficio actual, pero reduce el margen de error.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Precio</w:t>
      </w:r>
      <w:r>
        <w:t xml:space="preserve">: posiciones cortas del 21,6 %; cualquier decepción puede provocar caídas fuertes.</w:t>
      </w:r>
    </w:p>
    <w:p>
      <w:pPr>
        <w:pStyle w:val="BodyText"/>
      </w:pPr>
      <w:r>
        <w:rPr>
          <w:bCs/>
          <w:b/>
        </w:rPr>
        <w:t xml:space="preserve">Señales de venta concretas</w:t>
      </w:r>
      <w:r>
        <w:t xml:space="preserve">: dos trimestres seguidos con Briumvi EE. UU. creciendo menos del 30 %; recorte de la guía; fracaso de la fase 3 del subcutáneo; un problema de seguridad nuevo.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0"/>
        </w:numPr>
        <w:pStyle w:val="Compact"/>
      </w:pPr>
      <w:r>
        <w:t xml:space="preserve">Principios de noviembre de 2026: resultados del 3T.</w:t>
      </w:r>
    </w:p>
    <w:p>
      <w:pPr>
        <w:numPr>
          <w:ilvl w:val="0"/>
          <w:numId w:val="1010"/>
        </w:numPr>
        <w:pStyle w:val="Compact"/>
      </w:pPr>
      <w:r>
        <w:t xml:space="preserve">2S 2026: solicitud a la FDA de la pauta de inicio en una sola infusión (ENHANCE) y primeros datos de azer-cel en esclerosis múltiple progresiva.</w:t>
      </w:r>
    </w:p>
    <w:p>
      <w:pPr>
        <w:numPr>
          <w:ilvl w:val="0"/>
          <w:numId w:val="1010"/>
        </w:numPr>
        <w:pStyle w:val="Compact"/>
      </w:pPr>
      <w:r>
        <w:t xml:space="preserve">Finales de 2026 o 1T 2027: datos de fase 3 del Briumvi subcutáneo.</w:t>
      </w:r>
    </w:p>
    <w:p>
      <w:pPr>
        <w:numPr>
          <w:ilvl w:val="0"/>
          <w:numId w:val="1010"/>
        </w:numPr>
        <w:pStyle w:val="Compact"/>
      </w:pPr>
      <w:r>
        <w:t xml:space="preserve">Enero de 2027: guía de 2027 (conferencia de J.P. Morgan).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entra.</w:t>
      </w:r>
      <w:r>
        <w:t xml:space="preserve"> </w:t>
      </w:r>
      <w:r>
        <w:t xml:space="preserve">Señal Mantener en vigilancia: ponderada +1,8 % con el método vigente y +1,7 % al precio actual con el objetivo fijo. Le falta rentabilidad: compraría por debajo de 52,7 USD (un 3 % por debajo del precio de hoy).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Bolsillo growth lleno</w:t>
      </w:r>
      <w:r>
        <w:t xml:space="preserve"> </w:t>
      </w:r>
      <w:r>
        <w:t xml:space="preserve">(~20 %): Nu (+19 %), Axon (+36 %), Shopify (+18 %), Snowflake (+13 %) y Samsara (+15 %), con v11 al precio actual. Liquidez de ≈27 EUR: solo se podría entrar sustituyendo a una. TG no sustituye a ninguna: su rentabilidad esperada es mucho menor que la de las cinco.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Suplentes</w:t>
      </w:r>
      <w:r>
        <w:t xml:space="preserve">: no entra en la lista (MongoDB, Toast, Zscaler, dLocal, Dexcom, argenx, Datadog, Saab, Natera). Va a «Mantener», como Glaukos: en vigilancia, con límite de 52,7 USD.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Exposición</w:t>
      </w:r>
      <w:r>
        <w:t xml:space="preserve">: sería otra biotecnológica de un solo producto, como argenx (suplente, Vyvgart). No suma exposición a IA (la venta de Alphabet de mañana no cambia nada aquí).</w:t>
      </w:r>
    </w:p>
    <w:p>
      <w:pPr>
        <w:numPr>
          <w:ilvl w:val="0"/>
          <w:numId w:val="1011"/>
        </w:numPr>
        <w:pStyle w:val="Compact"/>
      </w:pPr>
      <w:r>
        <w:t xml:space="preserve">Se revisa con los resultados del 3T (noviembre) y los datos del subcutáneo.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de 12 meses +76 % (5), CAGR a 2 años 52 % (5), aceleración −12,8 puntos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8 % (3), tecnología 3, posición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 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82 % (5), regla del 40 de 78 (5), flujo de caja positivo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 caja positivo (5), acciones a la baja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Mejoras de método propuestas</w:t>
      </w:r>
      <w:r>
        <w:t xml:space="preserve"> </w:t>
      </w:r>
      <w:r>
        <w:t xml:space="preserve">(no aplicadas; para 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Exceso sobre la guía en lanzamientos</w:t>
      </w:r>
      <w:r>
        <w:t xml:space="preserve">: el exceso del primer año grande de un lanzamiento (aquí +23 puntos en 2025) no se repite. v12 ya propone usar el del año en curso cuando cumple justo (≤ 2 puntos); se propone ampliarlo a usar siempre el menor de los dos años cuando el del año en curso ya se conoce (aquí ~10 puntos). Con v11 no cambia nada (manda la proyección del informe), pero sí con v9.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Alerta de calidad del flujo de caja</w:t>
      </w:r>
      <w:r>
        <w:t xml:space="preserve">: cuando las cuentas a cobrar superan los 120 días de ventas (aquí ~150 días), avisar de que el flujo de caja positivo es frágil y puede deberse al circulante. No cambia cifras.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TG Therapeutics, resultados del 2T 2026 (3-ago-2026), 8-K ex. 99.1 (SEC): ingresos 240,3 M, Briumvi EE. UU. 227,7 M (+64 %), guía 2026 de ~950 M, I+D del subcutáneo 54,6 M, caja e inversiones 612,3 M.</w:t>
      </w:r>
      <w:r>
        <w:t xml:space="preserve"> </w:t>
      </w:r>
      <w:r>
        <w:t xml:space="preserve">[2] TG Therapeutics, 10-Q del 2T 2026 (SEC): balance, resultados y flujos de caja; préstamo de 750 M con Blue Owl; regalías a LFB; contrato con Neuraxpharm; licencia de azer-cel; recompras.</w:t>
      </w:r>
      <w:r>
        <w:t xml:space="preserve"> </w:t>
      </w:r>
      <w:r>
        <w:t xml:space="preserve">[3] TG Therapeutics, 10-K de 2025 (SEC): ingresos 616,3 M; coste de ventas 100,7 M; distribuidores 42 %, 26 %, 18 % y 12 %; patentes hasta 2042; exclusividad hasta dic-2034; 399 empleados.</w:t>
      </w:r>
      <w:r>
        <w:t xml:space="preserve"> </w:t>
      </w:r>
      <w:r>
        <w:t xml:space="preserve">[4] TG Therapeutics, resultados del 4T 2024 al 4T 2025 (8-K, SEC): Briumvi EE. UU. por trimestre; guías de 2025.</w:t>
      </w:r>
      <w:r>
        <w:t xml:space="preserve"> </w:t>
      </w:r>
      <w:r>
        <w:t xml:space="preserve">[5] TG Therapeutics, 8-K de 20-mar-2026 (préstamo), 27-may-2026 (ENHANCE) y 3-jun-2026 (fase 1 del subcutáneo) (SEC).</w:t>
      </w:r>
      <w:r>
        <w:t xml:space="preserve"> </w:t>
      </w:r>
      <w:r>
        <w:t xml:space="preserve">[6] TG Therapeutics, 8-K de 13-ene-2026 y 14-ene-2025 (guías anuales) y resultados del 1T 2026 (SEC).</w:t>
      </w:r>
      <w:r>
        <w:t xml:space="preserve"> </w:t>
      </w:r>
      <w:r>
        <w:t xml:space="preserve">[7] SEC, Formularios 4 y 144 de 2026.</w:t>
      </w:r>
      <w:r>
        <w:t xml:space="preserve"> </w:t>
      </w:r>
      <w:r>
        <w:t xml:space="preserve">[8] Yahoo Finance chart API (TGTX, QQQ, IBB, XBI): cierres, medias de 200 sesiones, intradía del 14-oct.</w:t>
      </w:r>
      <w:r>
        <w:t xml:space="preserve"> </w:t>
      </w:r>
      <w:r>
        <w:t xml:space="preserve">[9] Nasdaq.com, histórico de TGTX: cierre del 13-oct-2026 54,34 USD.</w:t>
      </w:r>
      <w:r>
        <w:t xml:space="preserve"> </w:t>
      </w:r>
      <w:r>
        <w:t xml:space="preserve">[10] StockAnalysis, previsiones y precios objetivo de TGTX (14-oct-2026).</w:t>
      </w:r>
      <w:r>
        <w:t xml:space="preserve"> </w:t>
      </w:r>
      <w:r>
        <w:t xml:space="preserve">[11] StockAnalysis, estadísticas de TGTX (14-oct-2026).</w:t>
      </w:r>
      <w:r>
        <w:t xml:space="preserve"> </w:t>
      </w:r>
      <w:r>
        <w:t xml:space="preserve">[12] StockTwits, flujo de TGTX (API pública, 14-oct-2026); Walnut Invest (jul-2026).</w:t>
      </w:r>
      <w:r>
        <w:t xml:space="preserve"> </w:t>
      </w:r>
      <w:r>
        <w:t xml:space="preserve">[13] SEC XBRL companyfacts (CIK 1001316).</w:t>
      </w:r>
      <w:r>
        <w:t xml:space="preserve"> </w:t>
      </w:r>
      <w:r>
        <w:t xml:space="preserve">[14] TG Therapeutics, proxy (DEF 14A, 30-abr-2026).</w:t>
      </w:r>
      <w:r>
        <w:t xml:space="preserve"> </w:t>
      </w:r>
      <w:r>
        <w:t xml:space="preserve">[15] Cálculo propio de EV, ventas NTM, serie histórica del múltiplo y DCF inverso (detalle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).</w:t>
      </w:r>
      <w:r>
        <w:t xml:space="preserve"> </w:t>
      </w:r>
      <w:r>
        <w:t xml:space="preserve">[16] Novartis, resultados de 2025 (Kesimpta); Roche, ventas de Ocrevus de 2024 (prensa).</w:t>
      </w:r>
      <w:r>
        <w:t xml:space="preserve"> </w:t>
      </w:r>
      <w:r>
        <w:t xml:space="preserve">[17] De memoria, sin verificar en esta sesión: Ocrevus Zunovo aprobado en sep-2024; Kesimpta mensual en casa; Ukoniq retirado en 2022; inhibidores de BTK en desarrollo.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2026-10-14T20:31:45Z</dcterms:created>
  <dcterms:modified xsi:type="dcterms:W3CDTF">2026-10-14T20:31:45Z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