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Zoetis Inc.</w:t>
      </w:r>
    </w:p>
    <w:p>
      <w:pPr>
        <w:spacing w:after="60"/>
        <w:rPr>
          <w:color w:val="52514E"/>
          <w:sz w:val="22"/>
          <w:szCs w:val="22"/>
        </w:rPr>
      </w:pPr>
      <w:r>
        <w:rPr>
          <w:color w:val="52514E"/>
          <w:sz w:val="22"/>
          <w:szCs w:val="22"/>
        </w:rPr>
        <w:t xml:space="preserve">ZTS · New York Stock Exchange (NYSE) · ISIN US98978V1035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71,33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91,77 USD · mercado 101,61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+31,6 % · mercado +45,4 %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29.552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Zoetis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ZTS / US98978V1035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Parsippany, Nueva Jersey (EE. UU.) · 1952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www.zoetis.com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71,33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68,77 – 148,30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29.552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37.325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407 M USD/día (5,46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91,77 USD</w:t>
      </w:r>
      <w:r>
        <w:t xml:space="preserve"> frente a 71,33 · con la prima implícita del mercado: 101,61 (+42,5 %) · Rentabilidad total esperada a 12 meses </w:t>
      </w:r>
      <w:r>
        <w:rPr>
          <w:b/>
          <w:bCs/>
        </w:rPr>
        <w:t xml:space="preserve">+31,6 %</w:t>
      </w:r>
      <w:r>
        <w:t xml:space="preserve"> · Alcista / bajista +60,9 % / -17,8 %</w:t>
      </w:r>
    </w:p>
    <w:p>
      <w:pPr>
        <w:spacing w:after="100"/>
      </w:pPr>
      <w:r>
        <w:rPr>
          <w:b/>
        </w:rPr>
        <w:t xml:space="preserve">La recomendación y por qué.</w:t>
      </w:r>
      <w:r>
        <w:t xml:space="preserve"> Comprar, con convicción media. El valor objetivo es de 91,77 USD frente a un precio de 71,33 (cierre del 6-oct-2026): rentabilidad total esperada del 31,6 %, un alcista de +60,9 % y un bajista de −17,8 % (asimetría de 3,42x). Con la prima implícita del mercado (4,2 % [89]) sube a 101,61 USD: las reglas absoluta y relativa dan Comprar. La razón en una frase: el precio descuenta que las ventas caigan un 0,9 % al año durante una década, y la pérdida de cuota de 2026 todavía no lo demuestra.</w:t>
      </w:r>
    </w:p>
    <w:p>
      <w:pPr>
        <w:spacing w:after="100"/>
      </w:pPr>
      <w:r>
        <w:rPr>
          <w:b/>
        </w:rPr>
        <w:t xml:space="preserve">El negocio.</w:t>
      </w:r>
      <w:r>
        <w:t xml:space="preserve"> Zoetis lidera la salud animal mundial, con un 23,6 % del mercado [1, 35], un margen EBITDA del 42,6 % en 2025 frente al 19,1 % de Elanco [74] y un ROIC del 29,0 % frente a un WACC del 8,53 %. Lo vulnerable son las mascotas de EE. UU., el 40 % de las ventas del 1S26: cayeron un 11 % porque Zoetis pierde cuota a la vez en dermatología (−18 % en EE. UU. en el 2T26 frente a Zenrelia, Befrena y Numelvi), en antiparasitarios (Simparica −6 % frente a Credelio Quattro) y en el dolor por artrosis (−18 %, tras la carta de seguridad de la FDA sobre Librela) [19, 23, 32]. El mercado no se contrae: Elanco creció un 11 % en mascotas de EE. UU. en el 2T26 [23]. Es cuota, no ciclo: el foso es estrecho y se estrecha [1].</w:t>
      </w:r>
    </w:p>
    <w:p>
      <w:pPr>
        <w:spacing w:after="100"/>
      </w:pPr>
      <w:r>
        <w:rPr>
          <w:b/>
        </w:rPr>
        <w:t xml:space="preserve">Finanzas.</w:t>
      </w:r>
      <w:r>
        <w:t xml:space="preserve"> Las ventas crecieron un 7,6 % anual de 2016 a 2025 y caerán un 2,6 % en 2026 según la guía, rebajada dos veces en tres meses (BPA ajustado de 7,00-7,10 a 6,15-6,25 USD) [9, 10, 11]. La caja sigue intacta: 2.281 M de flujo libre en 2025, un 86 % del beneficio en 2016-2025. La deuda neta ajustada es de 7.773 M (2,0 veces el EBITDA) porque Zoetis financió con convertibles 1.535 M de recompras a unos 125 USD por acción, un 75 % por encima del precio actual [2, 20].</w:t>
      </w:r>
    </w:p>
    <w:p>
      <w:pPr>
        <w:spacing w:after="100"/>
      </w:pPr>
      <w:r>
        <w:rPr>
          <w:b/>
        </w:rPr>
        <w:t xml:space="preserve">Equipo y gobierno.</w:t>
      </w:r>
      <w:r>
        <w:t xml:space="preserve"> El consejo cumple 11 de 13 criterios, con presidente independiente y 92 % de independientes [38]. Restan las dos rebajas de guía, el cambio de director financiero en agosto [39] y una demanda colectiva de accionistas [2]; tres consejeros compraron a 75-78 USD en mayo [48].</w:t>
      </w:r>
    </w:p>
    <w:p>
      <w:pPr>
        <w:spacing w:after="100"/>
      </w:pPr>
      <w:r>
        <w:rPr>
          <w:b/>
        </w:rPr>
        <w:t xml:space="preserve">Valoración.</w:t>
      </w:r>
      <w:r>
        <w:t xml:space="preserve"> El DCF da 96,44 USD con una proyección igual al consenso hasta 2028 (menos del 1,3 % de diferencia en EBITDA) [58]; el precio objetivo medio de los analistas es de 96 USD [59]. Los comparables, con una muestra frágil, dan 83,20 USD; la acción cotiza a 9,4x el EBITDA, un 57 % por debajo de su media de diez años. El DCF inverso exige caídas de ventas del 0,9 % anual, o un margen EBITDA del 33,5 %, el de 2016, o una rentabilidad del 10,1 %, frente al 8,00 % que pide el mercado. La discrepancia con el mercado es si 2026 es un escalón o una pendiente, y por eso la convicción no es alta: dependemos de que el 3T26 y la guía de 2027 muestren el suelo.</w:t>
      </w:r>
    </w:p>
    <w:p>
      <w:pPr>
        <w:spacing w:after="100"/>
      </w:pPr>
      <w:r>
        <w:rPr>
          <w:b/>
        </w:rPr>
        <w:t xml:space="preserve">Riesgos y catalizadores.</w:t>
      </w:r>
      <w:r>
        <w:t xml:space="preserve"> Un punto menos de crecimiento anual resta un 6,8 % del valor; dos puntos menos de margen, un 7,0 %; el bajista deja la acción en 58,65 USD. Las patentes de Apoquel (2030) y Simparica Trio (2032) vencen dentro de la proyección [36, 37]. Catalizadores con fecha: resultados del 3T26 el 5-nov-2026 [57] y guía de 2027 en febrero; sin fecha, la aprobación de Lenivia y Portela en EE. UU. [9].</w:t>
      </w:r>
    </w:p>
    <w:p>
      <w:pPr>
        <w:spacing w:after="100"/>
      </w:pPr>
      <w:r>
        <w:rPr>
          <w:b/>
        </w:rPr>
        <w:t xml:space="preserve">Qué cambiaría la decisión.</w:t>
      </w:r>
      <w:r>
        <w:t xml:space="preserve"> Compraríamos por debajo de 90,12 USD y venderíamos por encima de 108,20. Pasaríamos a Mantener con una tercera rebaja de la guía de 2026, con la dermatología de EE. UU. cayendo más de un 20 % en el 3T26 o con una guía de 2027 sin crecimiento orgánico.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91,77 USD</w:t>
      </w:r>
      <w:r>
        <w:t xml:space="preserve"> (+28,7 % sobre 71,33; rentabilidad total esperada +31,6 %) · con la prima implícita del mercado: 101,61 (+42,5 %)</w:t>
      </w:r>
    </w:p>
    <w:p>
      <w:pPr>
        <w:spacing w:after="100"/>
      </w:pPr>
      <w:r>
        <w:t xml:space="preserve">Zoetis es el líder mundial de la salud animal: 9.467 M USD de ventas en 2025, el 70 % en mascotas, un margen EBITDA del 42,6 % y un ROIC del 29,0 % [1]. Su valor viene de categorías que creó y domina: dermatología (Apoquel y Cytopoint, 1.754 M), antiparasitarios (Simparica Trio, 2.341 M la categoría) y los anticuerpos para el dolor por artrosis (Librela y Solensia) [1]. Convierte en caja un 86 % de su beneficio y ha crecido un 7,6 % al año desde 2016.</w:t>
      </w:r>
    </w:p>
    <w:p>
      <w:pPr>
        <w:spacing w:after="100"/>
      </w:pPr>
      <w:r>
        <w:t xml:space="preserve">El precio, 71,33 USD, es un 52 % inferior al máximo de 52 semanas (148,30) y descuenta un declive: ventas a la baja un 0,9 % al año hasta 2035, o un margen EBITDA del 33,5 %. La acción cotiza a 9,4x el EBITDA y a 12,1x el beneficio de los próximos 12 meses, por debajo de la mediana de sus comparables (11,0x y 14,3x) pese a tener el doble de margen [58].</w:t>
      </w:r>
    </w:p>
    <w:p>
      <w:pPr>
        <w:spacing w:after="100"/>
      </w:pPr>
      <w:r>
        <w:t xml:space="preserve">El mercado acierta en que 2026 rompe la tesis de crecimiento: tres franquicias pierden cuota a la vez, la guía cae un 12 % en BPA y la dirección no sabe cuánto durará [9, 19]. Se equivoca, a nuestro juicio, al extrapolarlo: internacional crece un 8 % y la ganadería un 11 % orgánico en el 1S26 [9], los rivales que ganan cuota crecen en un mercado que se expande y Zoetis conserva costes, red comercial y una cartera con más de 12 candidatos a superventas [9]. Para invertir hay que creer que las ventas vuelven a crecer en 2027 al 2-3 % con un margen EBITDA del 40 %, que es lo que espera el consenso [58].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 / -17,8 %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 frente a 8,5 %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 frente a 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90,12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90,12 y 108,20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108,20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Una tercera rebaja de la guía de 2026 el 5-nov-2026: pasaríamos a Mantener.</w:t>
      </w:r>
    </w:p>
    <w:p>
      <w:pPr>
        <w:pStyle w:val="ListParagraph"/>
        <w:numPr>
          <w:ilvl w:val="0"/>
          <w:numId w:val="2"/>
        </w:numPr>
        <w:spacing w:after="60"/>
      </w:pPr>
      <w:r>
        <w:t xml:space="preserve">Dermatología de EE. UU. por debajo de −20 % interanual en el 3T26 (−18 % en el 2T26): pasaríamos a Mantener.</w:t>
      </w:r>
    </w:p>
    <w:p>
      <w:pPr>
        <w:pStyle w:val="ListParagraph"/>
        <w:numPr>
          <w:ilvl w:val="0"/>
          <w:numId w:val="2"/>
        </w:numPr>
        <w:spacing w:after="60"/>
      </w:pPr>
      <w:r>
        <w:t xml:space="preserve">Guía de 2027 con crecimiento orgánico negativo: revisaríamos el caso base hacia el bajista.</w:t>
      </w:r>
    </w:p>
    <w:p>
      <w:pPr>
        <w:pStyle w:val="ListParagraph"/>
        <w:numPr>
          <w:ilvl w:val="0"/>
          <w:numId w:val="2"/>
        </w:numPr>
        <w:spacing w:after="60"/>
      </w:pPr>
      <w:r>
        <w:t xml:space="preserve">Margen bruto ajustado por debajo del 70 % (guía de 2026: 71 %): un punto de margen EBITDA vale un 3,5 % del valor.</w:t>
      </w:r>
    </w:p>
    <w:p>
      <w:pPr>
        <w:pStyle w:val="ListParagraph"/>
        <w:numPr>
          <w:ilvl w:val="0"/>
          <w:numId w:val="2"/>
        </w:numPr>
        <w:spacing w:after="60"/>
      </w:pPr>
      <w:r>
        <w:t xml:space="preserve">Precio por encima de 108,20 USD sin mejora de las cifras: pasaríamos a Mantener o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pérdida de cuota de 2026 en dermatología, antiparasitarios y dolor es el principio de una erosión larga, como la de Draxxin tras su patente, y que los vencimientos de Apoquel (2030) y Simparica Trio (2032) la rematan: ventas a la baja un 0,9 % al año durante una década o un margen EBITDA del 33,5 % [1, 36, 37].</w:t>
      </w:r>
    </w:p>
    <w:p>
      <w:pPr>
        <w:keepNext/>
        <w:spacing w:after="100"/>
      </w:pPr>
      <w:r>
        <w:rPr>
          <w:b/>
          <w:bCs/>
        </w:rPr>
        <w:t xml:space="preserve">Lo que creemos nosotros.</w:t>
      </w:r>
    </w:p>
    <w:p>
      <w:pPr>
        <w:spacing w:after="100"/>
      </w:pPr>
      <w:r>
        <w:t xml:space="preserve">Que 2026 es un escalón: la entrada de tres competidores en un año baja el precio neto y la cuota de una vez, pero el mercado crece, internacional y la ganadería compensan, y desde 2027 Zoetis vuelve a crecer al 2,5-4 % con un margen del 40-41 %, como espera el consenso [58]. Eso vale 96,44 USD en el DCF.</w:t>
      </w:r>
    </w:p>
    <w:p>
      <w:pPr>
        <w:keepNext/>
        <w:spacing w:after="100"/>
      </w:pPr>
      <w:r>
        <w:rPr>
          <w:b/>
          <w:bCs/>
        </w:rPr>
        <w:t xml:space="preserve">Por qué podemos tener razón.</w:t>
      </w:r>
    </w:p>
    <w:p>
      <w:pPr>
        <w:spacing w:after="100"/>
      </w:pPr>
      <w:r>
        <w:t xml:space="preserve">El hundimiento es de EE. UU. (−7 % en el 2T26) y no del grupo (−1 % orgánico) [9]; Zoetis ya pasó por pérdidas de exclusividad (Draxxin, Rimadyl) sin dejar de crecer, gracias a nuevas categorías. Y el precio no exige que acertemos del todo: incluso el bajista, con ventas casi planas y el margen al 37,5 %, deja una pérdida del 17,8 %.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1,3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declive</w:t>
      </w:r>
      <w:r>
        <w:t xml:space="preserve">: el DCF inverso exige caídas de ventas del 0,9 % anual hasta 2035; las ventas no cayeron ningún año de 2016 a 2025.</w:t>
      </w:r>
    </w:p>
    <w:p>
      <w:pPr>
        <w:pStyle w:val="ListParagraph"/>
        <w:numPr>
          <w:ilvl w:val="0"/>
          <w:numId w:val="2"/>
        </w:numPr>
        <w:spacing w:after="60"/>
      </w:pPr>
      <w:r>
        <w:rPr>
          <w:b/>
        </w:rPr>
        <w:t xml:space="preserve">Rentabilidad intacta</w:t>
      </w:r>
      <w:r>
        <w:t xml:space="preserve">: ROIC del 29,0 % y margen EBITDA del 42,6 % en 2025, más del doble que Elanco (19,1 %) [74].</w:t>
      </w:r>
    </w:p>
    <w:p>
      <w:pPr>
        <w:pStyle w:val="ListParagraph"/>
        <w:numPr>
          <w:ilvl w:val="0"/>
          <w:numId w:val="2"/>
        </w:numPr>
        <w:spacing w:after="60"/>
      </w:pPr>
      <w:r>
        <w:rPr>
          <w:b/>
        </w:rPr>
        <w:t xml:space="preserve">Caja</w:t>
      </w:r>
      <w:r>
        <w:t xml:space="preserve">: 2.281 M de flujo libre en 2025, una rentabilidad por flujo libre del 7,8 % sobre la capitalización.</w:t>
      </w:r>
    </w:p>
    <w:p>
      <w:pPr>
        <w:pStyle w:val="ListParagraph"/>
        <w:numPr>
          <w:ilvl w:val="0"/>
          <w:numId w:val="2"/>
        </w:numPr>
        <w:spacing w:after="60"/>
      </w:pPr>
      <w:r>
        <w:rPr>
          <w:b/>
        </w:rPr>
        <w:t xml:space="preserve">Diversificación que compensa</w:t>
      </w:r>
      <w:r>
        <w:t xml:space="preserve">: internacional +8 % y ganadería +11 % orgánico en el 1S26 frente a −11 % de las mascotas de EE. UU. [9].</w:t>
      </w:r>
    </w:p>
    <w:p>
      <w:pPr>
        <w:pStyle w:val="ListParagraph"/>
        <w:numPr>
          <w:ilvl w:val="0"/>
          <w:numId w:val="2"/>
        </w:numPr>
        <w:spacing w:after="60"/>
      </w:pPr>
      <w:r>
        <w:rPr>
          <w:b/>
        </w:rPr>
        <w:t xml:space="preserve">Múltiplo</w:t>
      </w:r>
      <w:r>
        <w:t xml:space="preserve">: 9,4x el EBITDA, un 57 % por debajo de su media de diez años y por debajo de comparables con la mitad de margen.</w:t>
      </w:r>
    </w:p>
    <w:p>
      <w:pPr>
        <w:pStyle w:val="Heading2"/>
      </w:pPr>
      <w:r>
        <w:t xml:space="preserve">En contra</w:t>
      </w:r>
    </w:p>
    <w:p>
      <w:pPr>
        <w:pStyle w:val="ListParagraph"/>
        <w:numPr>
          <w:ilvl w:val="0"/>
          <w:numId w:val="2"/>
        </w:numPr>
        <w:spacing w:after="60"/>
      </w:pPr>
      <w:r>
        <w:rPr>
          <w:b/>
        </w:rPr>
        <w:t xml:space="preserve">Cuota en caída</w:t>
      </w:r>
      <w:r>
        <w:t xml:space="preserve">: dermatología −18 %, Simparica −6 % y dolor −18 % en EE. UU. en el 2T26, frente a rivales que crecen [19, 23].</w:t>
      </w:r>
    </w:p>
    <w:p>
      <w:pPr>
        <w:pStyle w:val="ListParagraph"/>
        <w:numPr>
          <w:ilvl w:val="0"/>
          <w:numId w:val="2"/>
        </w:numPr>
        <w:spacing w:after="60"/>
      </w:pPr>
      <w:r>
        <w:rPr>
          <w:b/>
        </w:rPr>
        <w:t xml:space="preserve">Guía poco fiable</w:t>
      </w:r>
      <w:r>
        <w:t xml:space="preserve">: dos rebajas en tres meses, del +3/+5 % orgánico al −3/−1 % [9, 10, 11].</w:t>
      </w:r>
    </w:p>
    <w:p>
      <w:pPr>
        <w:pStyle w:val="ListParagraph"/>
        <w:numPr>
          <w:ilvl w:val="0"/>
          <w:numId w:val="2"/>
        </w:numPr>
        <w:spacing w:after="60"/>
      </w:pPr>
      <w:r>
        <w:rPr>
          <w:b/>
        </w:rPr>
        <w:t xml:space="preserve">Patentes</w:t>
      </w:r>
      <w:r>
        <w:t xml:space="preserve">: Apoquel vence en 2030 y Simparica Trio en 2032 en EE. UU., dentro de la proyección [36, 37].</w:t>
      </w:r>
    </w:p>
    <w:p>
      <w:pPr>
        <w:pStyle w:val="ListParagraph"/>
        <w:numPr>
          <w:ilvl w:val="0"/>
          <w:numId w:val="2"/>
        </w:numPr>
        <w:spacing w:after="60"/>
      </w:pPr>
      <w:r>
        <w:rPr>
          <w:b/>
        </w:rPr>
        <w:t xml:space="preserve">Recompras con deuda</w:t>
      </w:r>
      <w:r>
        <w:t xml:space="preserve">: 1.535 M a unos 125 USD por acción con convertibles; deuda neta ajustada de 7.773 M [2].</w:t>
      </w:r>
    </w:p>
    <w:p>
      <w:pPr>
        <w:pStyle w:val="ListParagraph"/>
        <w:numPr>
          <w:ilvl w:val="0"/>
          <w:numId w:val="2"/>
        </w:numPr>
        <w:spacing w:after="60"/>
      </w:pPr>
      <w:r>
        <w:rPr>
          <w:b/>
        </w:rPr>
        <w:t xml:space="preserve">Seguridad y litigios</w:t>
      </w:r>
      <w:r>
        <w:t xml:space="preserve">: carta de la FDA sobre Librela, precauciones nuevas de la EMA y demanda colectiva de accionistas [2, 32, 33].</w:t>
      </w:r>
    </w:p>
    <w:p>
      <w:pPr>
        <w:pStyle w:val="Heading2"/>
      </w:pPr>
      <w:r>
        <w:t xml:space="preserve">Qué tiene que pasar para que la tesis funcione</w:t>
      </w:r>
    </w:p>
    <w:p>
      <w:pPr>
        <w:spacing w:after="100"/>
      </w:pPr>
      <w:r>
        <w:t xml:space="preserve">La tesis depende de que la cuota de Zoetis en las mascotas de EE. UU. toque suelo entre el 3T26 y el 1T27. La señal de que no se cumple sería que la dermatología de EE. UU. siga cayendo más de un 15 % interanual en el 3T26 y el 4T26 y que la guía de 2027 no prevea crecimiento orgánico; con eso, el caso relevante sería el bajista (58,65 USD).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clave en EE. UU.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 [19]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franquicia más atacada (Zenrelia, Befrena, Numelvi).</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Simparica en EE. UU.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(2T26) [19]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Credelio Quattro y NexGard convierten el antiparasitario en un producto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operativo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(2T26)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+2,5 %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71 % (guía de 2026)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los descuentos para defender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con deuda presionan el rating A3/BBB+.</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9,8x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11,6x / 12,1x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Zoetis nace de la división de salud animal de Pfizer, con una herencia de casi 75 años [1]. Se constituyó en Delaware en julio de 2012, cotiza en la NYSE desde el 1 de febrero de 2013 y quedó separada del todo de Pfizer con la oferta de canje cerrada el 24 de junio de 2013 [7]. El perímetro actual se formó por compras: Pharmacia, Fort Dodge (2009), KAH (2011), activos de Abbott Animal Health y Pharmaq (2015) y Abaxis (2018), que la llevó a los diagnósticos [7]. Kristin Peck es consejera delegada desde enero de 2020 [7]. En 2024 vendió los aditivos medicados para pienso a Phibro por 299 M USD [1] y giró aún más hacia mascotas, que ya son el 70 % de los ingresos de 2025 [1]. En 2026 la caída de las mascotas en EE. UU. trajo dos rebajas de la guía y un nuevo director financiero y de operaciones [9, 10,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Pfizer compra Fort Dodge Animal Health, que hoy forma parte de Zoetis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(1 de febrero) y separación total de Pfizer con la oferta de canje del 24 de junio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Apoquel, el primer inhibidor de JAK veterinario; hoy es la segunda línea de producto, con el 12 % de los ingresos de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Pharmaq (noviembre), líder en vacunas para acuicultura, y de activos de Abbott Animal Health (febrero)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Simparica en EE. UU. y licencia de Cytopoint, el primer anticuerpo monoclonal canino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Abaxis (julio): entrada en los diagnósticos en la clínica con Vetscan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Kristin Peck, consejera delegada (enero) [7]. Simparica Trio llega a EE. UU. y Librela se aprueba en la UE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Librela se aprueba en EE. UU. (5 de mayo) [32]. Compras de PetMedix y adivo, dos biotecnológicas de anticuerpos para mascotas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publica una carta a veterinarios sobre eventos adversos neurológicos con Librela (diciembre) [32]. Venta de los aditivos medicados a Phibro por 299 M USD (octubre)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en la UE y Canadá de Lenivia y Portela, los anticuerpos de dolor articular de tres meses [1]; Elanco gana cuota con Zenrelia y Credelio Quattro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mascotas en EE. UU. caen un 11 % en el 1T y el 2T; la guía orgánica de 2026 pasa de +3/+5 % a −3/−1 % [9, 10, 11]. Demanda colectiva de accionistas por Librela, Simparica Trio, Apoquel y Cytopoint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Zoetis es la mayor empresa de salud animal del mundo por ingresos [1]. Descubre, fabrica y vende medicamentos, vacunas y diagnósticos para ocho especies: perros, gatos y caballos, y vacuno, porcino, aves, peces y ovino [1]. Ingresó 9.467 M USD en 2025: el 70 % en animales de compañía y el 29 % en ganadería [1]. Por categorías, antiparasitarios (2.341 M), vacunas (1.959 M), dermatología (1.754 M), antiinfecciosos (1.036 M), dolor y sedación (840 M) y diagnósticos (434 M) [1]. Tiene unas 300 líneas de producto, pero las cinco primeras (Simparica, Apoquel, Cytopoint, Librela y la línea de ceftiofur) suman el 42 % de los ingresos y las diez primeras, el 57 % [1]. Vende directamente en unos 45 países y en más de 100 en total, con unos 3.900 comerciales [1]. Fabrica en 21 plantas propias y con más de 90 fabricantes externos [1]. EE. UU. es el 54 % de las ventas y allí el 83 % es de mascotas [1].</w:t>
      </w:r>
    </w:p>
    <w:p>
      <w:pPr>
        <w:pStyle w:val="Heading2"/>
      </w:pPr>
      <w:r>
        <w:t xml:space="preserve">Cómo gana dinero</w:t>
      </w:r>
    </w:p>
    <w:p>
      <w:pPr>
        <w:spacing w:after="100"/>
      </w:pPr>
      <w:r>
        <w:t xml:space="preserve">Vende sobre todo con receta veterinaria: a distribuidores o al veterinario, que revende al dueño de la mascota o al ganadero [1]. El dueño paga de su bolsillo, sin seguro ni reembolso público, y por eso la marca y la recomendación del veterinario pesan más que en la farmacia humana [1]. El margen bruto es alto, con un coste de ventas del 28,2 % de los ingresos en 2025, y el margen EBIT fue del 37,5 % (estimación propia: 3.546 M de 9.467 M) [1]. El margen depende del precio y de la mezcla: los productos nuevos de mascotas (anticuerpos monoclonales, combinaciones antiparasitarias) son los más rentables. Los antiparasitarios tienen estacionalidad de primavera y verano en el hemisferio norte. La parte recurrente es alta: Librela, Solensia y Cytopoint se inyectan cada mes o cada pocas semanas y los antiparasitarios se dan cada mes [1]. El riesgo es que 2026 demuestra que esa recurrencia cae con las visitas al veterinario [9, 10].</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Fabricación para terceros y salud humana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Fabricación para terceros y salud humana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primer cliente es un distribuidor veterinario de EE. UU.: el 16 % de los ingresos de 2025, frente al 14 % en 2024 y el 15 % en 2023 [1]. El resto se reparte entre miles de clínicas, distribuidores, cadenas, comercio electrónico y ganaderos [1]. El poder de precios se había demostrado hasta 2025: la empresa subía precios por encima de la inflación porque, según fuentes sectoriales, el dueño recorta antes en ocio y ropa que en la salud de su mascota [1]. En 2026 se agrieta. La dirección habla de dueños sensibles al precio, de menos visitas y de menos demanda de productos premium [10]. Las ventas de mascotas en EE. UU. cayeron un 11,2 % en el primer semestre (1.909 M frente a 2.149 M) [2], mientras Elanco crecía un 12 % en mascotas en el 2T26 con precio y volumen [23]. Los genéricos de Cerenia y Convenia ya restan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animales de compañía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69,6 % de las ventas de 2025; en el 1S26 cae un 3 % (EE. UU. −11 %)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ganadería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por la venta del MFA (2.890 M en 2023, plano en 2024); en el 1S26 sube un 14 % (vacuna aviar y vacuno en EE. UU.) [1, 4,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clave (Apoquel y Cytopoint),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347 M (−11 %)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395 M (−16 %)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251 M (−18 %)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sumó 1.700 M (+6 % operativo; EE. UU. 1.100 M, +4 %). Nuevo competidor en EE. UU. desde el 2T26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Franquicia Simparica (Simparica y Simparica Trio),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385 M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442 M (plano)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308 M (−6 %); internacional 134 M (+19 %)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sumó 1.500 M (+12 % operativo); Simparica Trio superó 1.000 M en EE. UU.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Anticuerpos para el dolor por artrosis (Librela, Solensia, Lenivia, Portela),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140 M (−8 %)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147 M (−3 %)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51 M (−18 %)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568 M (−3 % operativo); Librela EE. UU. 169 M (−16 %) e internacional 254 M (+2 %)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de animales de compañía,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113 M (+10 %)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118 M (+12 %)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total de 2025: 434 M (386 M en 2024) [1,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por categoría: antiparasitarios / dermatología / dolor y sedación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2.153 / 1.655 / 851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2.341 / 1.754 / 840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 +6,0 % / −1,3 %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cinco mayores líneas (Simparica, Apoquel, Cytopoint, Librela y ceftiofur) son el 42 % de las ventas; las diez mayores, el 57 %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salud animal mundial: medicamentos, vacunas y diagnósticos veterinarios para mascotas y ganado. Uso dos fuentes. IMARC lo cifra en 40.100 M USD en 2025, con aditivos medicados y diagnósticos dentro [35]. HealthforAnimals suma 38.600 M USD de ingresos de las 20 primeras empresas en 2024, con datos de S&amp;P Global [34]. Las dos cuadran en tamaño. Contraste propio por abajo: las cuatro grandes de medicamentos y vacunas (Zoetis 9.467 M, Merck 6.354 M, Boehringer unos 5.509 M y Elanco 4.715 M USD) suman 26.045 M, el 65 % de la cifra de IMARC [1, 21, 25, 28]. Ojo con el reparto: IMARC da solo el 37,7 % a mascotas [35], y no encaja con las cuentas de las grandes (Zoetis 70 %, Elanco 49 %, Merck 39 %) [1, 21, 25]; probablemente infravalora mascotas. La serie toma 2025 de IMARC y proyecta con su crecimiento previsto (estimación).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40.100 M USD en 2025 [35]; las 20 primeras empresas facturaron 38.600 M USD en 2024 [34]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salud de las mascotas (humanización y vida más larga)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mascotas de Zoetis pasaron de 5.576 M USD en 2023 a 6.587 M en 2025 (+18 %) [1]. En EE. UU., el gasto en diagnóstico por clínica subió un 6 % en 2025, frente al 2 % de los ingresos totales de la clínica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Visitas al veterinario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visitas clínicas en las mismas clínicas de EE. UU. cayeron un 2 % en 2025 y IDEXX prevé una caída parecida en 2026, por falta de capacidad de las clínicas y por la economía [27]. Zoetis atribuye a menos visitas y a la sensibilidad al precio la caída del 11 % de sus ventas de mascotas en EE. UU. en el 1T26 y el 2T26 [9,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Innovación biológica: anticuerpos monoclonales y combinaciones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dermatología de Zoetis pasó de 1.427 M USD en 2023 a 1.754 M en 2025 y dolor y sedación, de 602 M a 840 M [1]. Elanco ingresó 892 M USD por productos nuevos en 2025 y espera 1.250 M en 2026 [23,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proteína animal y brotes de enfermedades (gusano barrenador, gripe aviar)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ganadería de Zoetis creció un 12,3 % en el 2T26 (731 M frente a 651 M USD) y el vacuno un 20,7 %, por más suministro y por la demanda ante el brote de gusano barrenador [2]. La ganadería de Merck creció un 13 % en 2025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tras la pérdida de exclusividad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2021 las ventas de Draxxin en EE. UU. han caído un 66 % y las de Rimadyl masticable, un 39 % [1]. En 2026 los genéricos de Cerenia y Convenia restan a las ventas de EE. UU.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Restricciones a los antibióticos en ganadería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ingresó 713 M USD por antibacterianos para ganado en 2025, el 7,5 % de sus ventas. EE. UU., la UE, el Reino Unido, China y Vietnam han regulado su uso, y la receta electrónica de Italia ya redujo la demanda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con carteras parecidas y lanzamientos directos contra las franquicias de Zoetis. En el 2T26 las ventas de mascotas de Elanco subieron un 12 % y las de Merck un 7 %, mientras las de Zoetis en EE. UU. caían un 11 % [9, 23, 26]. Zenrelia ganó 9 puntos de cuota de inhibidores de JAK en EE. UU. en un año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 distribuidor pesa el 16 % de las ventas de Zoetis [1]. Prescribe el veterinario, pero paga el dueño de su bolsillo, y en 2026 se ha vuelto sensible al precio de los productos premium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fabrica en 21 plantas propias y trabaja con más de 90 fabricantes externos [1]. Hay proveedores únicos de algunos componentes, pero sin un proveedor dominante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aprobaciones de la FDA, el USDA o la EMA y una red comercial con veterinarios. Zoetis gastó 698 M USD en I+D en 2025 [1]. Según Zoetis, no hay un gran fabricante mundial de genéricos veterinarios porque cada producto mueve un mercado pequeño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el dolor artrósico hay antiinflamatorios genéricos baratos: Rimadyl masticable ha caído un 39 % en EE. UU. [1]. La venta en línea y la telemedicina pueden restar visitas a la clínica [21]. Los fármacos compuestos y las falsificaciones de Apoquel y Simparica en Brasil también restan [1].</w:t>
            </w:r>
          </w:p>
        </w:tc>
      </w:tr>
    </w:tbl>
    <w:p>
      <w:pPr>
        <w:spacing w:after="160" w:before="0"/>
      </w:pPr>
    </w:p>
    <w:p>
      <w:pPr>
        <w:pStyle w:val="Heading2"/>
      </w:pPr>
      <w:r>
        <w:t xml:space="preserve">Ciclo</w:t>
      </w:r>
    </w:p>
    <w:p>
      <w:pPr>
        <w:spacing w:after="100"/>
      </w:pPr>
      <w:r>
        <w:t xml:space="preserve">Las mascotas de EE. UU. están en la parte baja del ciclo. Las visitas caen un 2 % al año desde 2025 [27] y el dueño mira más el precio [10]. Pero el mercado no se contrae: Elanco y Merck crecen en mascotas en 2026 [23, 26], así que buena parte de la caída de Zoetis es cuota, no ciclo. La ganadería está en expansión por el gusano barrenador [2]. Zoetis creció en 2020 (6.675 M USD frente a 6.260 M en 2019) y en 2022 (8.080 M frente a 7.776 M) [1, 6, 7]. De 2008-09 no hay cifras homogéneas: Zoetis era una división de Pfizer.</w:t>
      </w:r>
    </w:p>
    <w:p>
      <w:pPr>
        <w:pStyle w:val="Heading2"/>
      </w:pPr>
      <w:r>
        <w:t xml:space="preserve">Regulación</w:t>
      </w:r>
    </w:p>
    <w:p>
      <w:pPr>
        <w:spacing w:after="100"/>
      </w:pPr>
      <w:r>
        <w:t xml:space="preserve">En EE. UU., la FDA (Centro de Medicina Veterinaria) aprueba los medicamentos, el USDA las vacunas y algunos anticuerpos, y la EPA los antiparasitarios tópicos [1]. La FDA no puede imponer cambios de etiqueta por seguridad: solo pedirlos [32]. En diciembre de 2024 la FDA publicó una carta a los veterinarios sobre eventos adversos neurológicos de Librela, con muertes en algunos casos [32]. En noviembre de 2025 el comité veterinario de la EMA añadió precauciones y nuevos efectos raros a la ficha de Librela [33]. Los antibióticos para ganado (713 M USD de Zoetis) están cada vez más restringidos [1]. En 2025 la FDA dio una aprobación condicional a Dectomax-CA1 contra el gusano barrenador, que luego tuvo una autorización de uso de emergencia [1, 9].</w:t>
      </w:r>
    </w:p>
    <w:p>
      <w:pPr>
        <w:pStyle w:val="Heading2"/>
      </w:pPr>
      <w:r>
        <w:t xml:space="preserve">Tendencias y disrupción</w:t>
      </w:r>
    </w:p>
    <w:p>
      <w:pPr>
        <w:spacing w:after="100"/>
      </w:pPr>
      <w:r>
        <w:t xml:space="preserve">Hay tres cambios que hoy van contra Zoetis. Uno: los competidores igualan sus innovaciones. Zenrelia es un JAK de una toma diaria [21]. Befrena es un anticuerpo anti-IL31 que se pone cada 6-8 semanas, frente a cada 4-8 de Cytopoint [24]. Numelvi, un JAK de segunda generación de Merck, se aprobó en la FDA en febrero de 2026 [26]. Dos: suben las pautas largas. Bravecto Quantum, de Merck, es una inyección anual [25], y Zoetis responde con Lenivia y Portela, de tres meses, lanzadas en la UE y Canadá en 2026 [9]. Tres: crecen la venta en línea y la telemedicina [21]. A favor de Zoetis juegan los diagnósticos con inteligencia artificial de Vetscan Imagyst [1] y la ganadería. Librela pasó de crecer con fuerza en 2024 a caer desde mediados de 2025 [12, 13,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salud animal, con un 23,6 % de un mercado de unos 40.100 M USD (estimación propia: 9.467 M de ingresos de 2025 sobre la cifra de IMARC) [1, 35]. Le siguen Merck (15,8 %), Boehringer (13,7 %) y Elanco (11,8 %). En 2026 pierde cuota en las mascotas de EE. UU., en dermatología y en antiparasitarios [9,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Animal Health (MSD)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Merck: 61 % ganadería y 39 % mascotas. Bravecto factura unos 1.100 M USD. El margen es el beneficio del segmento, antes de parte de la I+D central y de los gastos generales del grupo [25]. Creció un 8 % en el 2T26 y ataca a Apoquel con Numelvi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Boehringer Ingelheim Animal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Vendió 4.875 M EUR en 2025 (+6,5 % a tipo constante), convertidos a 1,13 USD por euro, el tipo medio del BCE de 2025 [28, 31]. NexGard, el antiparasitario más vendido del sector, factura 1.400 M EUR y es el rival de Simparica Trio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Elanco Animal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15 M USD después de 543 M de amortización de intangibles y 237 M de cargos especiales; sin ellos, el margen sería del 16,9 % (estimación propia) [21]. Mitad mascotas y mitad ganadería. Es el rival que más cuota gana: Zenrelia, Credelio Quattro y Befrena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IDXX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diagnóstico veterinario, donde Zoetis solo factura 434 M USD [1, 27]. Compite con Vetscan, pero sobre todo es el termómetro de las visitas a la clínica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Virbac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VIRP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1.465 M EUR en 2025 (+7,9 % orgánico) con un resultado operativo de 226,1 M EUR [29]. Convertido a 1,13 USD por euro [31]. Crece con compras de productos de especialidad.</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Vetoquinol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526 M EUR en 2025 (+0,2 % a tipo constante) con un EBIT de 78,8 M EUR [30]. Convertido a 1,13 USD por euro [31].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Los diagnósticos Vetscan y la relación con el veterinario dan algo de venta cruzada [1], pero el líder del diagnóstico es IDEXX, con 4.304 M USD frente a 434 M de Zoetis [1,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sostiene que la lealtad a la marca sigue tras la patente [1]. 2026 lo desmiente en parte: Zenrelia ganó 9 puntos de cuota de JAK en EE. UU. en un año y Credelio Quattro ya está en más del 50 % de las clínicas [10]. La dermatología de Zoetis cayó un 16 % en el 2T26 (398 M frente a 473 M USD)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5.500 patentes concedidas y 1.600 solicitudes [1]. Según la base de patentes Pharsight, la patente principal de Apoquel en EE. UU. vence en abril de 2030 [23] y las de Simparica Trio, en marzo de 2032 [24]. Cuando expira la patente, cae la venta: Draxxin −66 % en EE. UU. [1]; ProHeart y Convenia ya no tienen patente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 ventas es el 28,2 % de los ingresos, frente al 45,0 % de Elanco (estimación propia: 2.122 M de 4.715 M) [1, 8]. Zoetis gasta 698 M USD en I+D, casi el doble que Elanco (368 M), y aun así su margen EBIT es del 37,5 % [1,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cuatro grandes suman unos dos tercios del mercado (estimación propia) [1, 8, 12, 15, 22]. Cada mercado de producto es pequeño, así que no hay un gran genérico mundial [1]. Zoetis vende directamente en unos 45 países con unos 3.900 comerciales [1].</w:t>
            </w:r>
          </w:p>
        </w:tc>
      </w:tr>
    </w:tbl>
    <w:p>
      <w:pPr>
        <w:spacing w:after="160" w:before="0"/>
      </w:pPr>
    </w:p>
    <w:p>
      <w:pPr>
        <w:pStyle w:val="Heading2"/>
      </w:pPr>
      <w:r>
        <w:t xml:space="preserve">Amenazas</w:t>
      </w:r>
    </w:p>
    <w:p>
      <w:pPr>
        <w:spacing w:after="100"/>
      </w:pPr>
      <w:r>
        <w:t xml:space="preserve">La amenaza principal ya está en marcha: los competidores igualan las innovaciones de Zoetis en sus tres grandes franquicias de mascotas. En dermatología, Zenrelia, Befrena y Numelvi [23, 26]. En antiparasitarios, Credelio Quattro y NexGard [23, 28]. En dolor, Librela arrastra la carta de la FDA y la nueva ficha de la EMA [32, 33]. La probabilidad de que la erosión siga en 2026-2027 es alta: la guía de 2026 ya prevé de −3 % a −1 % orgánico [9]. La segunda amenaza llega en 2030-2032 con el vencimiento de las patentes de Apoquel y Simparica Trio [36, 37]. Su peso es alto: Simparica es el 16 % de las ventas y Apoquel el 12 % [1]. La tercera es una caída prolongada de las visitas en EE. UU. [27].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2016-2025: ingresos </w:t>
      </w:r>
      <w:r>
        <w:rPr>
          <w:b/>
          <w:bCs/>
        </w:rPr>
        <w:t xml:space="preserve">7,6 %</w:t>
      </w:r>
      <w:r>
        <w:t xml:space="preserve">, EBITDA </w:t>
      </w:r>
      <w:r>
        <w:rPr>
          <w:b/>
          <w:bCs/>
        </w:rPr>
        <w:t xml:space="preserve">10,6 %</w:t>
      </w:r>
      <w:r>
        <w:t xml:space="preserve">, BPA </w:t>
      </w:r>
      <w:r>
        <w:rPr>
          <w:b/>
          <w:bCs/>
        </w:rPr>
        <w:t xml:space="preserve">15,5 %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Zoetis duplicó sus ventas en nueve años, de 4.888 M en 2016 a 9.467 M en 2025, y el beneficio neto se multiplicó por 3,3 (de 821 M a 2.673 M) porque el margen bruto subió del 65,9 % al 71,8 % y los gastos comerciales y de administración bajaron del 27,9 % al 25,1 % de las ventas [1, 8]. El salto de 2021 (+16,5 %) vino de la pandemia de mascotas y de los anticuerpos monoclonales; desde 2023 el crecimiento se frena: +8,3 % en 2024 y +2,3 % en 2025, este último lastrado por unos 3 puntos de la venta de los aditivos medicados (MFA) y 1 punto de divisa; el orgánico operativo de 2025 fue del 6 % [1, 11]. En 2026 la empresa ya no crece: el orgánico operativo fue 0 % en el 1T26 y −1 % en el 2T26, y la guía anual es de −3 % a −1 % [9, 10]. </w:t>
      </w:r>
      <w:r>
        <w:rPr>
          <w:b/>
        </w:rPr>
        <w:t xml:space="preserve">Años no comparables</w:t>
      </w:r>
      <w:r>
        <w:t xml:space="preserve">: 2018 (Abaxis desde agosto), 2024-2025 (salida del MFA) y 2017, con un cargo fiscal de unos 229 M por la reforma fiscal de EE. UU. que llevó el tipo al 43 % [7].</w:t>
      </w:r>
    </w:p>
    <w:p>
      <w:pPr>
        <w:pStyle w:val="Heading2"/>
      </w:pPr>
      <w:r>
        <w:t xml:space="preserve">Ajustes y partidas no recurrentes</w:t>
      </w:r>
    </w:p>
    <w:p>
      <w:pPr>
        <w:spacing w:after="100"/>
      </w:pPr>
      <w:r>
        <w:t xml:space="preserve">Las cifras son las publicadas en US GAAP. El EBIT se calcula como beneficio antes de impuestos más gastos por intereses menos «otros (ingresos)/gastos netos», que recogen ingresos financieros (93 M en 2025), diferencias de cambio y plusvalías o minusvalías de ventas (101 M de plusvalía por la participación en el seguro de mascotas en 2023; 25 M de pérdida por el MFA en 2024) [1, 5]. Las reestructuraciones (51 M en 2025) y la amortización de intangibles adquiridos quedan dentro del EBIT. El BPA ajustado de la empresa excluye amortización de compras, costes de operaciones y «partidas significativas» (cierres de plantas, el programa de ERP, despidos): 6,41 USD frente a 6,02 GAAP en 2025 (0,39 de diferencia) y 5,92 frente a 5,47 en 2024 (0,45) [11, 15]. Para 2026 la guía es de 5,55-5,65 USD GAAP y 6,15-6,25 ajustado [9]. Desde el 1-ene-26 las filiales internacionales cierran a 31 de diciembre en lugar de a 30 de noviembre (cambio de criterio aplicado de forma retroactiva): 2025 se publicó con el desfase de un mes, y el 1S25 reexpresado es 4.672 M frente a 4.680 M publicados [2]. El LTM a junio de 2026 combina el ejercicio 2025 publicado con los semestres reexpresados.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2"/>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crecimiento orgánico operativo se frenó trimestre a trimestre: 14 % en el 3T24 (operativo, antes de vender el MFA), 9 % en el 4T24 y el 1T25, 8 % en el 2T25, 4 % en el 3T25 y el 4T25, 0 % en el 1T26 y −1 % en el 2T26 [9, 10, 11, 12, 13, 14, 15, 16]. Los trimestres de 2026 se comparan con 2025 reexpresado por el cambio de cierre internacional (el 1T25 pasa de 2.220 M a 2.198 M) [3]. En mayo la dirección presentó el 1T26 como un trimestre peor de lo previsto: dueños de mascotas más sensibles al precio, menos visitas al veterinario (agravadas por las tormentas de invierno) y más competidores que compiten sobre todo en precio; la dermatología clave cayó un 11 % y la guía bajó a un orgánico del 2-5 % [10, 18]. En agosto el tono fue más duro: las visitas periódicas de perros en EE. UU. siguieron más de un 2 % por debajo, un nuevo competidor entró en dermatología en EE. UU. en el 2T26, la dermatología clave cayó un 16 % (EE. UU. −18 %) y la guía pasó a −3 % / −1 % orgánico [9, 19]. El cambio de discurso es el precio: la empresa descarta bajar el precio de lista, pero acelera inversiones temporales «del bruto al neto» (descuentos, rebajas en el punto de venta, paquetes de productos) para defender volumen y cuota. Los analistas (Morgan Stanley, William Blair, BofA, JPMorgan, Stifel, Citi, Piper Sandler) preguntaron sobre todo por el efecto de esos descuentos en el precio neto y los márgenes, la pérdida de cuota implícita en la guía, los recortes de costes (gastos comerciales y de administración −4 % en el 2T26) y si 2027 volverá a crecer. La dirección no cuantificó la pérdida de cuota ni el coste de los descuentos y se negó a hablar de 2027: no sabe si la presión competitiva durará «seis, 12 o 18 meses»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(2018: Abaxis (diagnóstico en clínica), consolidada desde el 31-jul-18 por 1.962 M de contraprestación: cinco meses en la cuenta y entera en el balance [7].; 2024: Venta a Phibro de los aditivos medicados (MFA), algunos hidrosolubles y activos asociados, cerrada el 31-oct-24 por 299 M netos: restó unos 3 puntos al crecimiento de 2025 [1].; 2025: Bonos convertibles de 2.000 M emitidos el 18-dic-25: la caja y la deuda suben al cierre y la recompra financiada con ellos se completó en el 1T26 [1,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ha crecido más que las ventas: las existencias pasaron de 1.410 M en 2019 a 2.430 M en 2025, y en 2025 los clientes subieron 274 M, con unas ventas del 4T25 internacional adelantadas por el cambio de cierre [1]. La deuda bruta se mantuvo cerca de 6.500-7.900 M entre 2018 y 2024 y saltó a 9.042 M en 2025 por los bonos de agosto (1.850 M, que refinanciaron 1.350 M de vencimientos) y los convertibles de diciembre (2.000 M), destinados íntegramente a recompras [1, 2]. La deuda neta pasó de 4.583 M a 6.730 M y el patrimonio cayó a 3.331 M porque la autocartera acumulada es de 10.685 M. A junio de 2026, tras otros 1.190 M de recompras, la deuda neta es de unos 7.370 M (9.048 M de deuda menos 1.676 M de caja y depósitos), cerca de 1,9 veces el EBITDA de los últimos doce meses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15.340</w:t>
      </w:r>
      <w:r>
        <w:t xml:space="preserve">, conversión </w:t>
      </w:r>
      <w:r>
        <w:rPr>
          <w:b/>
          <w:bCs/>
        </w:rPr>
        <w:t xml:space="preserve">86 %</w:t>
      </w:r>
      <w:r>
        <w:t xml:space="preserve"> del beneficio neto; adquisiciones 2.989, dividendos 4.783, recompras 10.988.</w:t>
      </w:r>
    </w:p>
    <w:p>
      <w:pPr>
        <w:spacing w:after="100"/>
      </w:pPr>
      <w:r>
        <w:t xml:space="preserve">El flujo operativo cubre bien el beneficio: 2.904 M en 2025 frente a 2.673 M de beneficio neto, y 2.953 M en 2024 [1]. La conversión fue débil en 2022 (1.912 M, con 2.114 M de beneficio) porque las existencias del balance subieron 422 M [6]. El capex se triplicó de 216 M en 2016 a un máximo de 732 M en 2023 (8,6 % de las ventas) por la ampliación de plantas de anticuerpos monoclonales y de Irlanda y China, y baja desde entonces: 621 M en 2025 y 227 M en el 1S26 [1, 2]. La empresa no separa mantenimiento y crecimiento; como estimación propia, la amortización del inmovilizado material (unos 330 M en 2025: 487 M de amortización total menos 157 M de intangibles) aproxima el capex de mantenimiento, lo que deja unos 290 M de capex de crecimiento. Las recompras (incluidas las retenciones fiscales de planes de acciones) suman 10.988 M en diez años y en 2025 (3.246 M) superaron el flujo libre porque se financiaron con deuda; además se pagaron 187 M por la opción con techo de los convertibles, que no figura como recompra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 Zoetis desde 2011 y su informe de 2025 destaca dos asuntos clave: las posiciones fiscales inciertas y la estimación de los descuentos por volumen (rebates) en EE. UU., que crecen ahora que la empresa usa los descuentos para defender cuota [1, 19]. La I+D se gasta entera (698 M en 2025, 7,4 % de las ventas); sí se capitalizan los costes de implantación del nuevo ERP en la nube: 176 M netos en 2025 frente a 67 M en 2024 [1]. La remuneración en acciones es baja (83 M en 2025, 3,1 % del beneficio) [1]. Los deterioros son recurrentes pero pequeños: entre 31 y 53 M al año desde 2020, sobre todo en sanidad animal de precisión, diagnóstico y acuicultura [1, 5]. Dos asuntos afectan a la comparabilidad: el cambio de cierre de las filiales internacionales (aplicado de forma retroactiva en 2026) y el adelanto de ventas al 4T25 internacional, que la empresa cifra en un 2,5-3,5 % de las ventas del trimestre en ese segmento [1, 2]. La empresa usó en 2022 y 2024 un prepago intragrupo desde Bélgica para rebajar impuestos en EE. UU., con beneficio diferido hasta 2026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Adelanto de ventas al 4T25 por el cambio de cierre internacional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2,5-3,5 % de las ventas internacionales del 4T25 se adelantaron y no se repetirán; además se retrasaron pedidos de diciembre de 2025 a 2026 y se movieron las subidas de precio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criterio contable: eliminación del mes de desfase de las filiales internacionales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Aplicado de forma retroactiva desde el 1-ene-26; el 1T25 reexpresado tiene 22 M menos de ventas y 29 M menos de beneficio, y el 1S25, 8 M y 21 M menos; el patrimonio a 31-dic-25 sube 84 M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accionistas por información engañosa (mayo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a compradores entre el 14-ene-25 y el 6-may-26; hay además demandas derivadas en Nueva York y Nueva Jersey; sin provisión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Descuentos y rebates crecientes en EE. UU.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la empresa anuncia más inversiones «del bruto al neto» en el 2S26, que dependen de estimaciones de la propia empresa [1, 19].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de costes de software en la nube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176 M netos a cierre de 2025 (67 M en 2024), amortizados linealmente; 6 M de amortización en 2025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42,3 % · </w:t>
      </w:r>
      <w:r>
        <w:rPr>
          <w:b/>
          <w:bCs/>
        </w:rPr>
        <w:t xml:space="preserve">WACC</w:t>
      </w:r>
      <w:r>
        <w:t xml:space="preserve">: 8,5 %.</w:t>
      </w:r>
    </w:p>
    <w:p>
      <w:pPr>
        <w:spacing w:after="100"/>
      </w:pPr>
      <w:r>
        <w:t xml:space="preserve">Zoetis crea mucho valor y lo sigue haciendo en 2025: el ROIC fue del 29,0 % frente a un WACC del 8,53 %, y ha sido del 23 % o más todos los años desde 2018 (17,7 % en 2016, tras la separación de Pfizer). Lo que lo sostiene es el margen, no la rotación: el margen EBIT pasó del 28,5 % de 2016 al 37,5 % de 2025, con un margen bruto del 71,8 %, mientras la rotación del capital se mantiene. El ROIC incremental de la última década es del 42,3 %: cada dólar de capital añadido desde 2016 rindió más que el capital antiguo, porque los superventas biológicos (Apoquel, Cytopoint, Librela) y Simparica Trio requieren poca inversión fija [1]. El ROE del 66 % está inflado por las recompras con deuda (patrimonio de 3.331 M en 2025 frente a 4.997 M en 2023) y no es comparable. Frente a los competidores, solo IDEXX rinde más (47,2 %); Elanco rinde un 3,3 % y Virbac un 11,7 % [73, 74, 77]. El riesgo para el ROIC no es el capital sino el margen: los descuentos para defender cuota en EE. UU. ya bajan la guía de margen bruto ajustado del 71,5 % al 71,0 % en 2026 [9].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7.773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1.476 M más 200 M en depósitos a plazo, una línea de crédito sindicada de 1.250 M sin disponer (vence en agosto de 2030, ampliable a 1.750 M), un programa de papel comercial de 1.000 M sin saldo vivo y 46 M en otras líneas bancarias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(estable, última acción enero de 2025); S&amp;P BBB+ (estable, abril de 2025)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arrendamientos son casi todos operativos (US GAAP): pasivo de 249 M a cierre de 2025 (52 M a corto y 196 M a largo), tipo medio del 3,9 % y 6,9 años de plazo; no se suman a la deuda porque su gasto ya está en el EBITDA. Los financieros son 7 M [1]. La línea de crédito exige deuda neta/EBITDA de 3,5 veces como máximo (4,0 tras una compra relevante) y se cumple con holgura [2]. Pensiones: déficit de 42 M en los planes propios [1]. Impuestos inciertos a largo plazo: 276 M en «otros impuestos a pagar» [1]. El 27-may-26 se presentó una demanda colectiva de accionistas en Nueva York (compradores entre el 14-ene-25 y el 6-may-26), seguida de demandas derivadas en junio; no hay provisión ni estimación [2]. Pasivos contingentes por la compra de PetMedix (hasta 100 M por hitos) y el litigio ambiental de Ulianópolis (Brasil), sin cuantificar [2, 5]. Los convertibles de 2029 (2.000 M al 0,25 %, conversión a 148,20 USD) se liquidan en efectivo hasta el nominal, con una opción de compra con techo (capped call) que cubre 13,5 M de acciones hasta 211,72 USD [2].</w:t>
      </w:r>
    </w:p>
    <w:p>
      <w:pPr>
        <w:pStyle w:val="Heading1"/>
      </w:pPr>
      <w:r>
        <w:t xml:space="preserve">12. Asignación de capital</w:t>
      </w:r>
    </w:p>
    <w:p>
      <w:pPr>
        <w:pStyle w:val="Confianza"/>
        <w:spacing w:after="100"/>
      </w:pPr>
      <w:r>
        <w:t xml:space="preserve">Confianza: Media</w:t>
      </w:r>
    </w:p>
    <w:p>
      <w:pPr>
        <w:spacing w:after="100"/>
      </w:pPr>
      <w:r>
        <w:t xml:space="preserve">Zoetis prioriza la inversión interna (I+D y capacidad), las compras pequeñas y medianas, un dividendo creciente y las recompras [1]. El dividendo trimestral subió a 0,53 USD en 2026 (0,50 en 2025) y el repartido en 2025 fue de 2,03 USD por acción, un tercio del beneficio [1, 2]. En agosto de 2024 el consejo aprobó un programa de recompras de 6.000 M sin fecha de caducidad; a 30-jun-26 quedaban 1.300 M [2]. Desde 2025 la empresa recompra con deuda: los convertibles de 2.000 M de diciembre de 2025 financiaron 248 M de recompras simultáneas, 187 M de la opción con techo y 1.535 M de recompras que se completaron en marzo de 2026 (12,3 M de acciones) [2, 20]. Las acciones en circulación bajaron de 448,5 M a cierre de 2024 a 414,2 M en junio de 2026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Abaxis (diagnóstico en clínica, EE. UU.), 83 USD por acción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 emitidos en agosto de 2018 (1.485 M netos)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977 M sin deterioro; base del negocio de diagnóstico, que vendió 434 M en 2025 y crece un 12 % en el 2T26 [1, 7, 19].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Platinum Performance (nutrición) y laboratorios de referencia Phoenix Lab y ZNLabs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conjunto de las compras del año. Platinum hizo ventas con posibles vínculos con Irán; la OFAC cerró el caso sin sanción en julio de 2023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Fish Vet Group, Virtual Recall, Performance Livestock Analytics y Ethos Diagnostic Science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conjunto, sin publicar por separado. Las áreas de sanidad animal de precisión y acuicultura, a las que pertenecen dos de ellas, registraron deterioros en 2023 y 2024 [1, 5,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Jurox (medicamentos veterinarios,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sin deterioros publicados; aporta capacidad fabril en Australia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PetMedix (anticuerpos para animales de compañía,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hasta 100 M adicionales por hitos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I+D en fase de desarrollo, sin ventas; alimenta la cartera de anticuerpos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Phibro de los aditivos medicados y activos asociados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neto de 292 M en 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25 M en 2024 y 3 M más en 2025; restó unos 3 puntos al crecimiento de 2025 y mejoró el margen bruto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Veterinary Pathology Group (laboratorios, Reino Unido e Irlanda)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total pagado por compras en 2025; operación no material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VitalRADS (telerradiología) y negocio de genómica animal de Neogen (pendiente)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VitalRADS cerró en julio de 2026; Neogen se espera en el 2S26. Importes no publicados [2, 9].</w:t>
            </w:r>
          </w:p>
        </w:tc>
      </w:tr>
    </w:tbl>
    <w:p>
      <w:pPr>
        <w:spacing w:after="160" w:before="0"/>
      </w:pPr>
    </w:p>
    <w:p>
      <w:pPr>
        <w:spacing w:after="100"/>
      </w:pPr>
      <w:r>
        <w:t xml:space="preserve">Zoetis devuelve más de lo que genera: de 2016 a 2025 generó 15.340 M de flujo libre y repartió 4.783 M en dividendos y 10.988 M en recompras, además de 2.989 M en compras [1]. Desde 2025 recompra con deuda: los 2.000 M de convertibles de diciembre de 2025 financiaron 1.535 M de recompras terminadas en marzo de 2026, a unos 125 USD por acción (12,3 M de acciones), un 75 % por encima del precio actual [2, 20]. Es la peor decisión de capital del periodo, tomada justo antes de dos rebajas de la guía. Las compras grandes salieron bien: Abaxis (1.962 M en 2018) llevó a Zoetis al diagnóstico, que factura 434 M y crece al 10-12 % [1, 9]. Con una deuda neta de 1,9 veces el EBITDA y un rating A3/BBB+, hay margen para seguir, pero quedan 1.300 M del programa de recompras y la prioridad debería ser el dividendo (2,9 % de rentabilidad) y la cartera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Kristin C. Peck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 y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Zoetis desde octubre de 2012: presidenta de grupo durante la salida a bolsa de 2013 y responsable de las operaciones de EE. UU. de 2015 a 2019 [1]. Con ella al frente los ingresos pasaron de 6.260 M USD en 2019 a 9.467 M en 2025 y el BPA ajustado de 3,64 a 6,41 USD [11, 43]; pero el retorno total al accionista de 2023-2025 quedó en el percentil 19 del S&amp;P 500 y las acciones por objetivos de ese ciclo no se consolidaron [38]. Posee 105.902 acciones y 386.684 opciones consolidadas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(Jay) Saccaro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director de operaciones (CFO y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17 de agosto de 2026 en un cargo nuevo que suma finanzas y la fabricación y el suministro globales. Venía de ser director financiero de GE HealthCare (desde junio de 2023) y antes de Baxter (2015-2023) y de Hill-Rom [39]. Salario de 1,0 M USD, variable anual objetivo del 100 % y variable a largo plazo objetivo de 5,0 M USD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Wetteny Joseph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Exdirector financiero; asesor especial de la CEO hasta, como tarde, el 28 de febrero 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junio de 2021, procedente de Catalent, donde fue director financiero de 2018 a 2021 [1]. Deja el cargo el 16 de agosto de 2026 sin desacuerdo declarado; cobrará la indemnización del plan de directivos y sus acciones se tratan como en una reestructuración [39]. Remuneración de 2025: 5,60 M USD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B. McCallister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y consejero delegado de Humana, donde según el proxy la capitalización pasó de unos 1.100 M a 12.700 M USD entre 2000 y 2012; consejero de AT&amp;T [38]. Preside Zoetis desde junio de 2013 (73 años) y compró 3.000 acciones a 77,76 USD el 11 de mayo de 2026, tras la caída por los resultados del primer trimestre [38,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Brannan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comercial (Chief Commercial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Internacional de 2021 a 2024, el segmento que sostiene hoy las cuentas: en el segundo trimestre de 2026 creció un 6 % orgánico mientras EE. UU. caía un 7 % [1, 9]. Desde noviembre de 2024 lleva toda el área comercial. Remuneración de 2025: 3,97 M USD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Kevin Esch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y presidente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Veterinario clínico durante más de diez años y en Zoetis desde 2014; dirigió Terapéuticos Globales en 2025 [1]. Sustituye a Robert Polzer, que dejó el cargo el 31 de diciembre de 2025 y se jubiló el 28 de febrero de 2026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6.650-6.800 M USD y BPA ajustado de 3,90-4,00 USD (febrero de 2020, antes de la pandemia)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6.675 M USD y BPA ajustado de 3,85 USD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7.400-7.550 M USD y BPA ajustado de 4,36-4,46 USD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7.776 M USD y BPA ajustado de 4,70 USD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8.325-8.475 M USD y BPA ajustado de 5,09-5,19 USD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8.080 M USD y BPA ajustado de 4,88 USD; el dólar fuerte dejó el crecimiento publicado en el 4 % frente al 8 % operativo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8.575-8.725 M USD (crecimiento operativo del 6-8 %) y BPA ajustado de 5,34-5,44 USD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8.544 M USD (crecimiento operativo del 7 %) y BPA ajustado de 5,32 USD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9.075-9.225 M USD y BPA ajustado de 5,74-5,84 USD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9.256 M USD y BPA ajustado de 5,92 USD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9.225-9.375 M USD (crecimiento orgánico del 6-8 %) y BPA ajustado de 6,00-6,10 USD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9.467 M USD (crecimiento orgánico del 6 %) y BPA ajustado de 6,41 USD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ingresos de 9.825-10.025 M USD (orgánico +3 % a +5 %) y BPA ajustado de 7,00-7,10 USD [11]. Mayo: 9.680-9.960 M USD y 6,85-7,00 USD, ya con la alineación del ejercicio de las filiales internacionales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Agosto: rebajada a 9.120-9.320 M USD (orgánico -3 % a -1 %) y BPA ajustado de 6,15-6,25 USD, un 12 % menos que el punto medio de febrero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dirección cumplió o superó su guía en 2021, 2024 y 2025 y falló por divisa en 2022, pero 2026 rompe ese historial: dos rebajas en tres meses llevan el BPA ajustado de 7,00-7,10 a 6,15-6,25 USD y el crecimiento orgánico de +3/+5 % a -3/-1 % [9, 10, 11]. El problema es el negocio de mascotas en EE. UU. (menos visitas al veterinario y más competencia), que la guía de febrero no anticipó. El equipo pierde estabilidad: cambian el director financiero (agosto de 2026) y el de I+D (enero de 2026), y el nuevo financiero asume además las operaciones [38, 39]. Peck lleva casi siete años al frente; el consejo dice revisar la sucesión, pero no hay candidato público, y el cargo doble de Saccaro lo convierte en uno de hecho [38].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B. McCallister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expresidente y consejero delegado de Humana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el consejo y las sesiones de independientes)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Kristin C. Peck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M. Bisaro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expresidente ejecutivo de Amneal Pharmaceuticals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Vanessa Broadhurst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vicepresidenta ejecutiva de Asuntos Corporativos de Johnson &amp; Johnson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A. D'Amelio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exdirector financiero de Pfizer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Gavin D. K. Hattersley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exconsejero delegado de Molson Coors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Sanjay Khosla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expresidente de Mercados en Desarrollo de Mondelez</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Antoinette R. Leatherberry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exsocia de Deloitte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Recursos humanos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Norden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exdirector financiero de Wyeth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Willie M. Reed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decano emérito de Veterinaria de Purdue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e innovación (presidente);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Stetter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decano de Veterinaria de UC Davis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Stephanie Tilenius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fundadora de Peak Health y de Vida Health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Recursos humanos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0,88 / ventas 2,54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37,66 M de acciones a 30-jun-2026 frente a 36,49 M (8,68 %) a 31-dic-2023 [38,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30,28 M de acciones a 31-mar-2026; primera declaración por separado tras la reorganización de Vanguard [50,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24,07 M de acciones a 31-mar-2026; antes The Vanguard Group declaraba en conjunto 47,78 M (10,84 %) a 31-dic-2025 [51,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912.848 acciones incluidas opciones consolidadas y unidades diferidas a 20-mar-2026; menos del 1 %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(sobre las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87,74 M de acciones a 30-jun-2026 frente a 76,96 M a 31-dic-2025, por las recompras; quedan 414,15 M en circulación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Kristin C. Peck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B. McCallister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Frank A. D'Amelio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Paul M. Bisaro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19,05 M USD en 2025 (+10,7 %): 1,35 M de salario, 2,19 M de variable anual (108 % del objetivo), 13,62 M en acciones y opciones y 1,88 M de otros conceptos, de ellos 1,49 M en seguridad, coche y avión privado, también para viajes personales; 236 veces la mediana de la plantilla [38]. El variable anual pondera ingresos (40 %), BPA ajustado (40 %) y flujo libre (20 %). El de largo plazo es 50 % acciones por objetivos (TSR relativo frente al S&amp;P 500 Health Care y crecimiento operativo de ingresos), 25 % acciones restringidas y 25 % opciones; sin ROIC. El ciclo 2023-2025 pagó cero. Hay clawback conforme a la NYSE e indemnización de 24 meses de salario y bonus (30 con cambio de control). El apoyo de la junta bajó al 85,4 % en 2026 [40, 41, 42].</w:t>
      </w:r>
    </w:p>
    <w:p>
      <w:pPr>
        <w:pStyle w:val="Heading2"/>
      </w:pPr>
      <w:r>
        <w:t xml:space="preserve">Operaciones vinculadas, estructura de control y defensas</w:t>
      </w:r>
    </w:p>
    <w:p>
      <w:pPr>
        <w:spacing w:after="100"/>
      </w:pPr>
      <w:r>
        <w:t xml:space="preserve">No hay accionista de control: los mayores son gestoras indexadas (BlackRock, 9,0 %; dos entidades de Vanguard, 7,17 % y 5,70 %) y consejeros y directivos no llegan al 1 % [38, 49, 50, 51]. Una sola clase de acciones, consejo elegido cada año por mayoría, acceso al proxy (3 % durante tres años) y derecho a convocar junta con el 25 % y un año de tenencia [38]. El presidente es independiente y preside las sesiones sin directivos, así que no hay consejero coordinador formal. No se puede actuar por consentimiento escrito: la propuesta para permitirlo obtuvo el 46,7 % en 2026 [40]. En 2024 se limitó la responsabilidad de los directivos con un 10,5 % en contra [42]. Sin operaciones vinculadas en 2025 y con prohibición de cubrir o pignorar acciones [38].</w:t>
      </w:r>
    </w:p>
    <w:p>
      <w:pPr>
        <w:pStyle w:val="Heading2"/>
      </w:pPr>
      <w:r>
        <w:t xml:space="preserve">Señales de alerta</w:t>
      </w:r>
    </w:p>
    <w:p>
      <w:pPr>
        <w:pStyle w:val="ListParagraph"/>
        <w:numPr>
          <w:ilvl w:val="0"/>
          <w:numId w:val="2"/>
        </w:numPr>
        <w:spacing w:after="60"/>
      </w:pPr>
      <w:r>
        <w:t xml:space="preserve">Cambio de director financiero: Wetteny Joseph deja el cargo el 16 de agosto de 2026, anunciado el mismo día del segundo recorte de la guía; su sucesor, Jay Saccaro, asume además las operaciones en un cargo nuevo. El 8-K dice que no hubo desacuerdo [39].</w:t>
      </w:r>
    </w:p>
    <w:p>
      <w:pPr>
        <w:pStyle w:val="ListParagraph"/>
        <w:numPr>
          <w:ilvl w:val="0"/>
          <w:numId w:val="2"/>
        </w:numPr>
        <w:spacing w:after="60"/>
      </w:pPr>
      <w:r>
        <w:t xml:space="preserve">Demanda colectiva de accionistas presentada el 27 de mayo de 2026 en Nueva York (1:26-cv-04401) por compras del 14 de enero de 2025 al 6 de mayo de 2026, por declaraciones sobre la seguridad y la posición competitiva de Librela, Simparica Trio, Apoquel y Cytopoint; además, cinco demandas derivadas agrupadas en Nueva York y Nueva Jersey. La compañía aún no ha respondido a las demandas [2].</w:t>
      </w:r>
    </w:p>
    <w:p>
      <w:pPr>
        <w:pStyle w:val="ListParagraph"/>
        <w:numPr>
          <w:ilvl w:val="0"/>
          <w:numId w:val="2"/>
        </w:numPr>
        <w:spacing w:after="60"/>
      </w:pPr>
      <w:r>
        <w:t xml:space="preserve">La consejera delegada vendió 20.000 acciones por 2,54 M USD a 126-128 USD el 17 de febrero de 2026, dentro del periodo de la demanda, aunque con un plan 10b5-1; tres consejeros compraron en mayo a 75-78 USD, tras la caída por los resultados del primer trimestre [48].</w:t>
      </w:r>
    </w:p>
    <w:p>
      <w:pPr>
        <w:pStyle w:val="ListParagraph"/>
        <w:numPr>
          <w:ilvl w:val="0"/>
          <w:numId w:val="2"/>
        </w:numPr>
        <w:spacing w:after="60"/>
      </w:pPr>
      <w:r>
        <w:t xml:space="preserve">La FDA envió el 16 de diciembre de 2024 una carta a los veterinarios sobre efectos adversos de Librela (ataxia, convulsiones, otros signos neurológicos y, en algunos casos, muerte) [32]. Es el fondo de la demanda y de la caída de ventas del producto [2].</w:t>
      </w:r>
    </w:p>
    <w:p>
      <w:pPr>
        <w:pStyle w:val="ListParagraph"/>
        <w:numPr>
          <w:ilvl w:val="0"/>
          <w:numId w:val="2"/>
        </w:numPr>
        <w:spacing w:after="60"/>
      </w:pPr>
      <w:r>
        <w:t xml:space="preserve">Dos rebajas de la guía de 2026 en tres meses (mayo y agosto): el BPA ajustado pasa de 7,00-7,10 a 6,15-6,25 USD [9, 10, 11].</w:t>
      </w:r>
    </w:p>
    <w:p>
      <w:pPr>
        <w:pStyle w:val="ListParagraph"/>
        <w:numPr>
          <w:ilvl w:val="0"/>
          <w:numId w:val="2"/>
        </w:numPr>
        <w:spacing w:after="60"/>
      </w:pPr>
      <w:r>
        <w:t xml:space="preserve">Señales de la junta de 2026: apoyo a la remuneración en mínimo de tres años (85,4 %), 46,7 % a favor del consentimiento escrito y más votos en contra para los presidentes de Auditoría (Norden, 7,8 %) y de Recursos humanos (D'Amelio, 6,6 %), dos de los seis independientes con más de diez años en el consejo [40].</w:t>
      </w:r>
    </w:p>
    <w:p>
      <w:pPr>
        <w:pStyle w:val="ListParagraph"/>
        <w:numPr>
          <w:ilvl w:val="0"/>
          <w:numId w:val="2"/>
        </w:numPr>
        <w:spacing w:after="60"/>
      </w:pPr>
      <w:r>
        <w:t xml:space="preserve">Cambio de jefe de I+D en enero de 2026 (Esch por Polzer) y dos consejeras nuevas en 2025 (Stetter y Tilenius); sale Parent por edad en mayo de 2026 [38, 40, 54].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Con los resultados del 2T26, el 6 de agosto de 2026, Zoetis rebajó por segunda vez la guía del año: ingresos de 9.120-9.320 M USD (crecimiento orgánico operativo del −3 % al −1 %), beneficio neto ajustado de 2.570-2.620 M USD y BPA ajustado de 6,15-6,25 USD; en términos contables, un BPA de 5,55-5,65 USD [9]. En febrero esperaba 9.825-10.025 M USD de ingresos y un BPA ajustado de 7,00-7,10 USD [11]; en mayo la bajó a 9.680-9.960 M USD y 6,85-7,00 USD [10]. En seis meses, el punto medio de la guía de ingresos ha caído un 7,6 % y el del BPA ajustado un 12 %. La causa que da la empresa es la debilidad de animales de compañía en EE. UU.: menos visitas a las clínicas, sensibilidad al precio, más competencia en dermatología y en Simparica Trio y genéricos de Cerenia y Convenia [9]. No hay objetivos a medio plazo publicados.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[58]; BPA contable (el ajustado, 6,21 USD con 14 analistas, en Yahoo Finance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[58]; BPA contable (el ajustado, 6,54 USD con 16 analistas, en Yahoo Finance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[58]; BPA contable</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9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80,00 – 155,00</w:t>
            </w:r>
          </w:p>
        </w:tc>
      </w:tr>
    </w:tbl>
    <w:p>
      <w:pPr>
        <w:spacing w:after="160" w:before="0"/>
      </w:pPr>
    </w:p>
    <w:p>
      <w:pPr>
        <w:pStyle w:val="Heading2"/>
      </w:pPr>
      <w:r>
        <w:t xml:space="preserve">Revisiones de estimaciones</w:t>
      </w:r>
    </w:p>
    <w:p>
      <w:pPr>
        <w:spacing w:after="100"/>
      </w:pPr>
      <w:r>
        <w:t xml:space="preserve">MarketScreener es la única fuente gratuita con estimaciones completas a tres años, y su BPA de Zoetis es </w:t>
      </w:r>
      <w:r>
        <w:rPr>
          <w:b/>
        </w:rPr>
        <w:t xml:space="preserve">contable</w:t>
      </w:r>
      <w:r>
        <w:t xml:space="preserve">, no el ajustado que guía la empresa: 5,61 USD en 2026 frente a 6,21 USD del consenso ajustado [58, 61]. Las cifras de ventas cuadran entre fuentes (9.237 M frente a 9.240 M USD en 2026) [58, 61]. El BPA ajustado de 2026 ha bajado de 6,88 a 6,21 USD en 90 días (−9,7 %) y el de 2027, de 7,40 a 6,54 USD (−11,6 %), casi todo tras la rebaja de la guía del 6 de agosto; en 30 días hubo 15 revisiones a la baja y ninguna al alza [61]. A doce meses, frente a la guía inicial de febrero (7,00-7,10 USD), la caída es del 12 % (estimación propia) [11]. Los precios objetivo siguieron en agosto: TD Cowen de 104 a 94 USD, Citigroup de 112 a 96, JPMorgan de 130 a 115 y BNP Paribas de 146 a 110 [59]. Recomendaciones y precio objetivo coinciden en las dos fuentes (17 analistas, 96 USD de media) [59, 60].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bl>
    <w:p>
      <w:pPr>
        <w:spacing w:after="160" w:before="0"/>
      </w:pPr>
    </w:p>
    <w:p>
      <w:pPr>
        <w:spacing w:after="100"/>
      </w:pPr>
      <w:r>
        <w:t xml:space="preserve">Con dividendos, Zoetis pierde un 49 % en un año y un 42 % en 2026, mientras el S&amp;P 500 (SPY) gana un 18 % y el sector salud (XLV) otro 18 % [55]. Es su tercer año seguido por detrás del índice, y la caída desde el máximo del 29 de diciembre de 2021 llega al 70 %. Tres sesiones de resultados concentran el daño: −13,8 % el 4 de noviembre de 2025, cuando rebajó la guía de ingresos de 2025 [12]; −21,5 % el 7 de mayo de 2026, con el primer recorte de la de 2026 [10]; y −6,0 % el 7 de agosto, al día siguiente del segundo [9, 55]. El 27 de mayo se presentó una demanda colectiva por sus declaraciones sobre la seguridad y la posición competitiva de Librela, Simparica Trio, Apoquel y Cytopoint [2]. El mínimo de 52 semanas, 68,77 USD, es del 2 de octubre. La posición corta es moderada: 4,2 % de las acciones [56].</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ejercicio, Zoetis cotizó entre 21 y 57 veces su beneficio contable de 2016 a 2025, con una mediana de unas 36 veces [1, 55]. Hoy está a unas 12 veces: dos tercios por debajo de su historia. La compresión empezó en 2022, cuando el bono a 10 años pasó del 1,5 % de finales de 2021 al 4,2 % de finales de 2025 (5,3 % hoy) [62], y se ha agravado en 2026 al desaparecer el crecimiento: la guía de ingresos de 2026 es de −3 % a −1 % orgánico, frente al 7,6 % anual de 2016 a 2025 que sostenía el múltiplo [1, 9]. Para que vuelva a la mediana hace falta que vuelva el crecimiento, no solo que bajen los tipos.</w:t>
      </w:r>
    </w:p>
    <w:p>
      <w:pPr>
        <w:pStyle w:val="Heading1"/>
      </w:pPr>
      <w:r>
        <w:t xml:space="preserve">18. Comparables cotizados</w:t>
      </w:r>
    </w:p>
    <w:p>
      <w:pPr>
        <w:pStyle w:val="Confianza"/>
        <w:spacing w:after="100"/>
      </w:pPr>
      <w:r>
        <w:t xml:space="preserve">Confianza: Media</w:t>
      </w:r>
    </w:p>
    <w:p>
      <w:pPr>
        <w:spacing w:after="100"/>
      </w:pPr>
      <w:r>
        <w:t xml:space="preserve">Las seis cotizadas con más exposición a salud animal: las farmacéuticas veterinarias puras (Elanco, Phibro, Virbac y Vetoquinol), el líder del diagnóstico veterinario (IDEXX, rival de la división de diagnóstico de Zoetis) y Neogen (seguridad alimentaria y sanidad animal). Merck &amp; Co. queda fuera: la salud animal es una parte minoritaria de su negocio y su consenso de 2026 recoge un cargo extraordinario que deja el EBITDA en 15.729 M USD frente a 33.420 M en 2027 [72]. Boehringer Ingelheim, Ceva y Dechra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Zoetis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Elanco Animal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Phibro Animal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Neogen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Virbac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Vetoquinol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10,9x / 16,5x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 / 12,4x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14,3x / 31,8x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 2,5x / 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8,8 + 0,82 × crecimiento; R² = 0,15. El crecimiento explica poco los múltiplos de estos comparables (R² &lt; 0,3): la regresión no se usa en la valoración.</w:t>
      </w:r>
    </w:p>
    <w:p>
      <w:pPr>
        <w:spacing w:after="100"/>
      </w:pPr>
      <w:r>
        <w:t xml:space="preserve">Con el mismo método y proveedor, Zoetis cotiza a unas 9,3 veces el EBITDA de los próximos 12 meses y 12,1 veces el beneficio contable, por debajo de la mediana de los seis comparables (11,0 y 14,3 veces) pese a tener más del doble de margen EBITDA (44,8 % frente a un 20 %) y un ROIC del 27 % frente al 12 % [56, 58, 66, 67, 68, 69, 70, 71, 72, 73, 74, 75, 76, 77, 78]. El descuento lo explica el crecimiento: el consenso espera que sus ventas de los próximos 12 meses apenas superen las de los últimos 12 (menos de un 1 %), frente al 4,9 % de la mediana. IDEXX, con un 9 % de crecimiento y consumibles recurrentes, marca el techo (23 veces); Vetoquinol (5,7 veces, con caja neta), Virbac y Phibro (8 veces), el suelo. Elanco cotiza por encima de Zoetis con menos de la mitad de margen y 3,9 veces de deuda: el mercado paga su recuperación. Su PER (77 veces) es contable, sobre un beneficio casi nulo, y Neogen no tiene PER por pérdidas. Para Zoetis, EV/EBITDA con la mediana como referencia, sin prima de calidad mientras no vuelva a crecer.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Aditivos medicados para pienso de Zoetis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Phibro Animal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350 M USD anunciados sobre unas ventas de 400 M en 2023 [82]; el precio neto final fue de 309 M [4]. Ganadería madura, sin EBITDA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Sasaeah (Japón)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Virbac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280 M EUR sobre unas ventas de 75 M EUR, la mitad en vacunas [80]; convertido a 1,0874 USD/EUR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Dechra Pharmaceuticals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 y ADIA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4.882 M GBP, 25,9 veces el EBITDA de 2022 (188 M GBP); prima del 44 % sobre el precio sin afectar [79]. Convertido a 1,2525 USD/GBP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Heska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 USD por acción, prima del 23 % sobre el cierre previo [83]; valor estimado sobre 10,9 M de acciones y ventas de 257 M USD en 2022 [86] (estimación propia, sin restar la caja ni sumar el convertible).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Covetrus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CD&amp;R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4.000 M USD; prima del 39 % sobre la media de 30 días [81]; ventas de 4.575 M USD en 2021 [87]. Distribución veterinaria de margen bajo: fuera de la media.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Bayer Animal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Elanco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7.600 M USD: 5.320 M en efectivo y 2.280 M en acciones de Elanco [88]. El anuncio no publicó ventas ni EBITDA del negocio comprado.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Abaxis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USD por acción, unos 2.000 M USD de capital [84]; menos 186 M de caja e inversiones a marzo de 2018 y sobre 244,7 M de ventas del ejercicio 2018 [85] (estimación propia).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50,61 – 111,59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El sector paga caro lo que crece y barato lo que no. Por Dechra, mascotas y especialidades, EQT pagó 25,9 veces el EBITDA [79], y por los dos negocios de diagnóstico (Abaxis y Heska) se pagaron 5-7 veces las ventas [83, 84, 85, 86]; por los aditivos medicados que la propia Zoetis vendió a Phibro, y por la distribución de Covetrus, menos de una vez las ventas [81, 82]. Zoetis cotiza hoy a unas 9 veces el EBITDA y 3,9 veces las ventas, muy por debajo de lo pagado por Dechra. Con 37.000 M USD de valor empresa y un accionariado institucional disperso (flotante del 99,8 % [56]), solo una gran farmacéutica o un consorcio de capital privado podría comprarla; no hay indicios públicos de una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el punto medio de la guía de agosto: 9.221 M USD (−2,6 %), con dos trimestres publicados [9]. 2027e crece un 2,5 % y 2028e un 4,0 %, en línea con el consenso (9.477 y 9.877 M; diferencias de menos del 0,5 %) [58]: la base de 2026 ya incluye la pérdida de cuota y las ventas internacionales y de ganadería crecen al 6-11 % orgánico en 2026 [9]. De 2029e a 2035e, entre el 3,0 % y el 4,0 %, muy por debajo del 7,6 % anual de 2016-2025 y con los años de vencimiento de Apoquel (2030) y Simparica Trio (2032) más bajos [36, 37]. El mercado de salud animal crece en torno al 3 % según IMARC [35], aunque esa fuente infravalora las mascotas; Elanco y Merck crecen al 8 % en mascotas en 2026 [23, 26].</w:t>
      </w:r>
    </w:p>
    <w:p>
      <w:pPr>
        <w:keepNext/>
        <w:spacing w:after="100"/>
      </w:pPr>
      <w:r>
        <w:rPr>
          <w:b/>
          <w:bCs/>
        </w:rPr>
        <w:t xml:space="preserve">Márgenes.</w:t>
      </w:r>
    </w:p>
    <w:p>
      <w:pPr>
        <w:spacing w:after="100"/>
      </w:pPr>
      <w:r>
        <w:t xml:space="preserve">El margen EBITDA de 2026e (40,0 %) sale de la guía ajustada (coste de ventas del 29 %, gastos comerciales de 2.330-2.380 M e I+D de 720-730 M) menos las partidas significativas, y coincide con el consenso en base contable (diferencia del 0,2 %) [9, 58]. Sube despacio al 41,0 % en 2029e: por debajo del 42,6 % de 2025 y del 41,7 % de los últimos 12 meses, porque suponemos que los descuentos y la publicidad para defender dermatología y Simparica se quedan. El histórico da margen al supuesto: entre el 40,2 % y el 42,6 % desde 2020, con un margen bruto de 69-72 % [1]. Elanco gana un 19,1 % de margen EBITDA [74]: hay espacio para que la competencia lo erosione, y eso va al bajista.</w:t>
      </w:r>
    </w:p>
    <w:p>
      <w:pPr>
        <w:keepNext/>
        <w:spacing w:after="100"/>
      </w:pPr>
      <w:r>
        <w:rPr>
          <w:b/>
          <w:bCs/>
        </w:rPr>
        <w:t xml:space="preserve">Inversión y circulante.</w:t>
      </w:r>
    </w:p>
    <w:p>
      <w:pPr>
        <w:spacing w:after="100"/>
      </w:pPr>
      <w:r>
        <w:t xml:space="preserve">Capex del 6,3 % de las ventas en 2026e-2027e, que baja al 5,6 % en 2034e-2035e: Zoetis invirtió un 8,6 % en 2023 por la ampliación de plantas de biológicos y bajó al 6,6 % en 2025 [1]; la media de 2019-2025 es del 7,1 %. La amortización sube del 5,3 % al 5,5 % de las ventas y queda por debajo del capex todos los años. El circulante comercial pasa del 37 % al 35 % de las ventas: fue del 37,3 % en 2025 y del 32,7-40,5 % desde 2020, con el inventario como partida principal (2.430 M) [1]. Tipo impositivo del 20,5 % (guía de 2026 y 20,4 % en 2025) que sube al 21 % por el impuesto mínimo global [1, 9].</w:t>
      </w:r>
    </w:p>
    <w:p>
      <w:pPr>
        <w:keepNext/>
        <w:spacing w:after="100"/>
      </w:pPr>
      <w:r>
        <w:rPr>
          <w:b/>
          <w:bCs/>
        </w:rPr>
        <w:t xml:space="preserve">Coste del capital.</w:t>
      </w:r>
    </w:p>
    <w:p>
      <w:pPr>
        <w:spacing w:after="100"/>
      </w:pPr>
      <w:r>
        <w:t xml:space="preserve">Tasa libre del 5,31 %, el bono a 10 años de EE. UU. del 5-oct-2026 [62]. Beta de 0,85: entre la ajustada mensual (0,80) y la semanal (0,87) de cinco años frente al S&amp;P 500; frente al índice mundial ACWI sale 0,87 y frente al sector de salud (XLV), 0,77 la mensual ajustada y 1,02 la semanal ajustada [55]. La semanal de dos años (0,39) está hundida por caídas propias de la acción en un mercado que subía: es riesgo específico, no menos riesgo, y no se usa. Prima de mercado del 5,0 %, sin prima adicional: Zoetis es A3/BBB+ y opera en más de 100 países [2]. Coste de la deuda del 6,2 %, el rendimiento del índice BBB de EE. UU. [65], con un peso del 22,2 % a valor de mercado. WACC del 8,53 %; con la prima implícita del mercado (4,2 % [89]), 8,00 %.</w:t>
      </w:r>
    </w:p>
    <w:p>
      <w:pPr>
        <w:keepNext/>
        <w:spacing w:after="100"/>
      </w:pPr>
      <w:r>
        <w:rPr>
          <w:b/>
          <w:bCs/>
        </w:rPr>
        <w:t xml:space="preserve">Valor terminal.</w:t>
      </w:r>
    </w:p>
    <w:p>
      <w:pPr>
        <w:spacing w:after="100"/>
      </w:pPr>
      <w:r>
        <w:t xml:space="preserve">Crecimiento a perpetuidad del 3,0 %: un 1 % real más una inflación esperada de alrededor del 2 % en dólares, por debajo de la tasa libre menos medio punto (4,81 %). El múltiplo EV/EBITDA implícito en el Gordon es de 12,2x, frente a 9,4x hoy y una mediana de comparables de 11,0x en los próximos 12 meses; el múltiplo de salida de referencia (11,0x) implicaría un crecimiento perpetuo del 2,41 %. El valor terminal pesa el 61 % del valor empresa, un peso normal para un negocio de caja estable.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118,42</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33,5 % (base: 41,0 %)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8,5 %)</w:t>
            </w:r>
          </w:p>
        </w:tc>
      </w:tr>
    </w:tbl>
    <w:p>
      <w:pPr>
        <w:spacing w:after="160" w:before="0"/>
      </w:pPr>
    </w:p>
    <w:p>
      <w:pPr>
        <w:spacing w:after="100"/>
      </w:pPr>
      <w:r>
        <w:t xml:space="preserve">El DCF da </w:t>
      </w:r>
      <w:r>
        <w:rPr>
          <w:b/>
        </w:rPr>
        <w:t xml:space="preserve">96,44 USD por acción</w:t>
      </w:r>
      <w:r>
        <w:t xml:space="preserve">, un 35,2 % por encima del precio (71,33), con un valor terminal del 61 % del valor empresa y 7.773 M de deuda neta ajustada (18,76 USD por acción). La tabla de WACC y crecimiento terminal (±0,5 puntos) va de 81,99 a 117,13 USD: el precio queda por debajo de todo el rango. </w:t>
      </w:r>
      <w:r>
        <w:rPr>
          <w:b/>
        </w:rPr>
        <w:t xml:space="preserve">El DCF inverso dice que el precio descuenta que las ventas caigan un 0,9 % al año de 2027e a 2035e con nuestro margen, o que el margen EBITDA baje al 33,5 % para siempre con nuestro crecimiento, o una rentabilidad anual del 10,1 %</w:t>
      </w:r>
      <w:r>
        <w:t xml:space="preserve"> frente a nuestro WACC del 8,53 % y al 8,00 % que pide hoy el mercado. Es una hipótesis de declive: las ventas no cayeron ningún año de 2016 a 2025, y un margen EBITDA del 33,5 % es el de 2016, antes de los superventas biológicos. Nuestro caso base coincide con el consenso hasta 2028e (diferencias de menos del 1,3 % en EBITDA): la discrepancia con el mercado no está en los próximos dos años, sino en si la pérdida de cuota de 2026 es un escalón o una pendiente. Nosotros suponemos que es un escalón; el precio, que es una pendiente.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pérdida de cuota no se frena: Zenrelia, Befrena y Numelvi siguen ganando en dermatología, y Credelio Quattro y NexGard en antiparasitarios; Zoetis defiende volumen con descuentos y las ventas caen otra vez en 2027. Es lo que ya le pasó a Draxxin tras perder la exclusividad (−66 % en EE. UU. desde 2021) [1]: crecimiento medio del 0,6 % y margen EBITDA del 37,5 %.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tocan suelo en 2026 y vuelven a crecer en 2027 (+2,5 %) con internacional, ganadería y los anticuerpos de larga duración; la cuota en EE. UU. se estabiliza a un precio neto más bajo. Los vencimientos de Apoquel (2030) y Simparica Trio (2032) frenan el crecimiento al 3-3,5 % y el margen EBITDA se queda en el 41,0 %.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o tres de los más de 12 candidatos a superventas (enfermedad renal, oncología, cardiología) se aprueban antes de 2030 y Lenivia y Portela llegan a EE. UU.; Zoetis recupera parte de la cuota perdida. Crecimiento medio del 4,9 % y margen EBITDA del 42,0 %, el de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1,3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88,77 USD (+24,4 %).</w:t>
      </w:r>
    </w:p>
    <w:p>
      <w:pPr>
        <w:spacing w:after="100"/>
      </w:pPr>
      <w:r>
        <w:t xml:space="preserve">La asimetría es favorable: el alcista da 114,75 USD (+60,9 %) y el bajista 58,65 (−17,8 %), 3,42 veces más ganancia que pérdida con nuestro WACC, y 9,37 veces con la prima implícita del mercado (alcista 129,69, bajista 65,10). El bajista no es cosmético: supone un 2027 con ventas a la baja (−2,5 % más −5 puntos en 2027e), un crecimiento medio del 0,6 % y un margen EBITDA del 37,5 %, casi cinco puntos menos que en 2025; aun así se pierde menos de una quinta parte, porque el precio ya descuenta casi ese mundo (DCF inverso: −0,9 % anual). Le damos un 30 % de probabilidad, más que al alcista (20 %), porque la guía se ha rebajado dos veces en tres meses y la dirección no sabe si la presión competitiva durará «seis, 12 o 18 meses» [19]. El valor ponderado es de 88,77 USD. La cartera de I+D solo entra en el alcista: lo que separa el alcista del base, 18,31 USD por acción, es lo que pesaría como máximo.</w:t>
      </w:r>
    </w:p>
    <w:p>
      <w:pPr>
        <w:pStyle w:val="Heading1"/>
      </w:pPr>
      <w:r>
        <w:t xml:space="preserve">22. Suma de partes</w:t>
      </w:r>
    </w:p>
    <w:p>
      <w:pPr>
        <w:pStyle w:val="Confianza"/>
        <w:spacing w:after="100"/>
      </w:pPr>
      <w:r>
        <w:t xml:space="preserve">Confianza: Media</w:t>
      </w:r>
    </w:p>
    <w:p>
      <w:pPr>
        <w:spacing w:after="100"/>
      </w:pPr>
      <w:r>
        <w:t xml:space="preserve">No aplica: los dos segmentos que reporta Zoetis (EE. UU. e Internacional) venden los mismos productos con la misma estructura de I+D y fabricación, y mascotas y ganadería comparten plantas, red comercial y cartera [1]. No hay comparables puros de cada parte con múltiplos distintos (Elanco y Merck mezclan las dos especies). La diferencia de crecimiento entre mascotas y ganadería se trata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1,3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91,77 USD (+28,7 % sobre 71,33).</w:t>
      </w:r>
    </w:p>
    <w:p>
      <w:pPr>
        <w:spacing w:after="100"/>
      </w:pPr>
      <w:r>
        <w:t xml:space="preserve">Pesamos el DCF al 50 % porque Zoetis tiene diez años de caja estable (conversión del 86 % del beneficio en flujo libre en 2016-2025) y la tesis se resume en dos supuestos que el DCF hace explícitos: cuánto crecen las ventas tras 2026 y dónde se queda el margen. Los escenarios llevan un 35 % porque el riesgo principal, que la pérdida de cuota siga, se recoge mejor ahí (valor ponderado de 88,77 USD). Los comparables, un 15 %: su mediana da 83,20 USD, pero la muestra es frágil (la mediana del EV/EBITDA de los próximos 12 meses va de 8,3x a 13,6x según qué empresa se quite) y ninguno tiene el margen de Zoetis (41,7 % frente a una mediana del 20,1 %); solo IDEXX tiene un ROIC parecido y cotiza a 23x. Las transacciones no pesan: solo publican EV/ventas (mediana 4,41x), un múltiplo que no sirve entre márgenes tan distintos, y llevan prima de control. Todos los métodos quedan por encima del precio salvo el escenario bajista, y el precio objetivo medio de los analistas es de 96 USD [59]. Con la prima implícita del mercado (4,2 % [89], WACC del 8,00 %), el DCF sube a 108,47 USD y el valor objetivo a 101,61 USD (+42,5 %). El puente usa el balance del 30-jun-2026: deuda bruta de 9.150 M a nominal (con los 2.000 M de convertibles), caja e imposiciones de 1.676 M, el dividendo declarado y pendiente (221 M) y el déficit de pensiones neto de impuestos (71 M) [2].</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confirmación de la guía de 2026 [57]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si la dermatología y Simparica en EE. UU. tocan suelo tras los descuentos del 2T26; una tercera rebaja de la guía confirmaría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quiso hablar de 2027 en agosto [19]: una guía de crecimiento positivo (consenso +2,6 % [58]) validaría 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Segundo semestre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negocio de genómica animal de Neogen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en ventas; refuerza el diagnóstico y la ganadería, los negocios que crecen.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 publicada)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en EE. UU. de Lenivia y Portela, los anticuerpos de tres meses para la artrosis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lanzados en la UE y Canadá; en EE. UU. reabrirían el crecimiento del dolor, que cae un 18 % allí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28-feb-2027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Wetteny Joseph y primer plan de Jay Saccaro como director financiero y de operaciones [39]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programa de eficiencia o de reasignación de capital; también riesgo de nuevos ajustes contables o de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de accionistas (Nueva York, 1:26-cv-04401) sobre Librela, Simparica Trio, Apoquel y Cytopoint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moción de desestimación rechazada alargaría el litigio; el coste suele ser pequeño frente a 29.552 M de capitalización.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85,4 % de apoyo a la remuneración de 2026, el mínimo de tres años, una votación peor presionaría por cambios en la cúpula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dermatología: Zenrelia (Elanco), Befrena y Numelvi (Merck) frente a Apoquel y Cytopoint, el 18,5 % de las ventas de 2025 [1, 23, 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por cada punto menos de crecimiento anual; −13,1 %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Apoquel tiene patente en EE. UU. hasta 2030 y Zenrelia lleva una advertencia de seguridad en la etiqueta [21,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 clave de EE. UU. por debajo de −15 % interanual en el 3T26 (−18 % en el 2T26) [19].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Simparica Trio frente a Credelio Quattro (Elanco) y NexGard (Boehringer) en EE. UU., con dueños más sensibles al precio [23, 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dos puntos menos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franquicia crece un 19 % fuera de EE. UU. y la patente llega a 2032 [19,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Simparica de EE. UU. por debajo de −10 % en un trimestre (−6 %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Librela y Solensia: carta de la FDA de diciembre de 2024, precauciones nuevas de la EMA en noviembre de 2025 y demanda colectiva [2, 32, 33]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−39,2 % en el bajista si se suma a la pérdida de cuota; aislado, menos del 5 % (el dolor por artrosis es el 6 %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Lenivia y Portela, de larga duración, ya se venden en la UE y Canadá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etiqueta en EE. UU. o advertencia en recuadro de la FDA.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precio neto: descuentos, rebajas y paquetes para defender volumen [19]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−13,2 % con dos puntos menos de margen y uno menos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71,8 % en 2025 y recortes de gastos comerciales (−4 % en el 2T26) [1,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ajustado por debajo del 70 % en 2026 (guía: 71 %) [9].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Vencimiento de patentes: Apoquel en abril de 2030 y Simparica Trio en marzo de 2032 en EE. UU. (base Pharsight) [36, 37]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 con un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lealtad a la marca tras la patente: ProHeart y Revolution siguen vendiéndose sin ella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Solicitudes de genéricos de oclacitinib en la FDA antes de 2030.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visitas al veterinario en EE. UU. (−2 % en 2025 y previsión parecida en 2026 según IDEXX) [27]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con un punto menos de crecimiento anual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y la ganadería de EE. UU., el 59 % de las ventas del 1S26 (estimación propia: 2.769 de 4.730 M), crecen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Visitas de IDEXX en EE. UU. por debajo de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por recompras con deuda: deuda bruta de 9.150 M y vencimientos de 2.100 M en 2027-2028 [2]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−9,8 % si el WACC sube medio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1,9 veces el EBITDA, rating A3/BBB+ y 1.250 M de crédito sin disponer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rating o recompras nuevas con deuda por encima de 2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Ganadería por encima de su tendencia por brotes (gusano barrenador, aviar), que pueden revertir [9]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del −6,8 % que cuesta un punto menos de crecimiento todos los años, porque el efecto duraría uno o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ganadería es el 31 % de las ventas y está diversificada por especies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Ganadería de EE. UU. por debajo del 5 % de crecimiento en el 2S26 (+23 %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en la cúpula: nuevo director financiero y de operaciones y nuevo jefe de I+D en 2026 [38, 39]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afecta a la credibilidad de la guía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Saccaro fue director financiero de Baxter ocho años y de GE HealthCare [39].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la consejera delegada o tercera rebaja de guía.</w:t>
            </w:r>
          </w:p>
        </w:tc>
      </w:tr>
    </w:tbl>
    <w:p>
      <w:pPr>
        <w:spacing w:after="160" w:before="0"/>
      </w:pPr>
    </w:p>
    <w:p>
      <w:pPr>
        <w:pStyle w:val="Heading2"/>
      </w:pPr>
      <w:r>
        <w:t xml:space="preserve">Pre-mortem</w:t>
      </w:r>
    </w:p>
    <w:p>
      <w:pPr>
        <w:spacing w:after="100"/>
      </w:pPr>
      <w:r>
        <w:t xml:space="preserve">Octubre de 2029: la acción vale 43 USD. Empezó en noviembre de 2026, cuando el 3T26 mostró la dermatología de EE. UU. otra vez un 20 % abajo y Zoetis rebajó la guía por tercera vez. En febrero de 2027 la guía de 2027 dio ventas planas: Befrena se llevó a los veterinarios de Cytopoint y Zenrelia pasó del 40 % de la cuota de inhibidores JAK en EE. UU., mientras Credelio Quattro y NexGard COMBO convertían Simparica Trio en un producto de precio. Para defender volumen, Zoetis bajó el precio neto y el margen EBITDA cayó al 37 % en 2027. Lenivia no llegó a EE. UU. hasta 2028 y lo hizo con una etiqueta tan restrictiva como Librela. La cartera de superventas se retrasó, Saccaro anunció un plan de eficiencia con despidos y deterioros, y el mercado empezó a contar el vencimiento de Apoquel de 2030 como un precipicio, a la manera de Draxxin. Con la deuda de las recompras de 2025-2026 y el rating en BBB, se recortaron las recompras. El múltiplo pasó de 9,4x a 8x el EBITDA sobre un EBITDA un 15 % menor. Las señales estaban ahí: la dermatología de EE. UU. por debajo de −15 % en el 3T26, el margen bruto ajustado por debajo del 70 % y una guía de 2027 sin crecimiento.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Pesan tres asuntos. El primero es la seguridad de producto y la farmacovigilancia. Librela, Apoquel, Cytopoint y Simparica Trio están entre las cinco primeras líneas, que suman el 42 % de las ventas [1]. Un aviso de seguridad cambia la prescripción: es lo que la FDA y la EMA hicieron con Librela en 2024 y 2025 [32, 33]. El segundo son los antibióticos para ganado, 713 M USD en 2025 (el 7,5 % de los ingresos), expuestos a restricciones y a la preferencia por proteína sin antibióticos [1]. El tercero son el bienestar animal y las emisiones de la ganadería, que restan demanda de carne en algunos consumidores [1]. Zoetis informa con los marcos SASB y TCFD y responde a los cuestionarios de clima y agua de CDP [38].</w:t>
      </w:r>
    </w:p>
    <w:p>
      <w:pPr>
        <w:pStyle w:val="Heading2"/>
      </w:pPr>
      <w:r>
        <w:t xml:space="preserve">Controversias</w:t>
      </w:r>
    </w:p>
    <w:p>
      <w:pPr>
        <w:spacing w:after="100"/>
      </w:pPr>
      <w:r>
        <w:t xml:space="preserve">El 27 de mayo de 2026 unos accionistas presentaron una demanda colectiva en Nueva York. Alegan declaraciones engañosas sobre la seguridad, la competencia y la cuota de Librela, Simparica Trio, Apoquel y Cytopoint entre enero de 2025 y mayo de 2026 [2]. En junio de 2026 llegaron varias demandas derivadas [2]. Zoetis dice que tiene defensas sólidas [2]. En diciembre de 2024, la FDA publicó la carta a veterinarios sobre eventos adversos de Librela [32]. Sigue abierto el caso ambiental de Ulianópolis (Brasil), de 2012 [2]. Elanco afronta una demanda parecida por Zenrelia [22].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cuota en dólares perdió Apoquel frente a Zenrelia y Numelvi y Cytopoint frente a Befrena en EE. UU. en el 2T26 y el 3T26, y a qué precio neto?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lo cuantificó en agosto [19]; es la diferencia entre el escalón del caso base y la pendiente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ventas de EE. UU. son descuentos y rebajas («del bruto al neto») y cuánto durarán?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un 3,5 % del valor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¿Espera la dirección crecer en 2027, y con qué mezcla de precio y volumen?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+2,6 % [58]; el precio descuenta caídas del 0,9 % anual.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Librela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presentará Lenivia a la FDA y qué datos de seguridad aporta frente a Librela?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lanzamiento que podría reabrir el crecimiento del dolor en EE. UU. (−18 % en el 2T26)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patentes y formulaciones protegen Apoquel y Simparica Trio después de 2030 y 2032, y hay ya solicitudes de genéricos?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no publica esas fechas [1]; el caso base supone un frenazo, no un precipicio.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I+D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candidatos a superventas están en fase de registro y en qué años esperan aprobación?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fases ni fechas, la cartera no se puede valorar por rNPV y solo entra en el alcista (18,31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 recomprando con deuda tras pagar unos 125 USD por acción en el 1T26?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financiadas con los convertibles se hicieron un 75 % por encima del precio actual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Ganadería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+23 % de la ganadería de EE. UU. en el 2T26 es demanda puntual por el gusano barrenador y por el adelanto de suministro?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revierte en 2027, el crecimiento del caso base se queda corto.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y 2 explicados. Fuentes: 89 (59 primarias); citas distintas en el texto: 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37,0 % frente a 37,3 % real: genera una variación de circulante de -121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0,15: el crecimiento no explica los múltiplos de estos comparables; no uses el valor de la regresión. Explicación: Con siete empresas de márgenes muy distintos (19-42 % de margen EBITDA), el crecimiento no explica los múltiplos (R² 0,15).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8,3x a 13,6x según qué comparable se quite (57,79 a 106,67 por acción): la muestra es frágil; explícalo y no le des mucho peso. Explicación: IDEXX (23x) y Phibro o Vetoquinol (6-8x) mueven la mediana entre 8,3x y 13,6x. Por eso los comparables pesan solo un 15 % y el texto lo explica.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89 fuentes (59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los ocho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transcripciones de la empresa: no citan el consenso; 2) búsqueda web de resúmenes de resultados (Stock Taper, Betafinch, Barchart): sin cifra literal de consenso previo o páginas vacías; 3) no se puede derivar sin un proveedor de estimaciones históricas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del 2T26: la amortización solo figura acumulada en el estado de flujos; 2) notas de prensa trimestrales: no publican amortizaciones; 3) derivarlo exigía restar acumulados de seis 10-Q más, fuera del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Revolution, ProHeart y Cytopoint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categorías de producto y porcentaje de las dos mayores líneas; 2) transcripciones del 4T25, 1T26 y 2T26: dan dermatología clave en conjunto y solo el crecimiento de ProHeart; 3) notas de prensa: sin desglose por marca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en las compras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10-K 2019, 2023 y 2025: no publican EBITDA de las adquiridas; 2) nota de prensa del 2T26 (VitalRADS) y 10-Q (Neogen): sin importe; 3) no derivable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Buscador de calificaciones ESG de MSCI: ya no es público y pide una demo; 2) ficha de Zoetis en Sustainalytics (redirige a la portada) y agregador knowesg.com (403); 3) web de sostenibilidad de Zoetis y proxy 2026: solo dicen que responde a CDP, sin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margen_ebit_pct de Boehringer Ingelheim Animal Health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resultados 2025 de Boehringer (antibot Incapsula, también con navegador); 2) PDF del informe anual 2025 (mismo antibot); 3) prensa sectorial (Ruminews): da ventas y no margen de la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(2020-2024) con una misma definición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Zoetis y Elanco: no cifran el mercado; 2) HealthforAnimals: solo los ingresos de las 20 primeras en 2024 y el crecimiento medio de 2014-23; 3) IMARC: solo 2025 y previsión a 2034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(2025 real y proyección 2026e-2030e con el crecimiento de IMARC)</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por producto (Librela, Solensia, Apoquel, Cytopoint, Simparica Trio)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pesos de las cinco primeras líneas y categorías; 2) 10-Q 2T26: categorías; 3) notas de prensa del 3T24 al 2T26: solo comentarios cualitativos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categorías dermatología, dolor y antiparasitarios)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fases y fechas de la cartera de I+D (más de 12 candidatos a superventas)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la empresa no desglosa la I+D por fase ni por área; 2) notas de prensa del 1T26 y el 2T26: solo áreas; 3) nota del 4T25: «12 candidatos», sin fases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patentes de Librela, Cytopoint y Revolution Plus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Sección de propiedad intelectual de los 10-K de 2019 a 2025: no las da; 2) Pharsight (ficha de Librela sin datos); 3) búsqueda de patentes de oclacitinib y bedinvetmab: solo Apoquel y Simparica Trio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visitas al veterinario de EE. UU. en 2026 con cifra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IDEXX: −2 % en 2025 y previsión de una caída parecida en 2026; 2) nota de prensa del 2T26 de IDEXX: no da la cifra; 3) notas de Zoetis del 1T26 y el 2T26: solo comentario cualitativo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dato de 2025 y la previsión)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comportamiento del sector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2019 de Zoetis: empieza en 2015-2019; 2) 10-K 2025 de Elanco: empieza en 2023; 3) HealthforAnimals: crecimiento medio de 2014-23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James Saccaro y Kevin Esch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propiedad del proxy 2026 (Saccaro aún no estaba; Esch no figura entre los directivos nombrados); 2) Form 4 de los últimos 12 meses con form4.mjs (Esch solo tiene concesiones y retenciones, sin saldo agregado; Saccaro no aparece); 3) 8-K del nombramiento de Saccaro (da la remuneración, no la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sucesión de la consejera delegada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apartados de gobierno y de supervisión del consejo (solo menciona que el consejo supervisa la sucesión, sin nombres); 2) 8-K de agosto de 2026 del nombramiento de Saccaro (sin referencia a sucesión); 3) Notas de prensa de 2026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 de remuneración frente al coste medio por empleado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(solo publica la ratio frente a la mediana: 236 a 1, con una mediana de 80.592 USD); 2) 10-K 2025, plantilla y gastos de personal (unos 14.500 empleados, sin coste total de personal); 3) Derivarlo de datos agregados (US GAAP no desglosa el coste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la ratio frente a la mediana que publica la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da el BPA contable a tres años, no el ajustado; 2) Yahoo Finance: el ajustado solo para 2026 y 2027; 3) Stock Analysis: 2027-2028 solo con suscripción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BPA contable de MarketScreener en los tres años y el ajustado se cita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del consenso de BPA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la tendencia solo llega a 90 días; 2) copia archivada de Yahoo de octubre de 2025 en Wayback Machine: no accesible; 3) derivado frente a la guía inicial de febrero de 2026 (7,00-7,10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cifras actuales; 2) Yahoo Finance: solo BPA y ventas; 3) Stock Analysis: sin historial de revisiones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Elanco / Bayer Animal Health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Elanco en el 8-K: solo el valor de 7.600 M USD; 2) búsqueda en prensa: ventas de 1.800 M USD de 2018 citadas solo por medios, sin documento primario; 3) derivarlo con esa cifra de prensa: descartado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mantiene la operación sin múltiplo)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Heska, Abaxis, Sasaeah y del negocio de aditivos medicados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cada operación: sin EBITDA; 2) datos XBRL de Heska y Abaxis: sin EBITDA ajustado comparable; 3) prensa: sin cifras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EV/ventas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informe anual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https://www.sec.gov/Archives/edgar/data/1555280/000155528026000011/zts-20251231.htm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informe trimestral 10-Q del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https://www.sec.gov/Archives/edgar/data/1555280/000155528026000040/zts-20260630.htm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trimestral 10-Q del 1T26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https://www.sec.gov/Archives/edgar/data/1555280/000155528026000024/zts-20260331.htm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https://www.sec.gov/Archives/edgar/data/1555280/000155528025000102/zts-20241231.htm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https://www.sec.gov/Archives/edgar/data/1555280/000155528024000143/zts-20231231.htm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https://www.sec.gov/Archives/edgar/data/1555280/000155528023000074/zts-20221231.htm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https://www.sec.gov/Archives/edgar/data/1555280/000155528020000054/zoetis-20191231x10kye.htm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datos XBRL de Zoetis Inc. (companyfacts, CIK 0001555280): series anuales 2016-2022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https://data.sec.gov/api/xbrl/companyfacts/CIK0001555280.json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2T26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https://www.sec.gov/Archives/edgar/data/1555280/000155528026000038/exhibit99q22026.htm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1T26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https://www.sec.gov/Archives/edgar/data/1555280/000155528026000021/exhibit99q12026.htm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4T25 y del ejercicio 2025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https://www.sec.gov/Archives/edgar/data/1555280/000155528026000008/exhibit9912-31x25q4.htm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3T25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https://www.sec.gov/Archives/edgar/data/1555280/000155528025000272/exhibit99q32025.htm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2T25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https://www.sec.gov/Archives/edgar/data/1555280/000155528025000259/exhibit99q22025.htm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1T25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https://www.sec.gov/Archives/edgar/data/1555280/000155528025000201/exhibit99q12025.htm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4T24 y del ejercicio 2024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https://www.sec.gov/Archives/edgar/data/1555280/000155528025000100/exhibit9912-31x24q4.htm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3T24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https://www.sec.gov/Archives/edgar/data/1555280/000155528024000330/exhibit99q32024.htm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https://s203.q4cdn.com/620628704/files/doc_financials/2025/q4/ZTS-Q4FY25-Earnings-Transcript.pdf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https://s203.q4cdn.com/620628704/files/doc_financials/2026/q1/Q1-2026-Zoetis-Earnings-Call.pdf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https://s203.q4cdn.com/620628704/files/doc_financials/2026/q2/Q2-2026-Zoetis-Earnings-Call.pdf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8-K de la emisión de bonos convertibles al 0,25 % con vencimiento en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https://www.sec.gov/Archives/edgar/data/1555280/000119312525324853/d35588d8k.htm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https://www.sec.gov/Archives/edgar/data/1739104/000173910426000012/elan-20251231.htm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Form 10-Q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https://www.sec.gov/Archives/edgar/data/1739104/000173910426000043/elan-20260630.htm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resultados del segundo trimestre de 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https://www.sec.gov/Archives/edgar/data/1739104/000173910426000040/elanco-20260630exhibit991.htm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resultados del cuarto trimestre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https://www.sec.gov/Archives/edgar/data/1739104/000173910426000008/elanco-12312025exhibit991.htm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10-K ejercicio 2025 (segmento Animal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https://www.sec.gov/Archives/edgar/data/310158/000031015826000063/mrk-20251231.htm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10-Q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https://www.sec.gov/Archives/edgar/data/310158/000031015826000212/mrk-20260630.htm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https://www.sec.gov/Archives/edgar/data/874716/000087471626000038/idxx-20251231.htm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Boehringer Ingelheim impulsa su cartera en fase avanzada y aumenta ventas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Ruminews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https://ruminews.com/en/boehringer-ingelheim-boosts-late-stage-pipeline-key-launches-increases-sales-2025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 résultats annuels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(difusión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https://mfn.se/all/a/virbac-sa/virbac-resultats-annuels-2025-16e218d3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2025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(difusión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https://echanges.dila.gouv.fr/OPENDATA/AMF/BWR/2026/03/FCBWR167051_20260327.pdf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media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https://data-api.ecb.europa.eu/service/data/EXR/A.USD.EUR.SP00.A?format=csvdata&amp;startPeriod=2024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Dear Veterinarian Letter notifying veterinarians about adverse events reported in dogs treated with Librela (bedinvetmab injection)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Center for Veterinary Medicine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https://www.fda.gov/animal-veterinary/product-safety-information/dear-veterinarian-letter-notifying-veterinarians-about-adverse-events-reported-dogs-treated-librela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Pharmacovigilance-related regulatory recommendations for centrally authorised veterinary medicinal products during 2025 (EMA/CVMP/PhVWP/101663/2025)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Medicamentos (CVMP)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https://www.ema.europa.eu/en/documents/regulatory-procedural-guideline/pharmacovigilance-related-regulatory-recommendations-centrally-authorised-veterinary-medicinal-products-during-2025_en.pdf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Value of the Animal Health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HealthforAnimals (con datos de S&amp;P Global y CEESA)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https://healthforanimals.org/reports/economic-value-of-the-animal-health-sector/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Animal Health Market Size, Share, Trends and Forecast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https://www.imarcgroup.com/animal-health-market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Apoquel Patent Expiration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Pharsight (GreyB)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https://pharsight.greyb.com/drug/apoquel-patent-expiration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Simparica Trio Patent Expiration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Pharsight (GreyB)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https://pharsight.greyb.com/drug/simparica-trio-patent-expiration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2026 Proxy Statement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https://www.sec.gov/Archives/edgar/data/1555280/000155528026000015/zts-20260406.htm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Form 8-K: nombramiento de James Saccaro como director financiero y de operaciones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https://www.sec.gov/Archives/edgar/data/1555280/000119312526338080/d166736d8k.htm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(Items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https://www.sec.gov/Archives/edgar/data/1555280/000155528026000029/zts-20260520.htm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(Items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https://www.sec.gov/Archives/edgar/data/1555280/000155528025000213/zts-20250521.htm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2024 (Items 5.02,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https://www.sec.gov/Archives/edgar/data/1555280/000155528024000257/zts-20240521.htm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2019, con la guía de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https://www.sec.gov/Archives/edgar/data/1555280/000155528020000042/exhibit9912-31x19q4.htm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2020, con la guía de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https://www.sec.gov/Archives/edgar/data/1555280/000155528021000095/exhibit9912-31x20q4.htm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2021, con la guía de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https://www.sec.gov/Archives/edgar/data/1555280/000155528022000075/exhibit9912-31x21q4.htm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2022, con la guía de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https://www.sec.gov/Archives/edgar/data/1555280/000155528023000072/exhibit9912-31x22q4.htm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2023, con la guía de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https://www.sec.gov/Archives/edgar/data/1555280/000155528024000141/exhibit9912-31x23q4.htm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Zoetis, 7-oct-2025 a 7-oct-2026 (107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https://www.sec.gov/cgi-bin/browse-edgar?action=getcompany&amp;CIK=0001555280&amp;type=4&amp;dateb=&amp;owner=include&amp;count=100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Zoetis (posición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https://www.sec.gov/Archives/edgar/data/1555280/000201238326003137/primary_doc.xml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Zoetis (posición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https://www.sec.gov/Archives/edgar/data/1555280/000210011926001284/primary_doc.xml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Zoetis (posición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https://www.sec.gov/Archives/edgar/data/1555280/000210012126000843/primary_doc.xml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Zoetis (posición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https://www.sec.gov/Archives/edgar/data/1555280/000010290926000019/primary_doc.xml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reorganización y declaración por entidades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https://www.sec.gov/Archives/edgar/data/1555280/000010290926002697/primary_doc.xml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Stephanie Tilenius como consejera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https://www.sec.gov/Archives/edgar/data/1555280/000155528025000266/zts-20251023.htm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ZTS, SPY, XLV, ^GSPC, ACWI, ^W5000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https://finance.yahoo.com/quote/ZTS/history/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(ZTS) statistics: valoración, flotante y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https://stockanalysis.com/stocks/zts/statistics/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to Host Webcast and Conference Call on Third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https://finviz.com/news/395116/zoetis-to-host-webcast-and-conference-call-on-third-quarter-2026-financial-results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estimaciones financieras anuales 2023-2028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https://www.marketscreener.com/quote/stock/ZOETIS-INC-12482719/finances/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https://www.marketscreener.com/quote/stock/ZOETIS-INC-12482719/consensus/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(ZTS) stock forecast: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https://stockanalysis.com/stocks/zts/forecast/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(ZTS) analysis: estimaciones de BPA y ventas, tendencia y 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https://finance.yahoo.com/quote/ZTS/analysis/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BofA BBB US Corporate Index Option-Adjusted Spread (BAMLC0A4CBBB)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 ICE Data Indices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https://fred.stlouisfed.org/series/BAMLC0A4CBBB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BofA BBB US Corporate Index Effective Yield (BAMLC0A4CBBBEY)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 ICE Data Indices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https://fred.stlouisfed.org/series/BAMLC0A4CBBBEY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https://www.marketscreener.com/quote/stock/IDEXX-LABORATORIES-INC-9641/finances/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https://www.marketscreener.com/quote/stock/ELANCO-ANIMAL-HEALTH-INCO-46276391/finances/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https://www.marketscreener.com/quote/stock/PHIBRO-ANIMAL-HEALTH-CORP-16253058/finances/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Neogen Corporation: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https://www.marketscreener.com/quote/stock/NEOGEN-CORPORATION-10179/finances/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https://www.marketscreener.com/quote/stock/VIRBAC-5234/finances/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https://www.marketscreener.com/quote/stock/VETOQUINOL-SA-36676/finances/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https://www.marketscreener.com/quote/stock/MERCK-CO-INC-13611/finances/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(ELAN)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https://stockanalysis.com/stocks/elan/statistics/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(PAHC)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Neogen (NEOG)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https://stockanalysis.com/stocks/neog/statistics/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(EPA:VIRP)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https://stockanalysis.com/quote/epa/VIRP/statistics/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(EPA:VETO)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https://stockanalysis.com/quote/epa/VETO/statistics/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Cash Offer for Dechra Pharmaceuticals PLC (anuncio de la Regla 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 Dechra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https://www.investegate.co.uk/announcement/7556360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to take a leading position in Japan through the acquisition of Sasaeah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https://www.investegate.co.uk/announcement/gnw/virbac-sa--0nm7/virbac-to-take-a-leading-position-in-japan-th-/8073275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to Be Acquired by Clayton, Dubilier &amp; Rice and TPG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https://www.sec.gov/Archives/edgar/data/1752836/000119312522159139/d290661dex991.htm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to acquire Zoetis' medicated feed additive product portfolio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https://www.sec.gov/Archives/edgar/data/1069899/000110465924053265/tm2412927d1_ex99-1.htm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Heska (8-K de Heska,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Heska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https://www.sec.gov/Archives/edgar/data/1038133/000114036123015841/brhc10050787_ex99-2.htm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and Abaxis announce definitive merger agreement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https://www.sec.gov/Archives/edgar/data/1555280/000155528018000179/ex99-12018mergerpressrelea.htm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Abaxis Inc.: datos XBRL del 10-K del ejercicio cerrado el 31-mar-2018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https://data.sec.gov/api/xbrl/companyfacts/CIK0000881890.json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Heska Corporation: datos XBRL del 10-K de 2022 y del 10-Q del 1T23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https://data.sec.gov/api/xbrl/companyfacts/CIK0001038133.json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Inc.: datos XBRL del 10-K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https://data.sec.gov/api/xbrl/companyfacts/CIK0001752836.json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to acquire Bayer Animal Health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https://www.sec.gov/Archives/edgar/data/1739104/000110465919046590/a19-17370_1ex99d1.htm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91,5 %</w:t>
      </w:r>
      <w:r>
        <w:t xml:space="preserve"> · Secciones con menos del 60 % de campos cubiertos: </w:t>
      </w:r>
      <w:r>
        <w:rPr>
          <w:b/>
          <w:bCs/>
        </w:rPr>
        <w:t xml:space="preserve">ninguna</w:t>
      </w:r>
      <w:r>
        <w:t xml:space="preserve"> · Generado el 8 oct 2026.</w:t>
      </w:r>
    </w:p>
    <w:p>
      <w:pPr>
        <w:pStyle w:val="Nota"/>
        <w:spacing w:after="100"/>
      </w:pPr>
      <w:r>
        <w:t xml:space="preserve">Línea cotizada única (NYSE: ZTS), cuentas y cotización en USD, US GAAP, ejercicio natural. El precio es el cierre del 6-oct-2026: la sesión del 7 seguía abierta a la fecha de corte [55]. Las acciones (414,3 M) son las de 30-jun-2026 más el efecto dilutivo de opciones y acciones restringidas, para que casen con la caja del puente; los convertibles de 2029 se liquidan en efectivo hasta el nominal y no diluyen por debajo de 148,20 USD [2]. Desde el 1-ene-2026 las filiales internacionales cierran a 31 de diciembre en vez de a 30 de noviembre: los trimestres de 2026 se comparan con 2025 reexpresado y el LTM combina ambos criterios [2]. El EBITDA es GAAP (EBIT más amortizaciones) y ya incluye el alquiler operativo: los pasivos por arrendamiento operativo (249 M) no van a la deuda, al puente ni al capital invertido [1]. El consenso de EBITDA de MarketScreener excluye partidas que la cuenta resta (2,2 % de las ventas) y su BPA es contable, no el ajustado que guía la empresa [58, 61]. Sin servicios de pago: faltan las ventas por producto de Librela, Apoquel y Cytopoint por separado, las fases de la cartera de I+D, el consenso previo de cada trimestre y las calificaciones ESG.</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Zoetis Inc. (ZTS)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71,33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Hoja1!$B$2:$B$10</c:f>
              <c:numCache>
                <c:formatCode>#,##0</c:formatCode>
                <c:ptCount val="9"/>
                <c:pt idx="0">
                  <c:v>68.77</c:v>
                </c:pt>
                <c:pt idx="1">
                  <c:v>80</c:v>
                </c:pt>
                <c:pt idx="2">
                  <c:v>57.1</c:v>
                </c:pt>
                <c:pt idx="3">
                  <c:v>81.82</c:v>
                </c:pt>
                <c:pt idx="4">
                  <c:v>50.61</c:v>
                </c:pt>
                <c:pt idx="5">
                  <c:v>81.99</c:v>
                </c:pt>
                <c:pt idx="6">
                  <c:v>58.65</c:v>
                </c:pt>
                <c:pt idx="7">
                  <c:v>97.04</c:v>
                </c:pt>
                <c:pt idx="8">
                  <c:v>70.97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Hoja1!$C$2:$C$10</c:f>
              <c:numCache>
                <c:formatCode>#,##0</c:formatCode>
                <c:ptCount val="9"/>
                <c:pt idx="0">
                  <c:v>79.53000000000002</c:v>
                </c:pt>
                <c:pt idx="1">
                  <c:v>75</c:v>
                </c:pt>
                <c:pt idx="2">
                  <c:v>76.55000000000001</c:v>
                </c:pt>
                <c:pt idx="3">
                  <c:v>105.36000000000001</c:v>
                </c:pt>
                <c:pt idx="4">
                  <c:v>60.980000000000004</c:v>
                </c:pt>
                <c:pt idx="5">
                  <c:v>35.14</c:v>
                </c:pt>
                <c:pt idx="6">
                  <c:v>56.1</c:v>
                </c:pt>
                <c:pt idx="7">
                  <c:v>25.409999999999997</c:v>
                </c:pt>
                <c:pt idx="8">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Estados Unidos</c:v>
                </c:pt>
              </c:strCache>
            </c:strRef>
          </c:tx>
          <c:spPr>
            <a:solidFill>
              <a:srgbClr val="2A78D6"/>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2620</c:v>
                </c:pt>
                <c:pt idx="1">
                  <c:v>2877</c:v>
                </c:pt>
                <c:pt idx="2">
                  <c:v>3203</c:v>
                </c:pt>
                <c:pt idx="3">
                  <c:v>3557</c:v>
                </c:pt>
                <c:pt idx="4">
                  <c:v>4042</c:v>
                </c:pt>
                <c:pt idx="5">
                  <c:v>4313</c:v>
                </c:pt>
                <c:pt idx="6">
                  <c:v>4555</c:v>
                </c:pt>
                <c:pt idx="7">
                  <c:v>5074</c:v>
                </c:pt>
                <c:pt idx="8">
                  <c:v>5097</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2643</c:v>
                </c:pt>
                <c:pt idx="1">
                  <c:v>2890</c:v>
                </c:pt>
                <c:pt idx="2">
                  <c:v>2972</c:v>
                </c:pt>
                <c:pt idx="3">
                  <c:v>3035</c:v>
                </c:pt>
                <c:pt idx="4">
                  <c:v>3652</c:v>
                </c:pt>
                <c:pt idx="5">
                  <c:v>3681</c:v>
                </c:pt>
                <c:pt idx="6">
                  <c:v>3911</c:v>
                </c:pt>
                <c:pt idx="7">
                  <c:v>4102</c:v>
                </c:pt>
                <c:pt idx="8">
                  <c:v>4254</c:v>
                </c:pt>
              </c:numCache>
            </c:numRef>
          </c:val>
        </c:ser>
        <c:ser>
          <c:idx val="2"/>
          <c:order val="2"/>
          <c:tx>
            <c:strRef>
              <c:f>Hoja1!$D$1</c:f>
              <c:strCache>
                <c:ptCount val="1"/>
                <c:pt idx="0">
                  <c:v>Fabricación para terceros y salud humana</c:v>
                </c:pt>
              </c:strCache>
            </c:strRef>
          </c:tx>
          <c:spPr>
            <a:solidFill>
              <a:srgbClr val="1BAF7A"/>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44</c:v>
                </c:pt>
                <c:pt idx="1">
                  <c:v>58</c:v>
                </c:pt>
                <c:pt idx="2">
                  <c:v>85</c:v>
                </c:pt>
                <c:pt idx="3">
                  <c:v>83</c:v>
                </c:pt>
                <c:pt idx="4">
                  <c:v>82</c:v>
                </c:pt>
                <c:pt idx="5">
                  <c:v>86</c:v>
                </c:pt>
                <c:pt idx="6">
                  <c:v>78</c:v>
                </c:pt>
                <c:pt idx="7">
                  <c:v>80</c:v>
                </c:pt>
                <c:pt idx="8">
                  <c:v>116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Estados Unidos</c:v>
                </c:pt>
                <c:pt idx="1">
                  <c:v>Internacional</c:v>
                </c:pt>
                <c:pt idx="2">
                  <c:v>Fabricación para terceros y salud humana</c:v>
                </c:pt>
              </c:strCache>
            </c:strRef>
          </c:cat>
          <c:val>
            <c:numRef>
              <c:f>Hoja1!$B$2:$B$4</c:f>
              <c:numCache>
                <c:formatCode>General</c:formatCode>
                <c:ptCount val="3"/>
                <c:pt idx="0">
                  <c:v>53.8</c:v>
                </c:pt>
                <c:pt idx="1">
                  <c:v>44.9</c:v>
                </c:pt>
                <c:pt idx="2">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Estados Unidos</c:v>
                </c:pt>
                <c:pt idx="1">
                  <c:v>Brasil</c:v>
                </c:pt>
                <c:pt idx="2">
                  <c:v>Australia</c:v>
                </c:pt>
                <c:pt idx="3">
                  <c:v>Reino Unido</c:v>
                </c:pt>
                <c:pt idx="4">
                  <c:v>Canadá</c:v>
                </c:pt>
                <c:pt idx="5">
                  <c:v>Alemania</c:v>
                </c:pt>
                <c:pt idx="6">
                  <c:v>China</c:v>
                </c:pt>
                <c:pt idx="7">
                  <c:v>Otros (incluye fabricación para terceros)</c:v>
                </c:pt>
              </c:strCache>
            </c:strRef>
          </c:cat>
          <c:val>
            <c:numRef>
              <c:f>Hoja1!$B$2:$B$9</c:f>
              <c:numCache>
                <c:formatCode>0"%"</c:formatCode>
                <c:ptCount val="8"/>
                <c:pt idx="0">
                  <c:v>53.8</c:v>
                </c:pt>
                <c:pt idx="1">
                  <c:v>4.2</c:v>
                </c:pt>
                <c:pt idx="2">
                  <c:v>3.5</c:v>
                </c:pt>
                <c:pt idx="3">
                  <c:v>3.4</c:v>
                </c:pt>
                <c:pt idx="4">
                  <c:v>3.1</c:v>
                </c:pt>
                <c:pt idx="5">
                  <c:v>2.5</c:v>
                </c:pt>
                <c:pt idx="6">
                  <c:v>2.4</c:v>
                </c:pt>
                <c:pt idx="7">
                  <c:v>27.1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40100</c:v>
                </c:pt>
                <c:pt idx="1">
                  <c:v>41195</c:v>
                </c:pt>
                <c:pt idx="2">
                  <c:v>42320</c:v>
                </c:pt>
                <c:pt idx="3">
                  <c:v>43475</c:v>
                </c:pt>
                <c:pt idx="4">
                  <c:v>44662</c:v>
                </c:pt>
                <c:pt idx="5">
                  <c:v>45881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Zoetis</c:v>
                </c:pt>
                <c:pt idx="1">
                  <c:v>Merck Animal Health (MSD)</c:v>
                </c:pt>
                <c:pt idx="2">
                  <c:v>Boehringer Ingelheim Animal Health</c:v>
                </c:pt>
                <c:pt idx="3">
                  <c:v>Elanco Animal Health</c:v>
                </c:pt>
                <c:pt idx="4">
                  <c:v>IDEXX Laboratories</c:v>
                </c:pt>
                <c:pt idx="5">
                  <c:v>Virbac</c:v>
                </c:pt>
                <c:pt idx="6">
                  <c:v>Vetoquinol</c:v>
                </c:pt>
              </c:strCache>
            </c:strRef>
          </c:cat>
          <c:val>
            <c:numRef>
              <c:f>Hoja1!$B$2:$B$8</c:f>
              <c:numCache>
                <c:formatCode>0.0"%"</c:formatCode>
                <c:ptCount val="7"/>
                <c:pt idx="0">
                  <c:v>37.5</c:v>
                </c:pt>
                <c:pt idx="1">
                  <c:v>33.5</c:v>
                </c:pt>
                <c:pt idx="3">
                  <c:v>0.3</c:v>
                </c:pt>
                <c:pt idx="4">
                  <c:v>31.6</c:v>
                </c:pt>
                <c:pt idx="5">
                  <c:v>15.4</c:v>
                </c:pt>
                <c:pt idx="6">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4888</c:v>
                </c:pt>
                <c:pt idx="1">
                  <c:v>5307</c:v>
                </c:pt>
                <c:pt idx="2">
                  <c:v>5825</c:v>
                </c:pt>
                <c:pt idx="3">
                  <c:v>6260</c:v>
                </c:pt>
                <c:pt idx="4">
                  <c:v>6675</c:v>
                </c:pt>
                <c:pt idx="5">
                  <c:v>7776</c:v>
                </c:pt>
                <c:pt idx="6">
                  <c:v>8080</c:v>
                </c:pt>
                <c:pt idx="7">
                  <c:v>8544</c:v>
                </c:pt>
                <c:pt idx="8">
                  <c:v>9256</c:v>
                </c:pt>
                <c:pt idx="9">
                  <c:v>9467</c:v>
                </c:pt>
                <c:pt idx="10">
                  <c:v>9221</c:v>
                </c:pt>
                <c:pt idx="11">
                  <c:v>9451</c:v>
                </c:pt>
                <c:pt idx="12">
                  <c:v>9829</c:v>
                </c:pt>
                <c:pt idx="13">
                  <c:v>10223</c:v>
                </c:pt>
                <c:pt idx="14">
                  <c:v>10580</c:v>
                </c:pt>
                <c:pt idx="15">
                  <c:v>10951</c:v>
                </c:pt>
                <c:pt idx="16">
                  <c:v>11279</c:v>
                </c:pt>
                <c:pt idx="17">
                  <c:v>11674</c:v>
                </c:pt>
                <c:pt idx="18">
                  <c:v>12083</c:v>
                </c:pt>
                <c:pt idx="19">
                  <c:v>12445</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1632</c:v>
                </c:pt>
                <c:pt idx="1">
                  <c:v>1948</c:v>
                </c:pt>
                <c:pt idx="2">
                  <c:v>2121</c:v>
                </c:pt>
                <c:pt idx="3">
                  <c:v>2379</c:v>
                </c:pt>
                <c:pt idx="4">
                  <c:v>2685</c:v>
                </c:pt>
                <c:pt idx="5">
                  <c:v>3208</c:v>
                </c:pt>
                <c:pt idx="6">
                  <c:v>3382</c:v>
                </c:pt>
                <c:pt idx="7">
                  <c:v>3507</c:v>
                </c:pt>
                <c:pt idx="8">
                  <c:v>3836</c:v>
                </c:pt>
                <c:pt idx="9">
                  <c:v>4033</c:v>
                </c:pt>
                <c:pt idx="10">
                  <c:v>3688</c:v>
                </c:pt>
                <c:pt idx="11">
                  <c:v>3809</c:v>
                </c:pt>
                <c:pt idx="12">
                  <c:v>4010</c:v>
                </c:pt>
                <c:pt idx="13">
                  <c:v>4191</c:v>
                </c:pt>
                <c:pt idx="14">
                  <c:v>4338</c:v>
                </c:pt>
                <c:pt idx="15">
                  <c:v>4490</c:v>
                </c:pt>
                <c:pt idx="16">
                  <c:v>4624</c:v>
                </c:pt>
                <c:pt idx="17">
                  <c:v>4786</c:v>
                </c:pt>
                <c:pt idx="18">
                  <c:v>4954</c:v>
                </c:pt>
                <c:pt idx="19">
                  <c:v>5102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65.9</c:v>
                </c:pt>
                <c:pt idx="1">
                  <c:v>66.6</c:v>
                </c:pt>
                <c:pt idx="2">
                  <c:v>67.2</c:v>
                </c:pt>
                <c:pt idx="3">
                  <c:v>68.2</c:v>
                </c:pt>
                <c:pt idx="4">
                  <c:v>69.2</c:v>
                </c:pt>
                <c:pt idx="5">
                  <c:v>70.4</c:v>
                </c:pt>
                <c:pt idx="6">
                  <c:v>69.6</c:v>
                </c:pt>
                <c:pt idx="7">
                  <c:v>70</c:v>
                </c:pt>
                <c:pt idx="8">
                  <c:v>70.6</c:v>
                </c:pt>
                <c:pt idx="9">
                  <c:v>71.8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33.4</c:v>
                </c:pt>
                <c:pt idx="1">
                  <c:v>36.7</c:v>
                </c:pt>
                <c:pt idx="2">
                  <c:v>36.4</c:v>
                </c:pt>
                <c:pt idx="3">
                  <c:v>38</c:v>
                </c:pt>
                <c:pt idx="4">
                  <c:v>40.2</c:v>
                </c:pt>
                <c:pt idx="5">
                  <c:v>41.3</c:v>
                </c:pt>
                <c:pt idx="6">
                  <c:v>41.9</c:v>
                </c:pt>
                <c:pt idx="7">
                  <c:v>41</c:v>
                </c:pt>
                <c:pt idx="8">
                  <c:v>41.4</c:v>
                </c:pt>
                <c:pt idx="9">
                  <c:v>42.6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28.5</c:v>
                </c:pt>
                <c:pt idx="1">
                  <c:v>32.1</c:v>
                </c:pt>
                <c:pt idx="2">
                  <c:v>31.1</c:v>
                </c:pt>
                <c:pt idx="3">
                  <c:v>31.4</c:v>
                </c:pt>
                <c:pt idx="4">
                  <c:v>33.6</c:v>
                </c:pt>
                <c:pt idx="5">
                  <c:v>35.5</c:v>
                </c:pt>
                <c:pt idx="6">
                  <c:v>36.1</c:v>
                </c:pt>
                <c:pt idx="7">
                  <c:v>35.3</c:v>
                </c:pt>
                <c:pt idx="8">
                  <c:v>36.1</c:v>
                </c:pt>
                <c:pt idx="9">
                  <c:v>37.5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16.8</c:v>
                </c:pt>
                <c:pt idx="1">
                  <c:v>16.3</c:v>
                </c:pt>
                <c:pt idx="2">
                  <c:v>24.5</c:v>
                </c:pt>
                <c:pt idx="3">
                  <c:v>24</c:v>
                </c:pt>
                <c:pt idx="4">
                  <c:v>24.5</c:v>
                </c:pt>
                <c:pt idx="5">
                  <c:v>26.2</c:v>
                </c:pt>
                <c:pt idx="6">
                  <c:v>26.2</c:v>
                </c:pt>
                <c:pt idx="7">
                  <c:v>27.4</c:v>
                </c:pt>
                <c:pt idx="8">
                  <c:v>26.9</c:v>
                </c:pt>
                <c:pt idx="9">
                  <c:v>28.2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11</c:v>
                </c:pt>
                <c:pt idx="1">
                  <c:v>4.7</c:v>
                </c:pt>
                <c:pt idx="2">
                  <c:v>1.4</c:v>
                </c:pt>
                <c:pt idx="3">
                  <c:v>4.2</c:v>
                </c:pt>
                <c:pt idx="4">
                  <c:v>0.5</c:v>
                </c:pt>
                <c:pt idx="5">
                  <c:v>3</c:v>
                </c:pt>
                <c:pt idx="6">
                  <c:v>2.9</c:v>
                </c:pt>
                <c:pt idx="7">
                  <c:v>-0.2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14</c:v>
                </c:pt>
                <c:pt idx="1">
                  <c:v>9</c:v>
                </c:pt>
                <c:pt idx="2">
                  <c:v>9</c:v>
                </c:pt>
                <c:pt idx="3">
                  <c:v>8</c:v>
                </c:pt>
                <c:pt idx="4">
                  <c:v>4</c:v>
                </c:pt>
                <c:pt idx="5">
                  <c:v>4</c:v>
                </c:pt>
                <c:pt idx="6">
                  <c:v>0</c:v>
                </c:pt>
                <c:pt idx="7">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68</c:v>
                </c:pt>
                <c:pt idx="1">
                  <c:v>69</c:v>
                </c:pt>
                <c:pt idx="2">
                  <c:v>65</c:v>
                </c:pt>
                <c:pt idx="3">
                  <c:v>63</c:v>
                </c:pt>
                <c:pt idx="4">
                  <c:v>55</c:v>
                </c:pt>
                <c:pt idx="5">
                  <c:v>53</c:v>
                </c:pt>
                <c:pt idx="6">
                  <c:v>55</c:v>
                </c:pt>
                <c:pt idx="7">
                  <c:v>56</c:v>
                </c:pt>
                <c:pt idx="8">
                  <c:v>52</c:v>
                </c:pt>
                <c:pt idx="9">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329</c:v>
                </c:pt>
                <c:pt idx="1">
                  <c:v>293</c:v>
                </c:pt>
                <c:pt idx="2">
                  <c:v>266</c:v>
                </c:pt>
                <c:pt idx="3">
                  <c:v>258</c:v>
                </c:pt>
                <c:pt idx="4">
                  <c:v>289</c:v>
                </c:pt>
                <c:pt idx="5">
                  <c:v>305</c:v>
                </c:pt>
                <c:pt idx="6">
                  <c:v>349</c:v>
                </c:pt>
                <c:pt idx="7">
                  <c:v>365</c:v>
                </c:pt>
                <c:pt idx="8">
                  <c:v>310</c:v>
                </c:pt>
                <c:pt idx="9">
                  <c:v>333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58</c:v>
                </c:pt>
                <c:pt idx="1">
                  <c:v>54</c:v>
                </c:pt>
                <c:pt idx="2">
                  <c:v>60</c:v>
                </c:pt>
                <c:pt idx="3">
                  <c:v>55</c:v>
                </c:pt>
                <c:pt idx="4">
                  <c:v>81</c:v>
                </c:pt>
                <c:pt idx="5">
                  <c:v>69</c:v>
                </c:pt>
                <c:pt idx="6">
                  <c:v>60</c:v>
                </c:pt>
                <c:pt idx="7">
                  <c:v>59</c:v>
                </c:pt>
                <c:pt idx="8">
                  <c:v>58</c:v>
                </c:pt>
                <c:pt idx="9">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497</c:v>
                </c:pt>
                <c:pt idx="1">
                  <c:v>1122</c:v>
                </c:pt>
                <c:pt idx="2">
                  <c:v>1452</c:v>
                </c:pt>
                <c:pt idx="3">
                  <c:v>1335</c:v>
                </c:pt>
                <c:pt idx="4">
                  <c:v>1673</c:v>
                </c:pt>
                <c:pt idx="5">
                  <c:v>1736</c:v>
                </c:pt>
                <c:pt idx="6">
                  <c:v>1326</c:v>
                </c:pt>
                <c:pt idx="7">
                  <c:v>1621</c:v>
                </c:pt>
                <c:pt idx="8">
                  <c:v>2297</c:v>
                </c:pt>
                <c:pt idx="9">
                  <c:v>2281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821</c:v>
                </c:pt>
                <c:pt idx="1">
                  <c:v>864</c:v>
                </c:pt>
                <c:pt idx="2">
                  <c:v>1428</c:v>
                </c:pt>
                <c:pt idx="3">
                  <c:v>1500</c:v>
                </c:pt>
                <c:pt idx="4">
                  <c:v>1638</c:v>
                </c:pt>
                <c:pt idx="5">
                  <c:v>2037</c:v>
                </c:pt>
                <c:pt idx="6">
                  <c:v>2114</c:v>
                </c:pt>
                <c:pt idx="7">
                  <c:v>2344</c:v>
                </c:pt>
                <c:pt idx="8">
                  <c:v>2486</c:v>
                </c:pt>
                <c:pt idx="9">
                  <c:v>2673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17.7</c:v>
                </c:pt>
                <c:pt idx="1">
                  <c:v>19.7</c:v>
                </c:pt>
                <c:pt idx="2">
                  <c:v>25</c:v>
                </c:pt>
                <c:pt idx="3">
                  <c:v>23</c:v>
                </c:pt>
                <c:pt idx="4">
                  <c:v>25.2</c:v>
                </c:pt>
                <c:pt idx="5">
                  <c:v>30.1</c:v>
                </c:pt>
                <c:pt idx="6">
                  <c:v>28.3</c:v>
                </c:pt>
                <c:pt idx="7">
                  <c:v>26.3</c:v>
                </c:pt>
                <c:pt idx="8">
                  <c:v>28.2</c:v>
                </c:pt>
                <c:pt idx="9">
                  <c:v>29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8.5</c:v>
                </c:pt>
                <c:pt idx="1">
                  <c:v>8.5</c:v>
                </c:pt>
                <c:pt idx="2">
                  <c:v>8.5</c:v>
                </c:pt>
                <c:pt idx="3">
                  <c:v>8.5</c:v>
                </c:pt>
                <c:pt idx="4">
                  <c:v>8.5</c:v>
                </c:pt>
                <c:pt idx="5">
                  <c:v>8.5</c:v>
                </c:pt>
                <c:pt idx="6">
                  <c:v>8.5</c:v>
                </c:pt>
                <c:pt idx="7">
                  <c:v>8.5</c:v>
                </c:pt>
                <c:pt idx="8">
                  <c:v>8.5</c:v>
                </c:pt>
                <c:pt idx="9">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55.2</c:v>
                </c:pt>
                <c:pt idx="1">
                  <c:v>53.1</c:v>
                </c:pt>
                <c:pt idx="2">
                  <c:v>72.2</c:v>
                </c:pt>
                <c:pt idx="3">
                  <c:v>61.3</c:v>
                </c:pt>
                <c:pt idx="4">
                  <c:v>50.6</c:v>
                </c:pt>
                <c:pt idx="5">
                  <c:v>49</c:v>
                </c:pt>
                <c:pt idx="6">
                  <c:v>47.3</c:v>
                </c:pt>
                <c:pt idx="7">
                  <c:v>49.9</c:v>
                </c:pt>
                <c:pt idx="8">
                  <c:v>50.9</c:v>
                </c:pt>
                <c:pt idx="9">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2.29</c:v>
                </c:pt>
                <c:pt idx="1">
                  <c:v>1.74</c:v>
                </c:pt>
                <c:pt idx="2">
                  <c:v>2.28</c:v>
                </c:pt>
                <c:pt idx="3">
                  <c:v>1.9</c:v>
                </c:pt>
                <c:pt idx="4">
                  <c:v>1.34</c:v>
                </c:pt>
                <c:pt idx="5">
                  <c:v>0.97</c:v>
                </c:pt>
                <c:pt idx="6">
                  <c:v>1.28</c:v>
                </c:pt>
                <c:pt idx="7">
                  <c:v>1.29</c:v>
                </c:pt>
                <c:pt idx="8">
                  <c:v>1.2</c:v>
                </c:pt>
                <c:pt idx="9">
                  <c:v>1.67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c:v>
                </c:pt>
                <c:pt idx="1">
                  <c:v>2027</c:v>
                </c:pt>
                <c:pt idx="2">
                  <c:v>2028</c:v>
                </c:pt>
                <c:pt idx="3">
                  <c:v>2029</c:v>
                </c:pt>
                <c:pt idx="4">
                  <c:v>2030</c:v>
                </c:pt>
                <c:pt idx="5">
                  <c:v>2031</c:v>
                </c:pt>
                <c:pt idx="6">
                  <c:v>2032</c:v>
                </c:pt>
                <c:pt idx="7">
                  <c:v>2033+</c:v>
                </c:pt>
              </c:strCache>
            </c:strRef>
          </c:cat>
          <c:val>
            <c:numRef>
              <c:f>Hoja1!$B$2:$B$9</c:f>
              <c:numCache>
                <c:formatCode>#,##0</c:formatCode>
                <c:ptCount val="8"/>
                <c:pt idx="0">
                  <c:v>0</c:v>
                </c:pt>
                <c:pt idx="1">
                  <c:v>750</c:v>
                </c:pt>
                <c:pt idx="2">
                  <c:v>1350</c:v>
                </c:pt>
                <c:pt idx="3">
                  <c:v>2000</c:v>
                </c:pt>
                <c:pt idx="4">
                  <c:v>750</c:v>
                </c:pt>
                <c:pt idx="5">
                  <c:v>0</c:v>
                </c:pt>
                <c:pt idx="6">
                  <c:v>750</c:v>
                </c:pt>
                <c:pt idx="7">
                  <c:v>3550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88</c:v>
                </c:pt>
                <c:pt idx="1">
                  <c:v>82</c:v>
                </c:pt>
                <c:pt idx="2">
                  <c:v>1998</c:v>
                </c:pt>
                <c:pt idx="3">
                  <c:v>195</c:v>
                </c:pt>
                <c:pt idx="4">
                  <c:v>113</c:v>
                </c:pt>
                <c:pt idx="5">
                  <c:v>14</c:v>
                </c:pt>
                <c:pt idx="6">
                  <c:v>312</c:v>
                </c:pt>
                <c:pt idx="7">
                  <c:v>155</c:v>
                </c:pt>
                <c:pt idx="8">
                  <c:v>8</c:v>
                </c:pt>
                <c:pt idx="9">
                  <c:v>24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188</c:v>
                </c:pt>
                <c:pt idx="1">
                  <c:v>206</c:v>
                </c:pt>
                <c:pt idx="2">
                  <c:v>243</c:v>
                </c:pt>
                <c:pt idx="3">
                  <c:v>314</c:v>
                </c:pt>
                <c:pt idx="4">
                  <c:v>380</c:v>
                </c:pt>
                <c:pt idx="5">
                  <c:v>474</c:v>
                </c:pt>
                <c:pt idx="6">
                  <c:v>611</c:v>
                </c:pt>
                <c:pt idx="7">
                  <c:v>692</c:v>
                </c:pt>
                <c:pt idx="8">
                  <c:v>786</c:v>
                </c:pt>
                <c:pt idx="9">
                  <c:v>889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300</c:v>
                </c:pt>
                <c:pt idx="1">
                  <c:v>500</c:v>
                </c:pt>
                <c:pt idx="2">
                  <c:v>698</c:v>
                </c:pt>
                <c:pt idx="3">
                  <c:v>626</c:v>
                </c:pt>
                <c:pt idx="4">
                  <c:v>250</c:v>
                </c:pt>
                <c:pt idx="5">
                  <c:v>778</c:v>
                </c:pt>
                <c:pt idx="6">
                  <c:v>1632</c:v>
                </c:pt>
                <c:pt idx="7">
                  <c:v>1092</c:v>
                </c:pt>
                <c:pt idx="8">
                  <c:v>1866</c:v>
                </c:pt>
                <c:pt idx="9">
                  <c:v>3246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Vanguard Capital Management</c:v>
                </c:pt>
                <c:pt idx="2">
                  <c:v>Vanguard Portfolio Management</c:v>
                </c:pt>
                <c:pt idx="3">
                  <c:v>Consejeros y directivos (22 personas)</c:v>
                </c:pt>
                <c:pt idx="4">
                  <c:v>Autocartera</c:v>
                </c:pt>
              </c:strCache>
            </c:strRef>
          </c:cat>
          <c:val>
            <c:numRef>
              <c:f>Hoja1!$B$2:$B$6</c:f>
              <c:numCache>
                <c:formatCode>0.0"%"</c:formatCode>
                <c:ptCount val="5"/>
                <c:pt idx="0">
                  <c:v>9</c:v>
                </c:pt>
                <c:pt idx="1">
                  <c:v>7.17</c:v>
                </c:pt>
                <c:pt idx="2">
                  <c:v>5.7</c:v>
                </c:pt>
                <c:pt idx="3">
                  <c:v>0.22</c:v>
                </c:pt>
                <c:pt idx="4">
                  <c:v>17.48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12.6</c:v>
                </c:pt>
                <c:pt idx="1">
                  <c:v>35.5</c:v>
                </c:pt>
                <c:pt idx="2">
                  <c:v>19.4</c:v>
                </c:pt>
                <c:pt idx="3">
                  <c:v>55.7</c:v>
                </c:pt>
                <c:pt idx="4">
                  <c:v>25.8</c:v>
                </c:pt>
                <c:pt idx="5">
                  <c:v>48.3</c:v>
                </c:pt>
                <c:pt idx="6">
                  <c:v>-39.5</c:v>
                </c:pt>
                <c:pt idx="7">
                  <c:v>35.9</c:v>
                </c:pt>
                <c:pt idx="8">
                  <c:v>-16.6</c:v>
                </c:pt>
                <c:pt idx="9">
                  <c:v>-21.8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18.6</c:v>
                </c:pt>
                <c:pt idx="1">
                  <c:v>20</c:v>
                </c:pt>
                <c:pt idx="2">
                  <c:v>21.9</c:v>
                </c:pt>
                <c:pt idx="3">
                  <c:v>28.7</c:v>
                </c:pt>
                <c:pt idx="4">
                  <c:v>30.8</c:v>
                </c:pt>
                <c:pt idx="5">
                  <c:v>37.2</c:v>
                </c:pt>
                <c:pt idx="6">
                  <c:v>21.7</c:v>
                </c:pt>
                <c:pt idx="7">
                  <c:v>27.3</c:v>
                </c:pt>
                <c:pt idx="8">
                  <c:v>20.5</c:v>
                </c:pt>
                <c:pt idx="9">
                  <c:v>15.5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21.8</c:v>
                </c:pt>
                <c:pt idx="1">
                  <c:v>21.8</c:v>
                </c:pt>
                <c:pt idx="2">
                  <c:v>21.8</c:v>
                </c:pt>
                <c:pt idx="3">
                  <c:v>21.8</c:v>
                </c:pt>
                <c:pt idx="4">
                  <c:v>21.8</c:v>
                </c:pt>
                <c:pt idx="5">
                  <c:v>21.8</c:v>
                </c:pt>
                <c:pt idx="6">
                  <c:v>21.8</c:v>
                </c:pt>
                <c:pt idx="7">
                  <c:v>21.8</c:v>
                </c:pt>
                <c:pt idx="8">
                  <c:v>21.8</c:v>
                </c:pt>
                <c:pt idx="9">
                  <c:v>21.8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Zoetis</c:v>
                </c:pt>
                <c:pt idx="1">
                  <c:v>IDEXX Laboratories</c:v>
                </c:pt>
                <c:pt idx="2">
                  <c:v>Elanco Animal Health</c:v>
                </c:pt>
                <c:pt idx="3">
                  <c:v>Phibro Animal Health</c:v>
                </c:pt>
                <c:pt idx="4">
                  <c:v>Neogen</c:v>
                </c:pt>
                <c:pt idx="5">
                  <c:v>Virbac</c:v>
                </c:pt>
                <c:pt idx="6">
                  <c:v>Vetoquinol</c:v>
                </c:pt>
              </c:strCache>
            </c:strRef>
          </c:cat>
          <c:val>
            <c:numRef>
              <c:f>Hoja1!$B$2:$B$8</c:f>
              <c:numCache>
                <c:formatCode>0.0"x"</c:formatCode>
                <c:ptCount val="7"/>
                <c:pt idx="0">
                  <c:v>9.8</c:v>
                </c:pt>
                <c:pt idx="1">
                  <c:v>23</c:v>
                </c:pt>
                <c:pt idx="2">
                  <c:v>13.6</c:v>
                </c:pt>
                <c:pt idx="3">
                  <c:v>8.3</c:v>
                </c:pt>
                <c:pt idx="4">
                  <c:v>17.5</c:v>
                </c:pt>
                <c:pt idx="5">
                  <c:v>8.2</c:v>
                </c:pt>
                <c:pt idx="6">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Zoetis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-0.9</c:v>
                </c:pt>
              </c:numCache>
            </c:numRef>
          </c:xVal>
          <c:yVal>
            <c:numRef>
              <c:f>Hoja1!$C$2</c:f>
              <c:numCache>
                <c:formatCode>0.0"x"</c:formatCode>
                <c:ptCount val="1"/>
                <c:pt idx="0">
                  <c:v>9.8</c:v>
                </c:pt>
              </c:numCache>
            </c:numRef>
          </c:yVal>
          <c:smooth val="0"/>
        </c:ser>
        <c:ser>
          <c:idx val="1"/>
          <c:order val="1"/>
          <c:tx>
            <c:strRef>
              <c:f>Hoja1!$A$3</c:f>
              <c:strCache>
                <c:ptCount val="1"/>
                <c:pt idx="0">
                  <c:v>IDEXX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9.2</c:v>
                </c:pt>
              </c:numCache>
            </c:numRef>
          </c:xVal>
          <c:yVal>
            <c:numRef>
              <c:f>Hoja1!$C$3</c:f>
              <c:numCache>
                <c:formatCode>0.0"x"</c:formatCode>
                <c:ptCount val="1"/>
                <c:pt idx="0">
                  <c:v>23</c:v>
                </c:pt>
              </c:numCache>
            </c:numRef>
          </c:yVal>
          <c:smooth val="0"/>
        </c:ser>
        <c:ser>
          <c:idx val="2"/>
          <c:order val="2"/>
          <c:tx>
            <c:strRef>
              <c:f>Hoja1!$A$4</c:f>
              <c:strCache>
                <c:ptCount val="1"/>
                <c:pt idx="0">
                  <c:v>Elanco Animal Health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6.6</c:v>
                </c:pt>
              </c:numCache>
            </c:numRef>
          </c:xVal>
          <c:yVal>
            <c:numRef>
              <c:f>Hoja1!$C$4</c:f>
              <c:numCache>
                <c:formatCode>0.0"x"</c:formatCode>
                <c:ptCount val="1"/>
                <c:pt idx="0">
                  <c:v>13.6</c:v>
                </c:pt>
              </c:numCache>
            </c:numRef>
          </c:yVal>
          <c:smooth val="0"/>
        </c:ser>
        <c:ser>
          <c:idx val="3"/>
          <c:order val="3"/>
          <c:tx>
            <c:strRef>
              <c:f>Hoja1!$A$5</c:f>
              <c:strCache>
                <c:ptCount val="1"/>
                <c:pt idx="0">
                  <c:v>Phibro Animal Health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8.3</c:v>
                </c:pt>
              </c:numCache>
            </c:numRef>
          </c:yVal>
          <c:smooth val="0"/>
        </c:ser>
        <c:ser>
          <c:idx val="4"/>
          <c:order val="4"/>
          <c:tx>
            <c:strRef>
              <c:f>Hoja1!$A$6</c:f>
              <c:strCache>
                <c:ptCount val="1"/>
                <c:pt idx="0">
                  <c:v>Neogen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0.4</c:v>
                </c:pt>
              </c:numCache>
            </c:numRef>
          </c:xVal>
          <c:yVal>
            <c:numRef>
              <c:f>Hoja1!$C$6</c:f>
              <c:numCache>
                <c:formatCode>0.0"x"</c:formatCode>
                <c:ptCount val="1"/>
                <c:pt idx="0">
                  <c:v>17.5</c:v>
                </c:pt>
              </c:numCache>
            </c:numRef>
          </c:yVal>
          <c:smooth val="0"/>
        </c:ser>
        <c:ser>
          <c:idx val="5"/>
          <c:order val="5"/>
          <c:tx>
            <c:strRef>
              <c:f>Hoja1!$A$7</c:f>
              <c:strCache>
                <c:ptCount val="1"/>
                <c:pt idx="0">
                  <c:v>Virbac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c:v>
                </c:pt>
              </c:numCache>
            </c:numRef>
          </c:xVal>
          <c:yVal>
            <c:numRef>
              <c:f>Hoja1!$C$7</c:f>
              <c:numCache>
                <c:formatCode>0.0"x"</c:formatCode>
                <c:ptCount val="1"/>
                <c:pt idx="0">
                  <c:v>8.2</c:v>
                </c:pt>
              </c:numCache>
            </c:numRef>
          </c:yVal>
          <c:smooth val="0"/>
        </c:ser>
        <c:ser>
          <c:idx val="6"/>
          <c:order val="6"/>
          <c:tx>
            <c:strRef>
              <c:f>Hoja1!$A$8</c:f>
              <c:strCache>
                <c:ptCount val="1"/>
                <c:pt idx="0">
                  <c:v>Vetoquinol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2.5</c:v>
                </c:pt>
              </c:numCache>
            </c:numRef>
          </c:xVal>
          <c:yVal>
            <c:numRef>
              <c:f>Hoja1!$C$8</c:f>
              <c:numCache>
                <c:formatCode>0.0"x"</c:formatCode>
                <c:ptCount val="1"/>
                <c:pt idx="0">
                  <c:v>5.7</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Aditivos medicados para pienso de Zoetis</c:v>
                </c:pt>
                <c:pt idx="1">
                  <c:v>Sasaeah (Japón)</c:v>
                </c:pt>
                <c:pt idx="2">
                  <c:v>Dechra Pharmaceuticals</c:v>
                </c:pt>
                <c:pt idx="3">
                  <c:v>Heska</c:v>
                </c:pt>
                <c:pt idx="4">
                  <c:v>Covetrus</c:v>
                </c:pt>
                <c:pt idx="5">
                  <c:v>Bayer Animal Health</c:v>
                </c:pt>
                <c:pt idx="6">
                  <c:v>Abaxis</c:v>
                </c:pt>
              </c:strCache>
            </c:strRef>
          </c:cat>
          <c:val>
            <c:numRef>
              <c:f>Hoja1!$B$2:$B$8</c:f>
              <c:numCache>
                <c:formatCode>0.0"x"</c:formatCode>
                <c:ptCount val="7"/>
                <c:pt idx="2">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2573</c:v>
                </c:pt>
                <c:pt idx="1">
                  <c:v>2499</c:v>
                </c:pt>
                <c:pt idx="2">
                  <c:v>2581</c:v>
                </c:pt>
                <c:pt idx="3">
                  <c:v>2715</c:v>
                </c:pt>
                <c:pt idx="4">
                  <c:v>2840</c:v>
                </c:pt>
                <c:pt idx="5">
                  <c:v>2898</c:v>
                </c:pt>
                <c:pt idx="6">
                  <c:v>3014</c:v>
                </c:pt>
                <c:pt idx="7">
                  <c:v>3112</c:v>
                </c:pt>
                <c:pt idx="8">
                  <c:v>3233</c:v>
                </c:pt>
                <c:pt idx="9">
                  <c:v>3351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18440</c:v>
                </c:pt>
                <c:pt idx="1">
                  <c:v>29289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71,33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58.65</c:v>
                </c:pt>
                <c:pt idx="1">
                  <c:v>96.44</c:v>
                </c:pt>
                <c:pt idx="2">
                  <c:v>114.75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71,33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Hoja1!$B$2:$B$10</c:f>
              <c:numCache>
                <c:formatCode>#,##0</c:formatCode>
                <c:ptCount val="9"/>
                <c:pt idx="0">
                  <c:v>68.77</c:v>
                </c:pt>
                <c:pt idx="1">
                  <c:v>80</c:v>
                </c:pt>
                <c:pt idx="2">
                  <c:v>57.1</c:v>
                </c:pt>
                <c:pt idx="3">
                  <c:v>81.82</c:v>
                </c:pt>
                <c:pt idx="4">
                  <c:v>50.61</c:v>
                </c:pt>
                <c:pt idx="5">
                  <c:v>81.99</c:v>
                </c:pt>
                <c:pt idx="6">
                  <c:v>58.65</c:v>
                </c:pt>
                <c:pt idx="7">
                  <c:v>97.04</c:v>
                </c:pt>
                <c:pt idx="8">
                  <c:v>70.97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(68,77 – 148,30)</c:v>
                </c:pt>
                <c:pt idx="1">
                  <c:v>Precio objetivo de los analistas (80,00 – 155,00)</c:v>
                </c:pt>
                <c:pt idx="2">
                  <c:v>Comparables: EV/EBITDA NTM (57,10 – 133,65)</c:v>
                </c:pt>
                <c:pt idx="3">
                  <c:v>Comparables: PER NTM (81,82 – 187,18)</c:v>
                </c:pt>
                <c:pt idx="4">
                  <c:v>Transacciones precedentes (EV/ventas) (50,61 – 111,59)</c:v>
                </c:pt>
                <c:pt idx="5">
                  <c:v>DCF (WACC y g ± 0,5) (81,99 – 117,13)</c:v>
                </c:pt>
                <c:pt idx="6">
                  <c:v>Escenarios (bajista – alcista) (58,65 – 114,75)</c:v>
                </c:pt>
                <c:pt idx="7">
                  <c:v>DCF con la prima implícita del mercado (4,2 %)</c:v>
                </c:pt>
                <c:pt idx="8">
                  <c:v>Precio actual (71,33)</c:v>
                </c:pt>
              </c:strCache>
            </c:strRef>
          </c:cat>
          <c:val>
            <c:numRef>
              <c:f>Hoja1!$C$2:$C$10</c:f>
              <c:numCache>
                <c:formatCode>#,##0</c:formatCode>
                <c:ptCount val="9"/>
                <c:pt idx="0">
                  <c:v>79.53000000000002</c:v>
                </c:pt>
                <c:pt idx="1">
                  <c:v>75</c:v>
                </c:pt>
                <c:pt idx="2">
                  <c:v>76.55000000000001</c:v>
                </c:pt>
                <c:pt idx="3">
                  <c:v>105.36000000000001</c:v>
                </c:pt>
                <c:pt idx="4">
                  <c:v>60.980000000000004</c:v>
                </c:pt>
                <c:pt idx="5">
                  <c:v>35.14</c:v>
                </c:pt>
                <c:pt idx="6">
                  <c:v>56.1</c:v>
                </c:pt>
                <c:pt idx="7">
                  <c:v>25.409999999999997</c:v>
                </c:pt>
                <c:pt idx="8">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