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ASSA ABLOY AB (publ)</w:t>
      </w:r>
    </w:p>
    <w:p>
      <w:pPr>
        <w:spacing w:after="60"/>
        <w:rPr>
          <w:color w:val="52514E"/>
          <w:sz w:val="22"/>
          <w:szCs w:val="22"/>
        </w:rPr>
      </w:pPr>
      <w:r>
        <w:rPr>
          <w:color w:val="52514E"/>
          <w:sz w:val="22"/>
          <w:szCs w:val="22"/>
        </w:rPr>
        <w:t xml:space="preserve">ASSA B · Nasdaq Stockholm (Large Cap) · ISIN SE0007100581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353,10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373,40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+7,6 %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299,67 SEK · mercado 365,73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392.294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ASSA ABLOY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ASSA B / SE0007100581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(cerraduras, puertas y control de accesos)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(Suecia) · 1994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www.assaabloy.com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353,10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314,20 – 396,90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392.294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460.540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373,40 SEK</w:t>
      </w:r>
      <w:r>
        <w:t xml:space="preserve"> frente a 353,10 · Rentabilidad a 12 meses </w:t>
      </w:r>
      <w:r>
        <w:rPr>
          <w:b/>
          <w:bCs/>
        </w:rPr>
        <w:t xml:space="preserve">+7,6 % (base +9,0 %)</w:t>
      </w:r>
      <w:r>
        <w:t xml:space="preserve"> · Valor intrínseco 299,67 SEK · con la prima implícita del mercado: 365,73 (+3,6 %) · Alcista / bajista -9,8 % / -47,8 %</w:t>
      </w:r>
    </w:p>
    <w:p>
      <w:pPr>
        <w:spacing w:after="100"/>
      </w:pPr>
      <w:r>
        <w:rPr>
          <w:b/>
        </w:rPr>
        <w:t xml:space="preserve">La recomendación y por qué.</w:t>
      </w:r>
      <w:r>
        <w:t xml:space="preserve"> Mantener, con convicción baja. Con nuestro BPA y la regla común de múltiplos, el objetivo a 12 meses es de 373,40 SEK frente a 353,10 SEK de hoy: +7,6 % con el dividendo, y +9,0 % en el caso base; el objetivo medio de los analistas (408,8 SEK [32]) queda dentro de nuestro rango (279,57-457,14 SEK). El valor intrínseco es menor que el precio (299,67 SEK, −15,1 %): el mercado descuenta ASSA ABLOY a un 6,5 % y nosotros a un 7,47 %. La convicción es baja porque las dos reglas discrepan (absoluta Vender, relativa Mantener) por la tasa de descuento, no por las cifras; subiría con un orgánico por encima del 4 % en el 3T26 del 27 de octubre o con la acción por debajo de 300 SEK.</w:t>
      </w:r>
    </w:p>
    <w:p>
      <w:pPr>
        <w:spacing w:after="100"/>
      </w:pPr>
      <w:r>
        <w:rPr>
          <w:b/>
        </w:rPr>
        <w:t xml:space="preserve">El negocio.</w:t>
      </w:r>
      <w:r>
        <w:t xml:space="preserve"> Primer fabricante mundial de cerraduras, puertas y control de accesos, con foso amplio por costes de cambio y especificación, y margen EBITA récord del 18,1 % en el 2T26 [2]. Pero el ROIC ha bajado del 13,4 % de 2022 al 10,5 % de 2025 por el fondo de comercio comprado (HHI a 14 veces el EBITDA [16]): solo 3,0 puntos sobre el WACC. Sostenibilidad del crecimiento: «En parte». El orgánico del 3 % se sostiene con poder de precios; el 3 % comprado solo pasa la prueba si cuesta 2,5 veces las ventas, y entonces crea poco valor.</w:t>
      </w:r>
    </w:p>
    <w:p>
      <w:pPr>
        <w:spacing w:after="100"/>
      </w:pPr>
      <w:r>
        <w:rPr>
          <w:b/>
        </w:rPr>
        <w:t xml:space="preserve">Finanzas.</w:t>
      </w:r>
      <w:r>
        <w:t xml:space="preserve"> Ventas de 152.409 M SEK en 2025 (+1 %: 3 % orgánico, 5 % comprado y −7 % de divisa [1]) y BPA ajustado de 14,34 SEK. Conversión de caja del 106 % [9]. Deuda neta de 68.246 M en junio de 2026 [2], ≈2,2 veces el EBITDA, estable porque la caja libre paga dividendo y compras.</w:t>
      </w:r>
    </w:p>
    <w:p>
      <w:pPr>
        <w:spacing w:after="100"/>
      </w:pPr>
      <w:r>
        <w:rPr>
          <w:b/>
        </w:rPr>
        <w:t xml:space="preserve">Equipo y gobierno.</w:t>
      </w:r>
      <w:r>
        <w:t xml:space="preserve"> Equipo estable (Nico Delvaux desde 2018 [23]). Latour y Melker Schörling controlan la junta con acciones A de diez votos [24, 25]: estabilidad a cambio de menos voz del minoritario. Sin datos de remuneración ni operaciones de directivos en esta sesión.</w:t>
      </w:r>
    </w:p>
    <w:p>
      <w:pPr>
        <w:spacing w:after="100"/>
      </w:pPr>
      <w:r>
        <w:rPr>
          <w:b/>
        </w:rPr>
        <w:t xml:space="preserve">Valoración.</w:t>
      </w:r>
      <w:r>
        <w:t xml:space="preserve"> El DCF da 267,68 SEK con nuestro WACC y 356,97 SEK con la prima del mercado (4,20 % [41]). El DCF inverso dice que el precio pide un crecimiento del 8,9 % anual en 2027-2035 frente al 4,9 % de nuestro caso base, que ya incluye las compras. Por múltiplos (360,01-468,47 SEK) sale más porque el mercado paga por adelantado las compras futuras. A 12 meses, a 21,8 veces nuestro BPA de 2027e, cotiza por debajo de su mediana de cinco años (23,45 veces): el recorrido sale del crecimiento del beneficio (de 16,21 a 17,36 SEK) y no de una revalorización. Nuestro BPA de 2028e queda un 6,8 % por debajo del consenso por el margen.</w:t>
      </w:r>
    </w:p>
    <w:p>
      <w:pPr>
        <w:spacing w:after="100"/>
      </w:pPr>
      <w:r>
        <w:rPr>
          <w:b/>
        </w:rPr>
        <w:t xml:space="preserve">Riesgos y catalizadores.</w:t>
      </w:r>
      <w:r>
        <w:t xml:space="preserve"> El mayor es el múltiplo: con tipos más altos (bono sueco del 2,98 % en julio [35]) el PER del bajista (18,7 veces, el de 2022) da 279,57 SEK, −21 %. El segundo, un orgánico nulo en construcción, y el tercero, compras más caras. Catalizadores: el 3T26 del 27 de octubre [28] y el dividendo de 3,20 SEK con fecha ex del 10 de noviembre [1]. En los foros el debate es de precio (la ven cara o como valor de dividendo para siempre) y no añade riesgos nuevos.</w:t>
      </w:r>
    </w:p>
    <w:p>
      <w:pPr>
        <w:spacing w:after="100"/>
      </w:pPr>
      <w:r>
        <w:rPr>
          <w:b/>
        </w:rPr>
        <w:t xml:space="preserve">Qué cambiaría la decisión.</w:t>
      </w:r>
      <w:r>
        <w:t xml:space="preserve"> Comprar por debajo de 299,67 SEK, donde el precio quedaría bajo el valor intrínseco con más del 15 % a 12 meses; vender por encima de 422,00 SEK. Pasaríamos a Vender si el orgánico del 3T26 o el 4T26 baja del 1 % y el margen EBITA del 17 %; a Comprar, con un orgánico sostenido por encima del 4 % y compras que lleven el ROIC de vuelta por encima del 12 %. Aun así, no pasa el requisito de calidad de la cartera (ROIC − WACC de 3,0 puntos, por debajo de 5).</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373,40 SEK</w:t>
      </w:r>
      <w:r>
        <w:t xml:space="preserve"> (rentabilidad +7,6 % (base +9,0 %)) · Valor intrínseco: 299,67 SEK (-15,1 % sobre 353,10) · con la prima implícita del mercado: 365,73 (+3,6 %)</w:t>
      </w:r>
    </w:p>
    <w:p>
      <w:pPr>
        <w:spacing w:after="100"/>
      </w:pPr>
      <w:r>
        <w:t xml:space="preserve">ASSA ABLOY es el mayor fabricante mundial de soluciones de apertura y acceso: 152.409 M SEK de ventas en 2025, margen EBITA del 17,2 % y récord del 18,1 % en el 2T26, con un negocio que vive de la reposición y del paso a lo electrónico [1, 2]. Crece un 3 % orgánico y un 3-5 % comprando, y convierte en caja el 106 % del beneficio [9].</w:t>
      </w:r>
    </w:p>
    <w:p>
      <w:pPr>
        <w:spacing w:after="100"/>
      </w:pPr>
      <w:r>
        <w:t xml:space="preserve">El precio, 353,10 SEK y 21,2 veces el BPA de los próximos 12 meses, descuenta un crecimiento del 8,9 % anual hasta 2035 con nuestro margen, casi el doble del 4,9 % que proyectamos con las compras incluidas. Es una rentabilidad implícita del 6,5 %: por debajo de nuestro WACC del 7,47 % y por encima del 6,43 % que pide hoy el mercado.</w:t>
      </w:r>
    </w:p>
    <w:p>
      <w:pPr>
        <w:spacing w:after="100"/>
      </w:pPr>
      <w:r>
        <w:t xml:space="preserve">El mercado acierta en la calidad y se equivoca, según nosotros, en el valor de las compras: con un ROIC del 10,5 % y un incremental del 8,5 %, comprar a 14 veces el EBITDA [16] apenas crea valor. Para invertir hay que creer que el orgánico sube al 4-5 % con la electrónica o que los tipos bajan; a 12 meses solo hay el crecimiento del beneficio y el dividendo (+7,6 %).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14,95 = 279,57 · 21,8x × 17,36 = 378,45 · 24,2x × 18,89 = 457,14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408,80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299,67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 -47,8 %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7,5 %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365,73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299,67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299,67 y 422,00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422,00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299,67 SEK con el mismo BPA: pasaríamos a Comprar (si además el ROIC − WACC llega a 5 puntos para la cartera).</w:t>
      </w:r>
    </w:p>
    <w:p>
      <w:pPr>
        <w:pStyle w:val="ListParagraph"/>
        <w:numPr>
          <w:ilvl w:val="0"/>
          <w:numId w:val="2"/>
        </w:numPr>
        <w:spacing w:after="60"/>
      </w:pPr>
      <w:r>
        <w:t xml:space="preserve">Precio por encima de 422,00 SEK: Vender.</w:t>
      </w:r>
    </w:p>
    <w:p>
      <w:pPr>
        <w:pStyle w:val="ListParagraph"/>
        <w:numPr>
          <w:ilvl w:val="0"/>
          <w:numId w:val="2"/>
        </w:numPr>
        <w:spacing w:after="60"/>
      </w:pPr>
      <w:r>
        <w:t xml:space="preserve">Orgánico por debajo del 1 % y margen EBITA por debajo del 17 % en el 3T26 o 4T26: Vender.</w:t>
      </w:r>
    </w:p>
    <w:p>
      <w:pPr>
        <w:pStyle w:val="ListParagraph"/>
        <w:numPr>
          <w:ilvl w:val="0"/>
          <w:numId w:val="2"/>
        </w:numPr>
        <w:spacing w:after="60"/>
      </w:pPr>
      <w:r>
        <w:t xml:space="preserve">Orgánico por encima del 4 % dos trimestres seguidos con ROIC de vuelta al 12 %: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ASSA ABLOY seguirá creciendo un 8-9 % anual durante una década, con las compras creando valor como en los noventa y dos mil, y que merece un PER de 21-25 veces de forma permanente.</w:t>
      </w:r>
    </w:p>
    <w:p>
      <w:pPr>
        <w:keepNext/>
        <w:spacing w:after="100"/>
      </w:pPr>
      <w:r>
        <w:rPr>
          <w:b/>
          <w:bCs/>
        </w:rPr>
        <w:t xml:space="preserve">Lo que creemos nosotros.</w:t>
      </w:r>
    </w:p>
    <w:p>
      <w:pPr>
        <w:spacing w:after="100"/>
      </w:pPr>
      <w:r>
        <w:t xml:space="preserve">El orgánico es del 3 % y el crecimiento comprado cuesta 2,5 veces las ventas, con un ROIC incremental del 8,5 %: el valor intrínseco es de 299,67 SEK. A 12 meses, el PER no tiene por qué caer, porque ya está por debajo de su mediana, así que el precio puede subir con el beneficio, pero poco.</w:t>
      </w:r>
    </w:p>
    <w:p>
      <w:pPr>
        <w:keepNext/>
        <w:spacing w:after="100"/>
      </w:pPr>
      <w:r>
        <w:rPr>
          <w:b/>
          <w:bCs/>
        </w:rPr>
        <w:t xml:space="preserve">Por qué podemos tener razón.</w:t>
      </w:r>
    </w:p>
    <w:p>
      <w:pPr>
        <w:spacing w:after="100"/>
      </w:pPr>
      <w:r>
        <w:t xml:space="preserve">El ROIC ha bajado cuatro años seguidos (del 13,4 % al 10,5 %) mientras el capital invertido casi se duplicaba: la historia reciente dice que las compras ya no rinden como antes. Y la divisa y el residencial de EE. UU. han dejado el crecimiento publicado en el 1 % en 2025.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y poder de precios</w:t>
      </w:r>
      <w:r>
        <w:t xml:space="preserve">: margen EBITA récord del 18,1 % en el 2T26 con orgánico del 4 % [2].</w:t>
      </w:r>
    </w:p>
    <w:p>
      <w:pPr>
        <w:pStyle w:val="ListParagraph"/>
        <w:numPr>
          <w:ilvl w:val="0"/>
          <w:numId w:val="2"/>
        </w:numPr>
        <w:spacing w:after="60"/>
      </w:pPr>
      <w:r>
        <w:rPr>
          <w:b/>
        </w:rPr>
        <w:t xml:space="preserve">Caja de calidad</w:t>
      </w:r>
      <w:r>
        <w:t xml:space="preserve">: conversión del 106 % del beneficio en 2025 [9].</w:t>
      </w:r>
    </w:p>
    <w:p>
      <w:pPr>
        <w:pStyle w:val="ListParagraph"/>
        <w:numPr>
          <w:ilvl w:val="0"/>
          <w:numId w:val="2"/>
        </w:numPr>
        <w:spacing w:after="60"/>
      </w:pPr>
      <w:r>
        <w:rPr>
          <w:b/>
        </w:rPr>
        <w:t xml:space="preserve">PER por debajo de su historia</w:t>
      </w:r>
      <w:r>
        <w:t xml:space="preserve">: 21,8 veces nuestro BPA de 2027e frente a una mediana de 23,45 veces.</w:t>
      </w:r>
    </w:p>
    <w:p>
      <w:pPr>
        <w:pStyle w:val="ListParagraph"/>
        <w:numPr>
          <w:ilvl w:val="0"/>
          <w:numId w:val="2"/>
        </w:numPr>
        <w:spacing w:after="60"/>
      </w:pPr>
      <w:r>
        <w:rPr>
          <w:b/>
        </w:rPr>
        <w:t xml:space="preserve">Dividendo creciente</w:t>
      </w:r>
      <w:r>
        <w:t xml:space="preserve">: de 4,20 SEK en 2021 a 6,40 SEK en 2025 [1].</w:t>
      </w:r>
    </w:p>
    <w:p>
      <w:pPr>
        <w:pStyle w:val="ListParagraph"/>
        <w:numPr>
          <w:ilvl w:val="0"/>
          <w:numId w:val="2"/>
        </w:numPr>
        <w:spacing w:after="60"/>
      </w:pPr>
      <w:r>
        <w:rPr>
          <w:b/>
        </w:rPr>
        <w:t xml:space="preserve">Fin del lastre de la divisa en 2027</w:t>
      </w:r>
      <w:r>
        <w:t xml:space="preserve">: restó un 7 % a las ventas de 2025 [1].</w:t>
      </w:r>
    </w:p>
    <w:p>
      <w:pPr>
        <w:pStyle w:val="Heading2"/>
      </w:pPr>
      <w:r>
        <w:t xml:space="preserve">En contra</w:t>
      </w:r>
    </w:p>
    <w:p>
      <w:pPr>
        <w:pStyle w:val="ListParagraph"/>
        <w:numPr>
          <w:ilvl w:val="0"/>
          <w:numId w:val="2"/>
        </w:numPr>
        <w:spacing w:after="60"/>
      </w:pPr>
      <w:r>
        <w:rPr>
          <w:b/>
        </w:rPr>
        <w:t xml:space="preserve">El precio pide mucho crecimiento</w:t>
      </w:r>
      <w:r>
        <w:t xml:space="preserve">: 8,9 % anual en el DCF inverso frente a un 4,9 % proyectado.</w:t>
      </w:r>
    </w:p>
    <w:p>
      <w:pPr>
        <w:pStyle w:val="ListParagraph"/>
        <w:numPr>
          <w:ilvl w:val="0"/>
          <w:numId w:val="2"/>
        </w:numPr>
        <w:spacing w:after="60"/>
      </w:pPr>
      <w:r>
        <w:rPr>
          <w:b/>
        </w:rPr>
        <w:t xml:space="preserve">ROIC a la baja</w:t>
      </w:r>
      <w:r>
        <w:t xml:space="preserve">: del 13,4 % en 2022 al 10,5 % en 2025, solo 3,0 puntos sobre el WACC.</w:t>
      </w:r>
    </w:p>
    <w:p>
      <w:pPr>
        <w:pStyle w:val="ListParagraph"/>
        <w:numPr>
          <w:ilvl w:val="0"/>
          <w:numId w:val="2"/>
        </w:numPr>
        <w:spacing w:after="60"/>
      </w:pPr>
      <w:r>
        <w:rPr>
          <w:b/>
        </w:rPr>
        <w:t xml:space="preserve">Valor intrínseco bajo el precio</w:t>
      </w:r>
      <w:r>
        <w:t xml:space="preserve">: 299,67 SEK, un 15,1 % menos.</w:t>
      </w:r>
    </w:p>
    <w:p>
      <w:pPr>
        <w:pStyle w:val="ListParagraph"/>
        <w:numPr>
          <w:ilvl w:val="0"/>
          <w:numId w:val="2"/>
        </w:numPr>
        <w:spacing w:after="60"/>
      </w:pPr>
      <w:r>
        <w:rPr>
          <w:b/>
        </w:rPr>
        <w:t xml:space="preserve">Orgánico modesto</w:t>
      </w:r>
      <w:r>
        <w:t xml:space="preserve">: 3 % en 2025 [1], la mitad del crecimiento medio que se proyecta.</w:t>
      </w:r>
    </w:p>
    <w:p>
      <w:pPr>
        <w:pStyle w:val="ListParagraph"/>
        <w:numPr>
          <w:ilvl w:val="0"/>
          <w:numId w:val="2"/>
        </w:numPr>
        <w:spacing w:after="60"/>
      </w:pPr>
      <w:r>
        <w:rPr>
          <w:b/>
        </w:rPr>
        <w:t xml:space="preserve">Control por acciones A</w:t>
      </w:r>
      <w:r>
        <w:t xml:space="preserve">: Latour y Melker Schörling deciden la junta [25].</w:t>
      </w:r>
    </w:p>
    <w:p>
      <w:pPr>
        <w:pStyle w:val="Heading2"/>
      </w:pPr>
      <w:r>
        <w:t xml:space="preserve">Qué tiene que pasar para que la tesis funcione</w:t>
      </w:r>
    </w:p>
    <w:p>
      <w:pPr>
        <w:spacing w:after="100"/>
      </w:pPr>
      <w:r>
        <w:t xml:space="preserve">La tesis de Mantener depende de que el orgánico siga en el 3-4 % con margen EBITA por encima del 17 % y de que el PER no baje de 20 veces. La señal de que no se cumple sería un orgánico del 3T26 (27-oct) por debajo del 2 % o un margen EBITA por debajo del 17 % en dos trimestres, o un bono sueco por encima del 3,5 %.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parte sostenible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aranceles y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las compras crean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 las compras sin ampliar.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sueco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múltiplo de los industriales de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(9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ASSA ABLOY nació en 1994 de la fusión de la sueca ASSA y la finlandesa Abloy, y desde entonces ha crecido comprando: cerca de 3-5 puntos de crecimiento al año salen de compras pequeñas de fabricantes de cerraduras, puertas y control de accesos. Su mayor operación es HHI (Kwikset, Weiser y Baldwin), comprada a Spectrum Brands por USD 4.300 M, anunciada en 2021 y cerrada en 2023 tras el pleito antimonopolio de EE. UU., que la obligó a vender Yale y August en ese país [16, 22]. Nico Delvaux es consejero delegado desde 2018 [23]; los accionistas de referencia son Latour y Melker Schörling AB, con acciones A de diez votos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 la compra de HHI de Spectrum Brands (Kwikset, Weiser, Baldwin) por USD 4.300 M, su mayor operación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HHI y entra de lleno en la cerradura residencial de EE. UU.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compras en el año, que aportan un 5 % de crecimiento [3].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ASSA ABLOY fabrica y vende cerraduras mecánicas y electromecánicas, cilindros, llaves, puertas de seguridad e industriales, puertas automáticas (Entrance Systems) y soluciones de identificación y control de accesos (HID, Global Technologies) para edificios no residenciales, residenciales e infraestructuras. Se organiza en cinco divisiones: EMEIA, Americas, Asia Pacific, Global Technologies y Entrance Systems [3]. En 2025 vendió 152.409 M SEK con un margen EBITA del 17,2 % [1]. Vende a través de cerrajeros, distribuidores, integradores de seguridad, constructores y grandes superficies (residencial en EE. UU. con Kwikset desde 2023) [16].</w:t>
      </w:r>
    </w:p>
    <w:p>
      <w:pPr>
        <w:pStyle w:val="Heading2"/>
      </w:pPr>
      <w:r>
        <w:t xml:space="preserve">Cómo gana dinero</w:t>
      </w:r>
    </w:p>
    <w:p>
      <w:pPr>
        <w:spacing w:after="100"/>
      </w:pPr>
      <w:r>
        <w:t xml:space="preserve">El grueso del beneficio sale de la reposición y la renovación de edificios existentes, no de la obra nueva: cerraduras y puertas se cambian por desgaste, por normativa de seguridad o para pasar a electrónica. El margen depende del precio (la empresa sube tarifas por encima de la inflación de costes), de la mezcla hacia producto electromecánico y de software y del apalancamiento operativo: en el 2T26 un crecimiento orgánico del 4 % llevó el margen EBITA del 17,2 % al 18,1 % [2]. Las compras añaden 3-5 puntos de crecimiento al año y se integran en las divisiones [1]. La divisa resta o suma mucho porque casi todo se vende fuera de Suecia: un 7 % menos de ventas en 2025 [1].</w:t>
      </w:r>
    </w:p>
    <w:p>
      <w:pPr>
        <w:pStyle w:val="Heading2"/>
      </w:pPr>
      <w:r>
        <w:t xml:space="preserve">Clientes, recurrencia y poder de precios</w:t>
      </w:r>
    </w:p>
    <w:p>
      <w:pPr>
        <w:spacing w:after="100"/>
      </w:pPr>
      <w:r>
        <w:t xml:space="preserve">Base muy atomizada: decenas de miles de distribuidores, cerrajeros e integradores, sin un cliente relevante publicado. Los costes de cambio son altos en las instalaciones con sistemas de llave maestra y control de accesos, que se amplían con el mismo proveedor durante décadas, y las especificaciones de arquitectos y normas de incendio fijan la marca desde el proyecto. El poder de precios se ve en el margen: el EBIT ajustado se mantuvo en el 16,2 % en 2025 con ventas planas por la divisa y subió 70 puntos básicos en el 1S26 [1, 3]. Sin datos de concentración ni de renovación (hueco).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 ≈3 %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EMEIA fuerte, Américas, Global Technologies y Entrance Systems buenas; Asia-Pacífico cae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 23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 5 compras con ≈2.000 M SEK de ventas anuales en el 2T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ritmo de compras sigue, con piezas más pequeñas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 ≈−6 %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negativo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corona fuerte resta ventas y beneficio al convertir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(2025); 17,2 %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apalancamiento operativo con crecimiento orgánico del 4 %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(flujo operativo / beneficio)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operativo de la empresa de 22.660 M SEK en 2025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soluciones de apertura y acceso (cerraduras mecánicas y electromecánicas, puertas, puertas automáticas, identificación y control de accesos) para edificios. No hay una cifra pública de ese perímetro: los estudios que se encuentran miden solo el control de accesos electrónico (USD 10.620 M en 2025 según MarketsandMarkets [19] y USD 13.100 M según The Report Cubes [20]) y se quedan por debajo de las propias ventas de ASSA ABLOY (≈USD 15.000 M). Se usan para el crecimiento de la parte electrónica, no para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Control de accesos (hardware, software y servicios): USD 10.620 M en 2025 según MarketsandMarkets [19] y USD 13.100 M según The Report Cubes [20]; ambos por debajo de las ventas de ASSA ABLOY, porque el mercado de cerraduras mecánicas, puertas, puertas automáticas e identificación es mucho mayor que el «control de accesos» de estos estudios.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cerradura mecánica a electrónica y a credenciales móviles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accesos crece un 8,3 % anual previsto a 2030 [19], frente a un 3 % orgánico del grupo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y normativa de seguridad e incendios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sostiene la demanda cuando la obra nueva cae: el orgánico fue positivo en 2025 (3 %) con la construcción europea débil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cayó en el 2T26 mientras EMEIA y Américas crecían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(corona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en ventas en 2025 y −3 % en 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costes en producto importado; la empresa los repercute en precio (margen récord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(ASSA ABLOY, Allegion, dormakaba, Fortune Brands en residencial) y muchos locales; competencia por especificación y servicio más que por precio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solo las grandes superficies del residencial en EE. UU. negocian fuerte.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(latón, acero, zinc) y electrónica; se repercuten con subidas de tarifa.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de certificaciones, redes de cerrajeros y bases instaladas con llave maestra; entran tecnológicas en la cerradura inteligente residencial.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credencial móvil y el software sustituyen a la llave; ASSA ABLOY lo captura con HID y sus plataformas, pero baja el valor del hardware puro.</w:t>
            </w:r>
          </w:p>
        </w:tc>
      </w:tr>
    </w:tbl>
    <w:p>
      <w:pPr>
        <w:spacing w:after="160" w:before="0"/>
      </w:pPr>
    </w:p>
    <w:p>
      <w:pPr>
        <w:pStyle w:val="Heading2"/>
      </w:pPr>
      <w:r>
        <w:t xml:space="preserve">Ciclo</w:t>
      </w:r>
    </w:p>
    <w:p>
      <w:pPr>
        <w:spacing w:after="100"/>
      </w:pPr>
      <w:r>
        <w:t xml:space="preserve">Orgánico del 3 % en 2025 y del 4 % en el 2T26, con EMEIA fuerte y Asia-Pacífico a la baja [1, 2]: salida de la caída de la construcción de 2023-2024. El negocio es poco cíclico por la reposición: no se encontraron las cifras de 2008-09 y 2020 en esta sesión (hueco), pero las ventas de 2020 bajaron a 87.649 M frente a 94.029 M de 2019 (−6,8 %, con divisa) [4].</w:t>
      </w:r>
    </w:p>
    <w:p>
      <w:pPr>
        <w:pStyle w:val="Heading2"/>
      </w:pPr>
      <w:r>
        <w:t xml:space="preserve">Regulación</w:t>
      </w:r>
    </w:p>
    <w:p>
      <w:pPr>
        <w:spacing w:after="100"/>
      </w:pPr>
      <w:r>
        <w:t xml:space="preserve">Normas de producto (EN y UL de cerraduras, salidas de emergencia e incendios) y de ciberseguridad para el producto conectado (Cyber Resilience Act europea, exigible desde 2027). La regulación de competencia pesa en las compras grandes: el Departamento de Justicia de EE. UU. obligó a vender Yale y August para cerrar HHI [22]. Aranceles de EE. UU. sobre importaciones desde 2025.</w:t>
      </w:r>
    </w:p>
    <w:p>
      <w:pPr>
        <w:pStyle w:val="Heading2"/>
      </w:pPr>
      <w:r>
        <w:t xml:space="preserve">Tendencias y disrupción</w:t>
      </w:r>
    </w:p>
    <w:p>
      <w:pPr>
        <w:spacing w:after="100"/>
      </w:pPr>
      <w:r>
        <w:t xml:space="preserve">Electrificación del acceso (cerraduras conectadas, credenciales en el móvil, control de accesos en la nube) y software recurrente. ASSA ABLOY gana con ello por HID y por su base instalada, pero el residencial inteligente atrae a tecnológicas. La consolidación sigue: la empresa cerró 23 compras en 2025 y cinco en el 2T26 [1, 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mundial de soluciones de apertura y acceso por ventas (≈USD 15.000 M), varias veces Allegion o dormakaba; cuota no publicada en lo leído (hueco).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Allegion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Cerraduras y control de accesos (Schlage, Von Duprin); el comparable más puro, fuerte en institucional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dormakaba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DOKA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Cerraduras, puertas automáticas y control de accesos; margen inferior y en plan de mejora.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Fortune Brands Innovations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FBIN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 Lock y, desde 2023, Yale y August en EE. UU. y Canadá, que ASSA ABLOY tuvo que vender para cerrar HHI.</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y control de accesos electrónico dentro de soluciones de edificio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Honeywell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accesos electrónico dentro de automatización de edificios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las redes de cerrajeros e integradores formados en sus sistemas refuerzan la especificación.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de llave maestra y control de accesos instalados que se amplían con el mismo proveedor durante décadas.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que especifican arquitectos (Yale fuera de EE. UU., Abloy, HID, Kwikset) y certificaciones de producto; margen EBITA del 17-18 % estable con ventas planas [A1,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fábricas frente a fabricantes locales; margen superior al de dormakaba.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nacionales fragmentados por normas locales donde el líder local suele ser una filial del grupo.</w:t>
            </w:r>
          </w:p>
        </w:tc>
      </w:tr>
    </w:tbl>
    <w:p>
      <w:pPr>
        <w:spacing w:after="160" w:before="0"/>
      </w:pPr>
    </w:p>
    <w:p>
      <w:pPr>
        <w:pStyle w:val="Heading2"/>
      </w:pPr>
      <w:r>
        <w:t xml:space="preserve">Amenazas</w:t>
      </w:r>
    </w:p>
    <w:p>
      <w:pPr>
        <w:spacing w:after="100"/>
      </w:pPr>
      <w:r>
        <w:t xml:space="preserve">La principal es tecnológica: si la credencial móvil y el software de control de accesos se comoditizan o los capturan plataformas ajenas, la cerradura se convierte en un periférico. Probabilidad baja a cinco años por la base instalada. La segunda es el precio de las compras: con ROIC del 10,5 % en 2025, cada compra a 14 veces EBITDA [16] diluye la rentabilidad del capital.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12,5 %</w:t>
      </w:r>
      <w:r>
        <w:t xml:space="preserve">, EBITDA </w:t>
      </w:r>
      <w:r>
        <w:rPr>
          <w:b/>
          <w:bCs/>
        </w:rPr>
        <w:t xml:space="preserve">14,3 %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pasan de 95.007 M SEK en 2021 a 152.409 M en 2025, sobre todo por compras: HHI desde 2023 y 23 compras en 2025, que aportaron un 5 % [1, 4]. El orgánico fue del 3 % en 2025 y la divisa restó un 7 % [1]. El margen EBITDA publicado sube del 19,0 % de 2021 al 19,2 % de 2025 (20,2 % sin los 1.513 M de partidas que afectan a la comparabilidad) y el EBITA ajustado del 2T26 marca récord (18,1 %) [2, 7]. El beneficio neto crece menos que el EBIT porque los gastos financieros pasan de 649 M en 2021 a 3.515 M en 2024 por la deuda de HHI [4]. 2023 no es comparable: HHI entra a mitad de año.</w:t>
      </w:r>
    </w:p>
    <w:p>
      <w:pPr>
        <w:pStyle w:val="Heading2"/>
      </w:pPr>
      <w:r>
        <w:t xml:space="preserve">Ajustes y partidas no recurrentes</w:t>
      </w:r>
    </w:p>
    <w:p>
      <w:pPr>
        <w:spacing w:after="100"/>
      </w:pPr>
      <w:r>
        <w:t xml:space="preserve">Las cifras son las publicadas. En 2025 la empresa excluye 1.513 M SEK de partidas que afectan a la comparabilidad (programa de reestructuración): EBIT ajustado de 24.664 M frente a 23.151 M publicado y BPA ajustado de 14,34 SEK frente a 13,23 [1, 4]; se devuelven al EBITDA en no_recurrentes_en_ebitda. En 2024 el ajuste fue casi nulo (BPA de 14,09 ajustado frente a 14,08) [1, 31]. La empresa lanza programas de reestructuración cada pocos años, así que no son del todo extraordinarios. El LTM a junio de 2026 es una estimación propia sumando el 1S26 al 2S25 (ventas 151.377 M, EBIT ajustado ≈25.000 M, BPA ajustado 14,74 SEK) [2,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(17-jul) Nico Delvaux y Erik Pieder presentaron un trimestre con orgánico del 4 % (2 % comprado, −3 % divisa), ventas de 39.259 M SEK, EBITA de 7.091 M con margen récord del 18,1 % y BPA de 3,98 SEK (3,57) [2, 23]; el BPA superó el 3,91 esperado [32]. El flujo operativo subió a 6.300 M (5.452) [2]. El mensaje: aceleración orgánica y apalancamiento operativo «pese a un mercado difícil e incierto», con EMEIA fuerte, Américas, Global Technologies y Entrance Systems buenas y Asia-Pacífico a la baja; cinco compras con ≈2.000 M de ventas anuales [2, 3]. En el 1T26 las ventas cayeron un 6 % por la divisa [12]. No se pudo leer la transcripción: las preguntas de los analistas sobre residencial en EE. UU. y aranceles quedan como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HHI (herrajes y cerraduras residenciales de Spectrum Brands, USD 4.300 M), consolidada desde mediados de 2023: el balance de 2023 la incluye entera y la cuenta solo medio año [5, 16].).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El balance cambió en 2023 con HHI: la deuda pasa de 33.700 M a 59.760 M y el fondo de comercio de 75.900 M a 92.900 M [8, 11]. Desde entonces la deuda neta se mantiene en 2,1-2,2 veces el EBITDA porque la caja libre (≈17.000 M tras capex y arrendamientos) paga el dividendo (6.563 M) y las compras (11.409 M) pero apenas reduce deuda [5, 12]. El circulante comercial (existencias más clientes menos proveedores) es del 20,6 % de las ventas en 2025, frente al 21,2 % de 2024 [10, 17].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76.047</w:t>
      </w:r>
      <w:r>
        <w:t xml:space="preserve">, conversión </w:t>
      </w:r>
      <w:r>
        <w:rPr>
          <w:b/>
          <w:bCs/>
        </w:rPr>
        <w:t xml:space="preserve">112 %</w:t>
      </w:r>
      <w:r>
        <w:t xml:space="preserve"> del beneficio neto; adquisiciones 87.815, dividendos 26.893, recompras 0.</w:t>
      </w:r>
    </w:p>
    <w:p>
      <w:pPr>
        <w:spacing w:after="100"/>
      </w:pPr>
      <w:r>
        <w:t xml:space="preserve">El flujo operativo del estado de flujos pasa de 12.456 M SEK en 2021 a 21.412 M en 2025 [5]; el de la empresa (antes de impuestos e intereses, su métrica) fue de 22.660 M, con una conversión del 106 % sobre el beneficio (110 % en 2024) [9]. 2021 y 2022 son flojos por la acumulación de existencias de la crisis de suministros. El capex propio es bajo, 1,7-1,8 % de las ventas (2.773 M en 2025), por debajo de la amortización, porque esta incluye la de intangibles comprados [5]. La inversión de crecimiento real son las compras: 11.409 M en 2025, 12.136 M en 2024 y 53.566 M en 2023 (HHI) [5]. Los pagos de arrendamiento de 2024-2025 son estimación propia (pasivo corriente por arrendamientos del año anterior) [10].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acceso al informe de auditoría, la lectura se apoya en los indicadores del motor y en las cuentas: Altman Z de 3,34 (zona segura), Piotroski F de 7 sobre 9 y Beneish M de −2,75 (sin señal de manipulación). La conversión de caja del 106-110 % [9] respalda el beneficio. Dos asuntos a vigilar: el fondo de comercio e intangibles (137.958 M SEK en 2025, el 66 % del activo [6]) no tiene deterioros relevantes conocidos, pero depende de que las compras rindan; y los programas de reestructuración recurrentes (1.513 M en 2025) se presentan como partidas que afectan a la comparabilidad aunque vuelven cada pocos años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66 %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deterioro de HHI o de las compras de 2024-2025 golpearía el patrimonio; no se pudo leer la prueba de deterioro.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Reestructuraciones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1.513 M en 2025 [1]; el BPA ajustado (14,34) supera al publicado (13,23) en un 8 %.</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7,5 %.</w:t>
      </w:r>
    </w:p>
    <w:p>
      <w:pPr>
        <w:spacing w:after="100"/>
      </w:pPr>
      <w:r>
        <w:t xml:space="preserve">ASSA ABLOY crea valor, pero poco: ROIC del 12,1 % en 2021, 13,4 % en 2022, 11,4 % en 2023, 11,0 % en 2024 y 10,5 % en 2025, frente a un WACC del 7,47 %, es decir, 3,0 puntos de diferencia. El ROIC baja por la rotación, no por el margen: el capital invertido pasa de 94.067 M SEK a 174.734 M en cinco años por el fondo de comercio de HHI y de las compras [6, 8], mientras el margen EBITDA se mantiene en el 19-20 %. El ROIC incremental histórico es del 8,5 %: las compras recientes rinden poco más que su coste de capital. Sin fondo de comercio el ROIC operativo sería muy superior, que es lo que explica el foso; con él, lo que mide es el precio pagado.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≈1.400 M SEK a cierre de 2025 [6] y una línea de crédito sindicada (RCF) de 1.600 M EUR sin disponer a 30-jun-2026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neta financiera publicada sube de 64.277 M SEK en junio de 2025 a 68.246 M en junio de 2026 (0,61 veces el patrimonio) [2]; en marzo de 2026 era de 65.071 M, 2,1 veces el EBITDA [12]. La duración de los intereses es de 27 meses y la línea de crédito de 1.600 M EUR está sin disponer [15]. El tipo efectivo de la deuda es del 4,3 % [14]. No se pudieron leer las notas de pensiones, provisiones y pagos aplazados de compras (earn-outs), que en un comprador en serie suelen ser relevantes: no se incluyen en el puente (hueco).</w:t>
      </w:r>
    </w:p>
    <w:p>
      <w:pPr>
        <w:pStyle w:val="Heading1"/>
      </w:pPr>
      <w:r>
        <w:t xml:space="preserve">12. Asignación de capital</w:t>
      </w:r>
    </w:p>
    <w:p>
      <w:pPr>
        <w:pStyle w:val="Confianza"/>
        <w:spacing w:after="100"/>
      </w:pPr>
      <w:r>
        <w:t xml:space="preserve">Confianza: Media</w:t>
      </w:r>
    </w:p>
    <w:p>
      <w:pPr>
        <w:spacing w:after="100"/>
      </w:pPr>
      <w:r>
        <w:t xml:space="preserve">Prioridades: compras de complemento de forma continua (23 en 2025 y cinco en el 2T26), dividendo creciente y mantener la deuda en torno a 2 veces el EBITDA [1, 2, 12]. El dividendo propuesto para 2025 es de 6,40 SEK (5,90), pagado en dos mitades; la segunda (3,20 SEK) tiene fecha ex el 10-nov-2026 [1]. No hay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HHI (Hardware and Home Improvement de Spectrum Brands: Kwikset, Weiser, Baldwin; residencial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nueva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sept-2021 por USD 4.300 M (14x el EBITDA ajustado esperado; ≈10x neto de ventajas fiscales y con sinergias); cerrada en 2023 tras el litigio con el DOJ. El salto de la deuda de 33.700 a 59.760 M SEK y del fondo de comercio de 75.900 a 92.900 M en 2023 es esta compra [5, 8, 11, 16]. Importe en SEK, estimación propia al tipo de 2021 (≈8,6 SEK/USD).</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compras (bolt-on) en el 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operativa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Aportaron un 5 % de crecimiento (6.576 M SEK de ventas en el año) [1, 18]; pago en caja de 11.409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del 1S26 (cinco en el 2T con ≈2.000 M SEK de ventas anuales)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operativa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Aportan un 2 % de crecimiento en el 2T26 [2, 3].</w:t>
            </w:r>
          </w:p>
        </w:tc>
      </w:tr>
    </w:tbl>
    <w:p>
      <w:pPr>
        <w:spacing w:after="160" w:before="0"/>
      </w:pPr>
    </w:p>
    <w:p>
      <w:pPr>
        <w:spacing w:after="100"/>
      </w:pPr>
      <w:r>
        <w:t xml:space="preserve">La dirección asigna el capital como un comprador en serie disciplinado en tamaño pero caro en precio. De 2021 a 2025 gastó 87.815 M SEK en compras y 26.893 M en dividendos, con un flujo operativo acumulado de 90.910 M [5]. El resultado: ventas +60 % y BPA de 9,81 a 13,23 SEK (+8 % anual), pero un ROIC que baja del 13,4 % de 2022 al 10,5 % de 2025 y un ROIC incremental del 8,5 %, por el fondo de comercio de HHI pagado a 14 veces el EBITDA [16]. Es creación de valor modesta frente a un WACC del 7,47 %: suma, pero cada vez menos por corona invertida. Sin dilución: 1.111 M de acciones desde 2021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 Delvaux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grupo desde 2018 tras llevar la división Entrance Systems; presenta los resultados con el director financiero [23]. Bajo su mando, compra de HHI y ventas de 152.409 M SEK en 2025 frente a 95.007 M en 2021.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Pieder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que presenta los resultados trimestrales con el CEO [23].</w:t>
            </w:r>
          </w:p>
        </w:tc>
      </w:tr>
    </w:tbl>
    <w:p>
      <w:pPr>
        <w:spacing w:after="160" w:before="0"/>
      </w:pPr>
    </w:p>
    <w:p>
      <w:pPr>
        <w:spacing w:after="100"/>
      </w:pPr>
      <w:r>
        <w:t xml:space="preserve">Equipo estable: Nico Delvaux dirige el grupo desde 2018 y presenta resultados con el director financiero Erik Pieder [23]. Credibilidad razonable por la regularidad del margen y de las compras, pero no se pudo comprobar el cumplimiento del objetivo financiero de largo plazo (crecimiento del 10 % anual y margen EBITA del 16-17 %) año a año: el margen sí está en el rango (17,2 % en 2025 [1]) y el crecimiento total de 2025 se quedó en el 1 % por la divisa. Sin datos de plan de sucesión ni de participación del CEO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(9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 MarketScreener da 5,33 % con otra base de capital [24,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Melker Schörling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Segundo en la lista de MarketScreener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 2025 (hueco): ni el total del consejero delegado ni el voto de la junta. El esquema sueco habitual (fijo, bono anual por beneficio, crecimiento y caja, y un programa de acciones a largo plazo ligado al BPA) es el que la empresa ha usado en el pasado, pero no se ha verificado para 2025-2026, así que el criterio de variable ligado a rentabilidad queda sin puntuar.</w:t>
      </w:r>
    </w:p>
    <w:p>
      <w:pPr>
        <w:pStyle w:val="Heading2"/>
      </w:pPr>
      <w:r>
        <w:t xml:space="preserve">Operaciones vinculadas, estructura de control y defensas</w:t>
      </w:r>
    </w:p>
    <w:p>
      <w:pPr>
        <w:spacing w:after="100"/>
      </w:pPr>
      <w:r>
        <w:t xml:space="preserve">Dos clases de acciones: las A, con diez votos, y las B, con uno, que son las que cotizan con liquidez [24]. Investment AB Latour (9,49 % del capital) y Melker Schörling AB (3,06 %) concentran acciones A, por lo que su peso en votos es bastante mayor que en capital y controlan de hecho la junta y el comité de nombramientos [25]. Es el modelo de las «esferas» suecas: estable y orientado al largo plazo, pero con menos voz para el minoritario. No se conocen operaciones vinculadas relevantes. Porcentaje de votos exacto, consejo y operaciones de directivos no verificados (hueco).</w:t>
      </w:r>
    </w:p>
    <w:p>
      <w:pPr>
        <w:pStyle w:val="Heading2"/>
      </w:pPr>
      <w:r>
        <w:t xml:space="preserve">Señales de alerta</w:t>
      </w:r>
    </w:p>
    <w:p>
      <w:pPr>
        <w:pStyle w:val="ListParagraph"/>
        <w:numPr>
          <w:ilvl w:val="0"/>
          <w:numId w:val="2"/>
        </w:numPr>
        <w:spacing w:after="60"/>
      </w:pPr>
      <w:r>
        <w:t xml:space="preserve">Acciones A con diez votos frente a uno de las B: Latour y Melker Schörling AB pesan en votos bastante más que su 9,5 % y 3,1 % del capital [24,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ASSA ABLOY no da guía anual numérica: mantiene los objetivos de largo plazo (crecimiento medio del 10 % al año, mitad orgánico y mitad comprado, y margen EBITA del 16-17 % a lo largo del ciclo) y comenta el trimestre. En el 2T26 (17-jul) habló de aceleración orgánica y apalancamiento operativo en un mercado difícil e incierto [2]. Los próximos resultados (3T26) son el 27-oct-2026 según el calendario recogido por la prensa [28]; el encargo los situaba el 22-23 de octubre.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 margen EBIT del 16,6 %</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 margen EBIT del 17,0 %</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 margen EBIT del 17,3 %</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500,00</w:t>
            </w:r>
          </w:p>
        </w:tc>
      </w:tr>
    </w:tbl>
    <w:p>
      <w:pPr>
        <w:spacing w:after="160" w:before="0"/>
      </w:pPr>
    </w:p>
    <w:p>
      <w:pPr>
        <w:pStyle w:val="Heading2"/>
      </w:pPr>
      <w:r>
        <w:t xml:space="preserve">Revisiones de estimaciones</w:t>
      </w:r>
    </w:p>
    <w:p>
      <w:pPr>
        <w:spacing w:after="100"/>
      </w:pPr>
      <w:r>
        <w:t xml:space="preserve">Solo MarketScreener da estimaciones completas a tres años (BPA de 15,31, 17,06 y 18,62 SEK para 2026-2028, margen EBIT del 16,6 % al 17,3 %) [31]; aktien.guide da 15,77 SEK para 2026 con 24 analistas [33]. Los precios objetivo suben: 374,85 SEK de media tras el 3T25, 396,62 tras el 4T25 [34] y 408,8 hoy (14 comprar y 8 mantener; mínimo 340 y máximo 500) [32]; Goldman subió el suyo a 392 con neutral el 13-oct [29]. No hay serie de revisiones del BPA a 3 y 12 meses (hueco).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El PER de cierre fue de 28,2 veces en 2021, 18,7 en 2022, 23,7 en 2023, 23,2 en 2024 y 25,0 en 2025 sobre el BPA ajustado [30, 31]. Se excluye 2021 (tipos a cero y PER de 28 veces que no se repitió). Hoy cotiza a 21,8 veces nuestro BPA de 2027e y a 21,2 veces el BPA de los próximos 12 meses del consenso: por debajo de su mediana de cinco años (23,45 veces). El descuento refleja tipos más altos (bono sueco al 2,98 % en julio [35]) y un crecimiento orgánico más bajo (3 %) que el objetivo histórico del 5 %.</w:t>
      </w:r>
    </w:p>
    <w:p>
      <w:pPr>
        <w:pStyle w:val="Heading1"/>
      </w:pPr>
      <w:r>
        <w:t xml:space="preserve">18. Comparables cotizados</w:t>
      </w:r>
    </w:p>
    <w:p>
      <w:pPr>
        <w:pStyle w:val="Confianza"/>
        <w:spacing w:after="100"/>
      </w:pPr>
      <w:r>
        <w:t xml:space="preserve">Confianza: Baja</w:t>
      </w:r>
    </w:p>
    <w:p>
      <w:pPr>
        <w:spacing w:after="100"/>
      </w:pPr>
      <w:r>
        <w:t xml:space="preserve">Dos comparables directos de cerraduras y accesos (Allegion y dormakaba), dos de equipamiento de edificios (Schindler y Legrand) y cuatro industriales europeos de calidad y compradores en serie que el mercado valora con la misma lente (Atlas Copco, Indutrade, Halma, IMI) [36, 37, 38, 39, 40]. Solo hay PER de los próximos 12 meses: la búsqueda no dio las demás cifras con la misma fecha (hueco), así que el peso de los comparables es menor.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Allegion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dormakaba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 / 24,2x / 28,1x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bl>
    <w:p>
      <w:pPr>
        <w:spacing w:after="160" w:before="0"/>
      </w:pPr>
    </w:p>
    <w:p>
      <w:pPr>
        <w:spacing w:after="100"/>
      </w:pPr>
      <w:r>
        <w:t xml:space="preserve">La mediana del PER de los próximos 12 meses es de 24,2 veces, con los directos más baratos (Allegion 20,6x, dormakaba 18,6x) y los compradores en serie más caros (Indutrade 28,0x, Halma 29,0x) [36, 39, 40]. ASSA ABLOY, a 21,2 veces, queda entre los dos grupos, lo que encaja con un crecimiento orgánico del 3 % y un ROIC del 10,5 %: más que Allegion en tamaño y diversificación, menos que Halma en rentabilidad del capital. El rango por múltiplos (360,01 a 468,47 SEK) queda por encima del DCF porque el mercado capitaliza las compras futuras que el DCF descuenta a su coste.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HHI (Spectrum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 4.300 M; 14x el EBITDA ajustado esperado de 2021 (≈10x neto de ventajas fiscales y con sinergias) [43]. EV en SEK, estimación propia a ≈8,6 SEK/USD.</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única operación con múltiplo publicado es la propia compra de HHI: 14 veces el EBITDA ajustado esperado (≈10 veces con ventajas fiscales y sinergias) [43]. Es la referencia de lo que paga ASSA ABLOY por un activo de calidad en su sector y la base del supuesto de coste de las compras del DCF (2,5 veces las ventas compradas). ASSA ABLOY, con 392.294 M SEK de capitalización y control de Latour y Melker Schörling por las acciones A, no es objetivo de una oferta: las transacciones pesan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se separa en tres partes [1, 2]. Orgánico del 3 % hasta 2031, igual al de 2025 y entre el 1S26 (≈3 %) y el 2T26 (4 %), que baja hacia el 1 % en 2035 para que el último año quede en el 2 % terminal. Compras del 3 % al año hasta 2031, por debajo del 5 % de 2025 y del 2-3 % del 1S26, que se reducen al 1 % en 2035. Divisa: −5 % en 2026 (−6 % en el 1S26) y neutra después. Resultado: +1,0 % en 2026 y ≈6 % en 2027-2031; el crecimiento medio de la proyección (4,5 %) incluye el comprado. El consenso de BPA (17,06 y 18,62 SEK en 2027-2028 [31]) supone algo más.</w:t>
      </w:r>
    </w:p>
    <w:p>
      <w:pPr>
        <w:keepNext/>
        <w:spacing w:after="100"/>
      </w:pPr>
      <w:r>
        <w:rPr>
          <w:b/>
          <w:bCs/>
        </w:rPr>
        <w:t xml:space="preserve">Márgenes.</w:t>
      </w:r>
    </w:p>
    <w:p>
      <w:pPr>
        <w:spacing w:after="100"/>
      </w:pPr>
      <w:r>
        <w:t xml:space="preserve">Margen EBITDA del 20,7 % en 2026, sobre el 20,2 % ajustado de 2025 más los 70 puntos básicos de mejora del 1S26 [1, 3], y del 20,9 % a partir de 2028. No proyectamos más mejora: el EBITA ajustado ya está en el techo del objetivo (16-17 % de margen EBIT, 18,1 % de EBITA en el 2T26) y las compras entran con margen inferior. La amortización (4,0 % de las ventas en 2025) incluye la de intangibles comprados y converge al 3,0 % del final [4, 7]. Impuesto del 25 % (25,8 % en 2025 y 25,2 % en 2024) [4].</w:t>
      </w:r>
    </w:p>
    <w:p>
      <w:pPr>
        <w:keepNext/>
        <w:spacing w:after="100"/>
      </w:pPr>
      <w:r>
        <w:rPr>
          <w:b/>
          <w:bCs/>
        </w:rPr>
        <w:t xml:space="preserve">Inversión y circulante.</w:t>
      </w:r>
    </w:p>
    <w:p>
      <w:pPr>
        <w:spacing w:after="100"/>
      </w:pPr>
      <w:r>
        <w:t xml:space="preserve">ASSA ABLOY es un comprador en serie: el crecimiento comprado entra en el DCF con su coste. Capex = capex propio del 1,8 % de las ventas (2.773 M en 2025 [5]) + las compras, a 2,5 veces las ventas compradas (HHI se pagó a 14 veces el EBITDA [16]; en 2025 se pagaron 11.409 M por 6.576 M de ventas del año, parte del año [1, 5]). Con un 3 % de compras, el capex total es del 9,3 % de las ventas en 2026-2031 y baja al 3,0 % (igual a la amortización) al final. Circulante del 20,6 % de las ventas, el de 2025 [17].</w:t>
      </w:r>
    </w:p>
    <w:p>
      <w:pPr>
        <w:keepNext/>
        <w:spacing w:after="100"/>
      </w:pPr>
      <w:r>
        <w:rPr>
          <w:b/>
          <w:bCs/>
        </w:rPr>
        <w:t xml:space="preserve">Coste del capital.</w:t>
      </w:r>
    </w:p>
    <w:p>
      <w:pPr>
        <w:spacing w:after="100"/>
      </w:pPr>
      <w:r>
        <w:t xml:space="preserve">Tasa libre del 3,0 %: el bono sueco a 10 años marcaba 2,98 % en julio de 2026 [35] (no hay lectura de octubre: hueco). Beta de 0,95, estimación propia para un industrial de calidad de gran capitalización (no se pudo calcular con bolsa.mjs), prima de mercado del 5,5 % y sin prima adicional: vende en todo el mundo con mayoría en EE. UU. y Europa. Coste de la deuda del 4,3 % (tipo efectivo a junio de 2026 [14]) y peso de la deuda del 15 % a valor de mercado (68.246 M frente a 392.294 M de capitalización). WACC del 7,47 %. Con la prima del mercado (4,20 % [41]) el WACC baja al 6,43 %.</w:t>
      </w:r>
    </w:p>
    <w:p>
      <w:pPr>
        <w:keepNext/>
        <w:spacing w:after="100"/>
      </w:pPr>
      <w:r>
        <w:rPr>
          <w:b/>
          <w:bCs/>
        </w:rPr>
        <w:t xml:space="preserve">Valor terminal.</w:t>
      </w:r>
    </w:p>
    <w:p>
      <w:pPr>
        <w:spacing w:after="100"/>
      </w:pPr>
      <w:r>
        <w:t xml:space="preserve">Gordon con un crecimiento del 2,0 %: inflación objetivo del Riksbank del 2 % y crecimiento real cercano a cero tras las compras, por debajo de la tasa libre menos medio punto (2,5 %). El múltiplo de salida de 15 veces el EBITDA, por encima del 14,8 actual, solo es referencia. El valor terminal pesa un 73 % del valor: el valor depende de la tasa de descuento más que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102.980 M (40 %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10,5 %)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 (histórico: 8,5 %)</w:t>
            </w:r>
          </w:p>
        </w:tc>
      </w:tr>
    </w:tbl>
    <w:p>
      <w:pPr>
        <w:spacing w:after="160" w:before="0"/>
      </w:pPr>
    </w:p>
    <w:p>
      <w:pPr>
        <w:spacing w:after="100"/>
      </w:pPr>
      <w:r>
        <w:t xml:space="preserve">La proyección reinvierte el 40 % del NOPAT. Con el ROIC del último ejercicio (10,5 %), eso financia un crecimiento del 4,2 % anual, frente al 4,5 % de ingresos proyectado. Supone que el capital nuevo rinde un 13,0 %, frente a un ROIC incremental histórico del 8,5 %.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(1,5 de volumen y 1,5 de precio, como el 1S26), compras del 3 % y divisa del −5 %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con precio del 1,5 %; compras del 3 % a 2,5 veces las ventas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ritmo de compras de los últimos años (3-5 puntos) [1,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y compras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3 % y compras del 3 %.</w:t>
            </w:r>
          </w:p>
        </w:tc>
      </w:tr>
    </w:tbl>
    <w:p>
      <w:pPr>
        <w:spacing w:after="160" w:before="0"/>
      </w:pPr>
    </w:p>
    <w:p>
      <w:pPr>
        <w:spacing w:after="100"/>
      </w:pPr>
      <w:r>
        <w:t xml:space="preserve">El crecimiento orgánico del 3 % es sostenible: la reposición y el paso a lo electrónico lo sostienen y la empresa demuestra poder de precios (margen récord con orgánico del 4 % [2]). El comprado depende de seguir pagando: con compras a 2,5 veces las ventas, la proyección reinvierte el 40 % del NOPAT y el capital nuevo rinde un 13,0 %, en el límite de lo que permite el ROIC del 10,5 % y el incremental del 8,5 %. Con un coste de 2,2 veces la prueba fallaba (15,2 %): por eso el caso base lleva el coste más alto, un orgánico del 3 % y un margen que no pasa del 20,9 %. Veredicto «En parte»: la calidad sostiene el orgánico, pero el ROIC − WACC (3,0 puntos) no deja margen para que las compras creen mucho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 (base: 20,9 %)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7,5 %)</w:t>
            </w:r>
          </w:p>
        </w:tc>
      </w:tr>
    </w:tbl>
    <w:p>
      <w:pPr>
        <w:spacing w:after="160" w:before="0"/>
      </w:pPr>
    </w:p>
    <w:p>
      <w:pPr>
        <w:spacing w:after="100"/>
      </w:pPr>
      <w:r>
        <w:t xml:space="preserve">El DCF da 267,68 SEK por acción, un 24,2 % por debajo del precio, con un valor terminal del 73 %. El DCF inverso dice que el precio de 353,10 SEK descuenta un crecimiento del 8,9 % anual en 2027-2035 con nuestro margen, o un margen EBITDA del 24,5 % con nuestro crecimiento, frente al 4,9 % y al 20,9 % de nuestro caso base; la rentabilidad implícita es del 6,5 %, por debajo de nuestro WACC del 7,47 % pero por encima del 6,43 % que pide hoy el mercado. Es exigente frente a la historia: el crecimiento total medio de 2021-2025 fue del 12,5 % anual, pero con HHI y la divisa a favor, y el orgánico ronda el 3 %. La lectura útil es la relativa: con la prima del mercado el valor sube a 356,97 SEK, casi el precio. ASSA ABLOY cotiza a un precio justo para quien acepte la rentabilidad del mercado, no para quien exija su coste de capital histórico.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residencial de EE. UU. y la obra nueva europea vuelven a caer, el orgánico pasa a ser nulo dos años y la presión de precios con aranceles quita 1,5 puntos de margen, como en 2023, cuando la construcción frenó. Las compras siguen a 14 veces el EBITDA y el ROIC baja del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compras del 3 % al año a 2,5 veces las ventas, margen EBITDA del 20,7-20,9 % y divisa neutra desde 2027. La deuda se mantiene en ≈2 veces el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electrónica y el software aceleran el orgánico al 4-5 %, la recuperación de la construcción suma volumen y el apalancamiento operativo lleva el margen 0,8 puntos más arriba, como en el 2T26 (18,1 % de EBITA).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259,51 SEK (-26,5 %).</w:t>
      </w:r>
    </w:p>
    <w:p>
      <w:pPr>
        <w:spacing w:after="100"/>
      </w:pPr>
      <w:r>
        <w:t xml:space="preserve">La asimetría del valor intrínseco es mala: el alcista (318,50 SEK) también queda por debajo del precio (−9,8 %) y el bajista pierde un 47,8 % (184,16 SEK). Es la consecuencia de descontar al 7,47 % un negocio que el mercado descuenta al 6,5 %. A 12 meses, con nuestro BPA y la regla de múltiplos, el rango es de 279,57 SEK (bajista) a 457,14 SEK (alcista), con el base en 378,45 SEK: allí la asimetría es aceptable porque el PER ya está por debajo de su mediana. No compensa comprar: ni el valor intrínseco ni el objetivo a 12 meses dan rentabilidad suficiente.</w:t>
      </w:r>
    </w:p>
    <w:p>
      <w:pPr>
        <w:pStyle w:val="Heading1"/>
      </w:pPr>
      <w:r>
        <w:t xml:space="preserve">22. Suma de partes</w:t>
      </w:r>
    </w:p>
    <w:p>
      <w:pPr>
        <w:pStyle w:val="Confianza"/>
        <w:spacing w:after="100"/>
      </w:pPr>
      <w:r>
        <w:t xml:space="preserve">Confianza: Media</w:t>
      </w:r>
    </w:p>
    <w:p>
      <w:pPr>
        <w:spacing w:after="100"/>
      </w:pPr>
      <w:r>
        <w:t xml:space="preserve">No aplica: las cinco divisiones venden productos de apertura y acceso con márgenes y comparables parecidos, y no se tiene su desglose de resultados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SEK) · precio actual 35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299,67 SEK (-15,1 % sobre 353,10).</w:t>
      </w:r>
    </w:p>
    <w:p>
      <w:pPr>
        <w:spacing w:after="100"/>
      </w:pPr>
      <w:r>
        <w:t xml:space="preserve">Pesos: DCF 50 %, comparables 25 % y escenarios 25 %; transacciones 0 % porque no hay prima de control posible con Latour y Melker Schörling y solo hay una operación con múltiplo. El DCF es el método más fiable para un negocio estable, pero muy sensible a la tasa: con nuestro WACC (7,47 %) da 267,68 SEK y con la prima del mercado 356,97 SEK. Los comparables dan 360,01-468,47 SEK por el PER de los próximos 12 meses, por encima del DCF porque el mercado paga por adelantado las compras futuras. La dispersión (de 184 a 468 SEK) dice que el valor de ASSA ABLOY depende de cuánto se exija a un negocio de calidad, no de las cifras: la síntesis queda en 299,67 SEK.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spacing w:after="100"/>
      </w:pPr>
      <w:r>
        <w:rPr>
          <w:b/>
          <w:bCs/>
        </w:rPr>
        <w:t xml:space="preserve">Objetivo a 12 meses (ponderado):</w:t>
      </w:r>
      <w:r>
        <w:t xml:space="preserve"> 373,40 SEK · rentabilidad +7,6 % (base +9,0 %) · señal Mantener.</w:t>
      </w:r>
    </w:p>
    <w:p>
      <w:pPr>
        <w:keepNext/>
        <w:spacing w:after="100"/>
      </w:pPr>
      <w:r>
        <w:rPr>
          <w:b/>
          <w:bCs/>
        </w:rPr>
        <w:t xml:space="preserve">Frente al consenso (solo contraste).</w:t>
      </w:r>
    </w:p>
    <w:p>
      <w:pPr>
        <w:spacing w:after="100"/>
      </w:pPr>
      <w:r>
        <w:t xml:space="preserve">Nuestro BPA de 2028e (17,36 SEK) queda un 6,8 % por debajo del consenso (18,62 SEK [31]) por el margen: proyectamos un EBITDA del 20,9 % (margen EBIT ≈16,9 %) frente al 17,3 % de margen EBIT del consenso, porque las compras entran con menos margen y no suponemos más reestructuraciones con ahorro. Nuestro precio base (378,45 SEK) queda un 7,4 % por debajo del objetivo medio (408,8 SEK [32]): menos BPA y un PER de 21,8 veces, el actual, frente a uno más cerca de la mediana histórica. El objetivo medio está dentro de nuestro rango (279,57-457,14).</w:t>
      </w:r>
    </w:p>
    <w:p>
      <w:pPr>
        <w:keepNext/>
        <w:spacing w:after="100"/>
      </w:pPr>
      <w:r>
        <w:rPr>
          <w:b/>
          <w:bCs/>
        </w:rPr>
        <w:t xml:space="preserve">Del valor intrínseco al objetivo a 12 meses.</w:t>
      </w:r>
    </w:p>
    <w:p>
      <w:pPr>
        <w:spacing w:after="100"/>
      </w:pPr>
      <w:r>
        <w:t xml:space="preserve">El objetivo a 12 meses (373,40 SEK) queda un 24,6 % por encima del valor intrínseco (299,67 SEK): el mercado seguirá pagando unas 22 veces el beneficio por un negocio de calidad, aunque nuestro WACC diga que vale menos. Para que el precio converja al valor intrínseco haría falta una subida sostenida de tipos (bono sueco por encima del 3,5 %) o una caída del orgánico; para que el valor intrínseco suba al precio, que las compras rindan por encima del 10 % o que el orgánico pase del 4 %. Ninguna de las dos cosas tiene fecha: la tesis es de varios años, y a 12 meses la acción solo da el crecimiento del beneficio más el dividendo.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y margen EBITA frente al 4 % y 18,1 % del 2T26; el mercado espera continuidad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 la segunda mitad del dividendo (3,20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0,9 %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crecimiento del dividendo (6,40 SEK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negativo de la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SEK vuelven a crecer al ritmo orgánico más compras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complemento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puntos de crecimiento al año; una compra grande a más de 14 veces el EBITDA sería negativa para el ROIC.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(PER del bajista, 18,7 veces, frente a 21,8)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reposición poco cíclico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sueco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orgánico por construcción (residencial EE. UU.,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a 12 meses (279,57 frente a 353,10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y electrónica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3T26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que bajan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el DCF por cada 0,5 veces más en el precio de las compras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histórica en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10 % o una compra grande a más de 15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BPA por cada 5 % de apreciación de la corona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y USD/SEK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costes de materiales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−5 %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demostrado (margen récord en el 2T26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Américas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Disrupción tecnológica del acceso (credencial móvil, plataformas)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del DCF (−48 %)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HID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control de accesos frente a plataformas de software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(HHI)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 golpea el patrimonio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Conversión de caja del 106 %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residenciales de EE. UU. a la baja dos años</w:t>
            </w:r>
          </w:p>
        </w:tc>
      </w:tr>
    </w:tbl>
    <w:p>
      <w:pPr>
        <w:spacing w:after="160" w:before="0"/>
      </w:pPr>
    </w:p>
    <w:p>
      <w:pPr>
        <w:pStyle w:val="Heading2"/>
      </w:pPr>
      <w:r>
        <w:t xml:space="preserve">Pre-mortem</w:t>
      </w:r>
    </w:p>
    <w:p>
      <w:pPr>
        <w:spacing w:after="100"/>
      </w:pPr>
      <w:r>
        <w:t xml:space="preserve">Octubre de 2029: la acción ha perdido un 40 % y cotiza a 210 SEK. La historia más probable empieza con el 3T26: el orgánico se queda en el 1 % porque el residencial de EE. UU. y la obra nueva en Europa vuelven a caer, y los aranceles obligan a absorber costes. El margen EBITA retrocede del 18 % al 16,5 %. A la vez, el bono sueco sube por encima del 3,5 % y los industriales de calidad pierden múltiplo: el PER cae de 22 a 17 veces, como en 2022. Para mantener el crecimiento, la dirección compra más y más caro, la deuda pasa de 2,5 veces el EBITDA y el ROIC baja del 10 %. El BPA de 2028 se queda en 15 SEK en vez de 17,4 y el mercado deja de pagar prima por la regularidad. Indicadores que lo habrían anticipado: el orgánico trimestral por debajo del 2 %, el margen EBITA de Américas, la deuda neta sobre EBITDA por encima de 2,5 veces y el bono sueco.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medio de EBITDA y de ventas pagaron por las 23 compras de 2025 y qué rentabilidad sobre el capital dan al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supuesto de 2,5 veces las ventas decide la prueba de sostenibilidad y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hoy HHI y el residencial de Américas en ventas y EBITA, y cómo han ido frente al plan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HHI se pagó a 14 veces el EBITDA y es el mayor riesgo de deterioro.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4 % orgánico del 2T26 es precio y cuál volumen, y cuánto precio queda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un 1,5 % de precio y un 1,5 %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EBITA del 18,1 % del 2T26 es el nuevo suelo o un pico por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proyectamos mejora a partir de 2028; el consenso sí.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nuevos programas tras el de 2025 (1.513 M SEK) y qué ahorro dan?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son recurrentes, el BPA ajustado sobrestima 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efecto de conversión esperan para el 2S26 y 2027 con las curvas actuales?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explica casi toda la diferencia entre el crecimiento orgánico más comprado y el reportado.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 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grupo la ve cara (EV/EBITDA por encima de 15 y PER por encima de 26) y otro la trata como valor de dividendo creciente a largo plazo, con quince años de subidas del dividendo y compras continuas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narrativa de la comunidad sitúa el valor en torno a 401 SEK, por encima de la cotización, y destaca las compras recientes [13].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(comunidad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considera «a su precio justo»: GF Value de ≈328 SEK frente a ≈335 SEK de cotización en julio, con alta puntuación de calidad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mercado con comentarios (ad-hoc-news, Affärsvärlden)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precio objetivo antes del 3T (Barclays, Goldman a 392 SEK con neutral) y varios «mantener» de bancos nórdicos: se espera un buen trimestre pero se discute el múltiplo [46,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26x histórico)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nivel: el PER de cierre de 2025 fue de 25,0 veces el BPA ajustado y hoy cotiza a 21,8 veces nuestro BPA de 2027e, por encima de la mediana de los comparables europeos de calidad baja (Allegion 20,6x, dormakaba 18,6x) pero por debajo de Atlas Copco o Halma (28-29x) [30, 36, 39, 40]. El DCF da 267,68 SEK: el precio ya paga un crecimiento del 8,9 %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Compounder de dividendos y compras en serie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dividendo de 4,20 SEK (2021) a 6,40 SEK (2025) y 23 compras en 2025 que aportaron un 5 % de crecimiento [1, 5]. Pero el ROIC baja del 13,4 % de 2022 al 10,5 % de 2025 por el fondo de comercio comprado: crecer comprando crea poco valor a los precios actuales.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de EE. UU.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creció bien en el 2T26 y Asia-Pacífico cayó [2, 3]; HHI (residencial de EE. UU.) se compró a 14 veces el EBITDA [16]. El informe no tiene el desglose por división para medir cuánto pesa el residencial: es una pregunta abierta.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de la corona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la divisa restó un 7 % a las ventas de 2025 y un 3 % en el 2T26 [1, 2]; las ventas de 2025 crecieron un 1 % pese a un 3 % orgánico y un 5 % comprado. Es un efecto de conversión, no de negocio, y se diluye en 2027.</w:t>
            </w:r>
          </w:p>
        </w:tc>
      </w:tr>
    </w:tbl>
    <w:p>
      <w:pPr>
        <w:spacing w:after="160" w:before="0"/>
      </w:pPr>
    </w:p>
    <w:p>
      <w:pPr>
        <w:spacing w:after="100"/>
      </w:pPr>
      <w:r>
        <w:t xml:space="preserve">El sentimiento de los particulares está dividido entre quienes la tienen como valor de dividendo y compras para siempre y quienes la ven cara; ninguno es extremo y coincide con la lectura del consenso de analistas (14 comprar y 8 mantener, objetivos al alza [32]). No anticipa un riesgo que el informe no recoja: la valoración y la divisa ya están en la tesis. Lo que sí confirma es que el debate es de precio, no de negocio, y que una sorpresa en el 3T26 del 27-oct (orgánico por debajo del 3 %) pillaría a un mercado que espera continuidad. No hubo debate apreciable en Reddit, Seeking Alpha ni Stocktwits.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47 (10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13,0 % frente a un ROIC de 10,5 % y un incremental histórico de 8,5 %: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20,6 % frente a 20,6 % real: genera una variación de circulante de 340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26, 27,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(cinco divisiones: EMEIA, Americas, Asia Pacific, Global Technologies, Entrance Systems) con ventas y EBIT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4T25 en Cision: la búsqueda solo devolvió el resumen del grupo; 2) presentación del 2T26: solo comentarios cualitativos por división; 3) informe anual 2025 buscado por división: sin cifras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presentación del 2T26; 3) proveedores de datos: sin desglose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completo 2021-2025 (existencias, proveedores, arrendamientos de 2021, 2022 y 2025, inmovilizado),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ASSA ABLOY: extractos sin balance; 2) Stockopedia, Stock Analysis y Tracenable: solo partidas sueltas; 3) TipRanks y Kalkine: deuda total y fondo de comercio; arrendamientos solo 2023-2024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2) búsqueda del informe de auditoría: sin resultado útil; 3) presupuesto de búsquedas compartido agotándose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cerraduras, puertas y accesos (perímetro de ASSA ABLOY)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(cuota declarada): no abre; 2) estudios de control de accesos: perímetro más estrecho que las ventas de la empresa; 3) informe de cerraduras de control de accesos (USD 989 M en 2023): segmento demasiado pequeño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Búsquedas de múltiplos de Allegion y dormakaba: solo PER; 2) MarketScreener: sin cuentas en el extracto;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no abre; 2) búsqueda de MSCI/Sustainalytics: sin resultado;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votos en junta, remuneración del CEO, operaciones de directivos y porcentaje de votos de Latour y MSAB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de remuneraciones 2025: no abren desde la nube; 2) MarketScreener y Simply Wall St: solo capital, sin votos; 3) búsqueda de la remuneración de Nico Delvaux y del presidente del consejo: sin resultado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cumplimiento de objetivos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Objetivos financieros (10 % de crecimiento y 16-17 % de margen EBITA) en el informe anual: no abre; 2) presentaciones trimestrales: sin tabla; 3) prensa: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en la nube; 2) búsqueda de beta y rentabilidad: cifras sin fecha y discrepantes; 3) Finansinspektionen (cortos):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2-5 con múltiplo (Yale/August a Fortune Brands, compras de dormakaba y Allegion)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venta de Yale/August (USD 800 M): sin múltiplo; 2) compras de Allegion y dormakaba: sin resultados;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margen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comparable: solo PER en el extracto; 2) valueinvesting y Benzinga (Allegion): PER y capitalización sin fecha; 3) informes de Halma y Spirax del repositorio: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del cierre: solo cotizaciones intradía; 3) ad-hoc-news: 353,10 SEK a las 08:51 UTC del 14-oct, usado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Seeking Alpha, Stocktwits, Placera y Flashback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y Seeking Alpha de 2026: sin hilos; 2) Placera, Avanza y Flashback en sueco: sin hilos recientes; 3) WebFetch de las API de Stocktwits y Seeking Alpha: sin red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Transcripciones del 1T26 en GuruFocus y financialfilings: no abren; 2) búsqueda de las preguntas del 2T26 sobre residencial y aranceles: sin resultados; 3) resumen de Investing.com: solo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sueco a 10 años a la fecha de corte y beta calculada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descargar.mjs de Riksbank: sin red; 2) búsqueda del bono en octubre: última lectura del 21-jul (2,98 %); 3) bolsa.mjs para la beta: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Q4 2025 (informe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ASSA ABLOY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https://mb.cision.com/Main/7333/4302869/3918217.pdf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ASSA ABLOY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https://mb.cision.com/Main/7333/4375615/4197393.pdf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https://www.assaabloy.com/group/en/documents/investors/interim-presentations/2026/Q2%20Presentation%202026.pdf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B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https://www.stockopedia.com/share-prices/assa-abloy-ab-STO:ASSA B/balance-sheet/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financials and estimates (income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https://www.inderes.dk/companies/ASSA-ABLOY/financials-and-estimates/income-statements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AB (SS:ASSA-B)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https://kalkinemedia.com/se/companies/ss-assa-b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https://www.assaabloy.com/group/en/documents/investors/annual-reports/2025/Annual Report 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balance sheet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https://tracenable.com/company/assa-abloy/balance-sheet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stock analysis (deuda total,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https://www.tipranks.com/stocks/se:assa.b/stock-analysis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https://www.assaabloy.com/group/en/documents/investors/interim-presentations/2026/Q1%20Presentation%202026.pdf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(OM:ASSA B) Earnings put its valuation story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https://www.webull.com/news/15305856882861056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(OSTO:ASSA B) Accounts payable / effective interest rate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https://www.gurufocus.com/term/effective-interest-rate/OSTO:ASSA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Debt financing and credit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https://www.assaabloy.com/group/en/investors/debt/debt-financing-and-credit-rating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to acquire HHI division of Spectrum Brands (USD 4.300 M, 14x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https://www.nasdaq.com/press-release/assa-abloy-to-acquire-hardware-and-home-improvement-hhi-division-of-spectrum-brands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(STO:ASSA.B) Balance sheet (existencias, clientes y proveedores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https://stockanalysis.com/quote/sto/ASSA.B/financials/balance-sheet/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Quarterly Report Q4 2025 (resumen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https://www.inderes.fi/releases/assa-abloy-quarterly-report-q4-2025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Control Market Size, Share &amp; Trends (USD 10.620 M en 2025 a 15.800 M en 2030, 8,3 %)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https://www.marketsandmarkets.com/ResearchInsight/access-control-market-size.asp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Control Market global report (USD 13.100 M en 2025, 8,1 % anual a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Report Cubes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https://www.thereportcubes.com/public/report-store/access-control-market-global-report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Access Control Market to Hit $15.8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Asadria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https://www.asadria.com/?p=23746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acquires the HHI division of Spectrum Brands for MUSD 4300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World 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https://www.securityworldmarket.com/int/News/Business-News/assa-abloy-acquires-the-hhi-division-of-spectrum-brands-for-musd-4300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2026 (presentación con Nico Delvaux, CEO, y Erik Pieder,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https://www.assaabloy.com/group/en/investors/reports-presentations/interim-reports/q2-2026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company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https://uk.marketscreener.com/quote/stock/ASSA-ABLOY-AB-22363198/company-shareholders/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https://simplywall.st/stocks/de/capital-goods/fra-alz/assa-abloy-shares/ownership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https://simplywall.st/stocks/se/capital-goods/sto-assa-b/assa-abloy-shares/management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 stock trades at EUR 31.23 with SEK 388.4 billion market value / cotización del 14-oct-2026 (353,10 SEK, capitalización 392.200 M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https://www.ad-hoc-news.de/boerse/news/corporate-news/assa-abloy-b-stock-trades-at-eur-31-23-with-sek-388-4-billion-market-value/70280242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stock heads toward its October 27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https://www.ad-hoc-news.de/boerse/news/corporate-news/assa-abloy-stock-heads-toward-its-october-27-results/70255245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raises target for Assa Abloy stock to SEK 392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https://www.ad-hoc-news.de/boerse/news/corporate-news/goldman-sachs-raises-target-for-assa-abloy-stock-to-sek-392/70322656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valuation (PER y EV/EBITDA 2021-2028)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https://ca.marketscreener.com/quote/stock/ASSA-ABLOY-AB-22363198/valuation/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finances (BPA 2021-2028e y margen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https://uk.marketscreener.com/quote/stock/ASSA-ABLOY-AB-22363198/finances/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https://www.investing.com/equities/assa-abloy-consensus-estimates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Kursziel (24 analistas, BPA 2026e 15,77)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https://aktien.guide/kursziel/Assa-Abloy-SE0007100581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Höjd genomsnittlig riktkurs för Assa Abloy efter rapport (feb-2026: 396,62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https://www.affarsvarlden.se/aktierekar/hojd-genomsnittlig-riktkurs-for-assa-abloy-efter-rapport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 (2,98 %)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Allegion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https://valueinvesting.io/ALLE/metric/forward-pe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valuation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valuation (PER 2026e-2027e)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https://www.marketscreener.com/quote/stock/LEGRAND-491568/valuation/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dormakaba (PER 2026e-2027e)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https://hk.marketscreener.com/quote/stock/DORMAKABA-113582650/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Halma y Spirax del 14-oct-2026 de este repositorio (PER NTM de Atlas Copco, Indutrade, IMI y Halma,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informes/halma-2026-10-14/datos.json; informes/spirax-2026-10-14/datos.json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dividends (precio en fechas de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https://digrin.com/stocks/detail/ASSA-B.ST/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to acquire HHI (14x EBITDA ajustado esperado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Spectrum Brands, Form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https://www.sec.gov/Archives/edgar/data/109177/000010917721000048/exhibit991-2021_09x08xsecu.htm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B: foro de la acción (Nordnet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https://www.nordnet.se/aktier/kurser/assa-abloy-b-assa-b-xsto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(OSTO:ASSA B) GF Value y GF Score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https://www.gurufocus.com/term/earning-yield/OSTO:ASSA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raises Assa Abloy target / Goldman Sachs raises target to SEK 392 (comentarios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https://www.ad-hoc-news.de/boerse/news/corporate-news/barclays-raises-assa-abloy-target-as-assa-abloy-stock-costs-eur-31-14/70252910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Pareto y Deutsche Bank repiten mantener en Assa Abloy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https://www.affarsvarlden.se/aktierekar/analysuppdateringar-for-assa-abloy-pareto-och-deutsche-bank-upprepar-behall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72,6 %</w:t>
      </w:r>
      <w:r>
        <w:t xml:space="preserve"> · Secciones con menos del 60 % de campos cubiertos: </w:t>
      </w:r>
      <w:r>
        <w:rPr>
          <w:b/>
          <w:bCs/>
        </w:rPr>
        <w:t xml:space="preserve">directivos, gobierno, bolsa, esg, calidad</w:t>
      </w:r>
      <w:r>
        <w:t xml:space="preserve"> · Generado el 14 oct 2026.</w:t>
      </w:r>
    </w:p>
    <w:p>
      <w:pPr>
        <w:pStyle w:val="Nota"/>
        <w:spacing w:after="100"/>
      </w:pPr>
      <w:r>
        <w:t xml:space="preserve">Análisis hecho desde la nube con la red limitada a la búsqueda web: la web de ASSA ABLOY, Cision, Yahoo y los proveedores de datos no se pudieron abrir, así que las cifras salen de los extractos de búsqueda de los informes trimestrales, del informe anual 2025 y de proveedores (Stock Analysis, Stockopedia, Inderes, MarketScreener), con la URL como fuente; lo que no cuadró está en null y en los huecos, y la confianza es menor que en un análisis normal. Cuentas en SEK con NIIF-UE; ejercicio natural; se analiza la acción B (Nasdaq Stockholm), la única líquida; las A (diez votos) no cotizan. Cinco ejercicios (2021-2025): los anteriores no se pudieron cuadrar. La deuda financiera de 2021, 2022 y 2025 es la deuda total de TipRanks, con arrendamientos dentro; en 2023 y 2024 se separan los arrendamientos (Tracenable). El puente usa la deuda neta financiera publicada a 30-jun-2026 (68.246 M SEK) tal cual. Los precios de cierre de 2021-2025 salen del PER de cierre de MarketScreener por el BPA del año (estimación propia). El precio es la cotización de las 08:51 UTC del 14-oct-2026 (353,10 SEK), no un cierre. El BPA del objetivo a 12 meses y la historia del PER están en base publicada (2021-2024, casi sin partidas no recurrentes) y ajustada en 2025 (14,34 SEK, sin los 1.513 M de partidas que afectan a la comparabilidad).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ASSA ABLOY AB (publ) (ASSA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353,10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Hoja1!$B$2:$B$8</c:f>
              <c:numCache>
                <c:formatCode>#,##0</c:formatCode>
                <c:ptCount val="7"/>
                <c:pt idx="0">
                  <c:v>314.2</c:v>
                </c:pt>
                <c:pt idx="1">
                  <c:v>340</c:v>
                </c:pt>
                <c:pt idx="2">
                  <c:v>360.01</c:v>
                </c:pt>
                <c:pt idx="3">
                  <c:v>219.28</c:v>
                </c:pt>
                <c:pt idx="4">
                  <c:v>184.16</c:v>
                </c:pt>
                <c:pt idx="5">
                  <c:v>309.58</c:v>
                </c:pt>
                <c:pt idx="6">
                  <c:v>351.33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Hoja1!$C$2:$C$8</c:f>
              <c:numCache>
                <c:formatCode>#,##0</c:formatCode>
                <c:ptCount val="7"/>
                <c:pt idx="0">
                  <c:v>82.69999999999999</c:v>
                </c:pt>
                <c:pt idx="1">
                  <c:v>160</c:v>
                </c:pt>
                <c:pt idx="2">
                  <c:v>108.46000000000004</c:v>
                </c:pt>
                <c:pt idx="3">
                  <c:v>118.30999999999997</c:v>
                </c:pt>
                <c:pt idx="4">
                  <c:v>134.34</c:v>
                </c:pt>
                <c:pt idx="5">
                  <c:v>107.13</c:v>
                </c:pt>
                <c:pt idx="6">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10620</c:v>
                </c:pt>
                <c:pt idx="1">
                  <c:v>15800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ASSA ABLOY</c:v>
                </c:pt>
                <c:pt idx="1">
                  <c:v>Allegion</c:v>
                </c:pt>
                <c:pt idx="2">
                  <c:v>dormakaba</c:v>
                </c:pt>
                <c:pt idx="3">
                  <c:v>Fortune Brands Innovations</c:v>
                </c:pt>
                <c:pt idx="4">
                  <c:v>Johnson Controls</c:v>
                </c:pt>
                <c:pt idx="5">
                  <c:v>Honeywell</c:v>
                </c:pt>
              </c:strCache>
            </c:strRef>
          </c:cat>
          <c:val>
            <c:numRef>
              <c:f>Hoja1!$B$2:$B$7</c:f>
              <c:numCache>
                <c:formatCode>0.0"%"</c:formatCode>
                <c:ptCount val="6"/>
                <c:pt idx="0">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95007</c:v>
                </c:pt>
                <c:pt idx="1">
                  <c:v>120793</c:v>
                </c:pt>
                <c:pt idx="2">
                  <c:v>140716</c:v>
                </c:pt>
                <c:pt idx="3">
                  <c:v>150162</c:v>
                </c:pt>
                <c:pt idx="4">
                  <c:v>152409</c:v>
                </c:pt>
                <c:pt idx="5">
                  <c:v>153933</c:v>
                </c:pt>
                <c:pt idx="6">
                  <c:v>163169</c:v>
                </c:pt>
                <c:pt idx="7">
                  <c:v>172959</c:v>
                </c:pt>
                <c:pt idx="8">
                  <c:v>183337</c:v>
                </c:pt>
                <c:pt idx="9">
                  <c:v>194337</c:v>
                </c:pt>
                <c:pt idx="10">
                  <c:v>205997</c:v>
                </c:pt>
                <c:pt idx="11">
                  <c:v>216297</c:v>
                </c:pt>
                <c:pt idx="12">
                  <c:v>224949</c:v>
                </c:pt>
                <c:pt idx="13">
                  <c:v>231697</c:v>
                </c:pt>
                <c:pt idx="14">
                  <c:v>236331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18022</c:v>
                </c:pt>
                <c:pt idx="1">
                  <c:v>22620</c:v>
                </c:pt>
                <c:pt idx="2">
                  <c:v>26959</c:v>
                </c:pt>
                <c:pt idx="3">
                  <c:v>29850</c:v>
                </c:pt>
                <c:pt idx="4">
                  <c:v>30745</c:v>
                </c:pt>
                <c:pt idx="5">
                  <c:v>31864</c:v>
                </c:pt>
                <c:pt idx="6">
                  <c:v>33939</c:v>
                </c:pt>
                <c:pt idx="7">
                  <c:v>36148</c:v>
                </c:pt>
                <c:pt idx="8">
                  <c:v>38317</c:v>
                </c:pt>
                <c:pt idx="9">
                  <c:v>40616</c:v>
                </c:pt>
                <c:pt idx="10">
                  <c:v>43053</c:v>
                </c:pt>
                <c:pt idx="11">
                  <c:v>45206</c:v>
                </c:pt>
                <c:pt idx="12">
                  <c:v>47014</c:v>
                </c:pt>
                <c:pt idx="13">
                  <c:v>48425</c:v>
                </c:pt>
                <c:pt idx="14">
                  <c:v>49393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39.8</c:v>
                </c:pt>
                <c:pt idx="1">
                  <c:v>39.7</c:v>
                </c:pt>
                <c:pt idx="2">
                  <c:v>40.2</c:v>
                </c:pt>
                <c:pt idx="3">
                  <c:v>41.8</c:v>
                </c:pt>
                <c:pt idx="4">
                  <c:v>42.6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18.7</c:v>
                </c:pt>
                <c:pt idx="2">
                  <c:v>19.2</c:v>
                </c:pt>
                <c:pt idx="3">
                  <c:v>19.9</c:v>
                </c:pt>
                <c:pt idx="4">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14.9</c:v>
                </c:pt>
                <c:pt idx="1">
                  <c:v>15.3</c:v>
                </c:pt>
                <c:pt idx="2">
                  <c:v>15.5</c:v>
                </c:pt>
                <c:pt idx="3">
                  <c:v>16.2</c:v>
                </c:pt>
                <c:pt idx="4">
                  <c:v>16.2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11</c:v>
                </c:pt>
                <c:pt idx="2">
                  <c:v>9.7</c:v>
                </c:pt>
                <c:pt idx="3">
                  <c:v>10.4</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-6</c:v>
                </c:pt>
                <c:pt idx="3">
                  <c:v>3.3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1T25</c:v>
                </c:pt>
                <c:pt idx="1">
                  <c:v>2T25</c:v>
                </c:pt>
                <c:pt idx="2">
                  <c:v>1T26</c:v>
                </c:pt>
                <c:pt idx="3">
                  <c:v>2T26</c:v>
                </c:pt>
              </c:strCache>
            </c:strRef>
          </c:cat>
          <c:val>
            <c:numRef>
              <c:f>Hoja1!$C$2:$C$5</c:f>
              <c:numCache>
                <c:formatCode>0.0"%"</c:formatCode>
                <c:ptCount val="4"/>
                <c:pt idx="2">
                  <c:v>2</c:v>
                </c:pt>
                <c:pt idx="3">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67</c:v>
                </c:pt>
                <c:pt idx="2">
                  <c:v>54</c:v>
                </c:pt>
                <c:pt idx="3">
                  <c:v>57</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81</c:v>
                </c:pt>
                <c:pt idx="3">
                  <c:v>88</c:v>
                </c:pt>
                <c:pt idx="4">
                  <c:v>80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49</c:v>
                </c:pt>
                <c:pt idx="3">
                  <c:v>53</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10743</c:v>
                </c:pt>
                <c:pt idx="1">
                  <c:v>12361</c:v>
                </c:pt>
                <c:pt idx="2">
                  <c:v>18655</c:v>
                </c:pt>
                <c:pt idx="3">
                  <c:v>17389</c:v>
                </c:pt>
                <c:pt idx="4">
                  <c:v>16899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10900</c:v>
                </c:pt>
                <c:pt idx="1">
                  <c:v>13291</c:v>
                </c:pt>
                <c:pt idx="2">
                  <c:v>13633</c:v>
                </c:pt>
                <c:pt idx="3">
                  <c:v>15621</c:v>
                </c:pt>
                <c:pt idx="4">
                  <c:v>14701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12.1</c:v>
                </c:pt>
                <c:pt idx="1">
                  <c:v>13.4</c:v>
                </c:pt>
                <c:pt idx="2">
                  <c:v>11.4</c:v>
                </c:pt>
                <c:pt idx="3">
                  <c:v>11</c:v>
                </c:pt>
                <c:pt idx="4">
                  <c:v>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7.5</c:v>
                </c:pt>
                <c:pt idx="1">
                  <c:v>7.5</c:v>
                </c:pt>
                <c:pt idx="2">
                  <c:v>7.5</c:v>
                </c:pt>
                <c:pt idx="3">
                  <c:v>7.5</c:v>
                </c:pt>
                <c:pt idx="4">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15.7</c:v>
                </c:pt>
                <c:pt idx="1">
                  <c:v>17.1</c:v>
                </c:pt>
                <c:pt idx="2">
                  <c:v>15.4</c:v>
                </c:pt>
                <c:pt idx="3">
                  <c:v>15.7</c:v>
                </c:pt>
                <c:pt idx="4">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1.36</c:v>
                </c:pt>
                <c:pt idx="1">
                  <c:v>1.34</c:v>
                </c:pt>
                <c:pt idx="2">
                  <c:v>2.36</c:v>
                </c:pt>
                <c:pt idx="3">
                  <c:v>2.31</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2121</c:v>
                </c:pt>
                <c:pt idx="1">
                  <c:v>8583</c:v>
                </c:pt>
                <c:pt idx="2">
                  <c:v>53566</c:v>
                </c:pt>
                <c:pt idx="3">
                  <c:v>12136</c:v>
                </c:pt>
                <c:pt idx="4">
                  <c:v>11409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4333</c:v>
                </c:pt>
                <c:pt idx="1">
                  <c:v>4666</c:v>
                </c:pt>
                <c:pt idx="2">
                  <c:v>5332</c:v>
                </c:pt>
                <c:pt idx="3">
                  <c:v>5999</c:v>
                </c:pt>
                <c:pt idx="4">
                  <c:v>6563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Investment AB Latour</c:v>
                </c:pt>
                <c:pt idx="1">
                  <c:v>Melker Schörling AB</c:v>
                </c:pt>
                <c:pt idx="2">
                  <c:v>Swedbank Robur Fonder</c:v>
                </c:pt>
              </c:strCache>
            </c:strRef>
          </c:cat>
          <c:val>
            <c:numRef>
              <c:f>Hoja1!$B$2:$B$4</c:f>
              <c:numCache>
                <c:formatCode>0.0"%"</c:formatCode>
                <c:ptCount val="3"/>
                <c:pt idx="0">
                  <c:v>9.49</c:v>
                </c:pt>
                <c:pt idx="1">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18.4</c:v>
                </c:pt>
                <c:pt idx="1">
                  <c:v>12.3</c:v>
                </c:pt>
                <c:pt idx="2">
                  <c:v>14.3</c:v>
                </c:pt>
                <c:pt idx="3">
                  <c:v>14.5</c:v>
                </c:pt>
                <c:pt idx="4">
                  <c:v>15.3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14.4</c:v>
                </c:pt>
                <c:pt idx="1">
                  <c:v>14.4</c:v>
                </c:pt>
                <c:pt idx="2">
                  <c:v>14.4</c:v>
                </c:pt>
                <c:pt idx="3">
                  <c:v>14.4</c:v>
                </c:pt>
                <c:pt idx="4">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HHI (Spectrum Brands)</c:v>
                </c:pt>
              </c:strCache>
            </c:strRef>
          </c:cat>
          <c:val>
            <c:numRef>
              <c:f>Hoja1!$B$2</c:f>
              <c:numCache>
                <c:formatCode>0.0"x"</c:formatCode>
                <c:ptCount val="1"/>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10781</c:v>
                </c:pt>
                <c:pt idx="1">
                  <c:v>10009</c:v>
                </c:pt>
                <c:pt idx="2">
                  <c:v>10739</c:v>
                </c:pt>
                <c:pt idx="3">
                  <c:v>11337</c:v>
                </c:pt>
                <c:pt idx="4">
                  <c:v>11969</c:v>
                </c:pt>
                <c:pt idx="5">
                  <c:v>12584</c:v>
                </c:pt>
                <c:pt idx="6">
                  <c:v>16101</c:v>
                </c:pt>
                <c:pt idx="7">
                  <c:v>19982</c:v>
                </c:pt>
                <c:pt idx="8">
                  <c:v>23691</c:v>
                </c:pt>
                <c:pt idx="9">
                  <c:v>27701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100014</c:v>
                </c:pt>
                <c:pt idx="1">
                  <c:v>265628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353,10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184.16</c:v>
                </c:pt>
                <c:pt idx="1">
                  <c:v>267.68</c:v>
                </c:pt>
                <c:pt idx="2">
                  <c:v>318.5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353,10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Hoja1!$B$2:$B$8</c:f>
              <c:numCache>
                <c:formatCode>#,##0</c:formatCode>
                <c:ptCount val="7"/>
                <c:pt idx="0">
                  <c:v>314.2</c:v>
                </c:pt>
                <c:pt idx="1">
                  <c:v>340</c:v>
                </c:pt>
                <c:pt idx="2">
                  <c:v>360.01</c:v>
                </c:pt>
                <c:pt idx="3">
                  <c:v>219.28</c:v>
                </c:pt>
                <c:pt idx="4">
                  <c:v>184.16</c:v>
                </c:pt>
                <c:pt idx="5">
                  <c:v>309.58</c:v>
                </c:pt>
                <c:pt idx="6">
                  <c:v>351.33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(314,20 – 396,90)</c:v>
                </c:pt>
                <c:pt idx="1">
                  <c:v>Precio objetivo de los analistas (340,00 – 500,00)</c:v>
                </c:pt>
                <c:pt idx="2">
                  <c:v>Comparables: PER NTM (360,01 – 468,47)</c:v>
                </c:pt>
                <c:pt idx="3">
                  <c:v>DCF (WACC y g ± 0,5) (219,28 – 337,59)</c:v>
                </c:pt>
                <c:pt idx="4">
                  <c:v>Escenarios (bajista – alcista) (184,16 – 318,50)</c:v>
                </c:pt>
                <c:pt idx="5">
                  <c:v>DCF con la prima implícita del mercado (4,2 %)</c:v>
                </c:pt>
                <c:pt idx="6">
                  <c:v>Precio actual (353,10)</c:v>
                </c:pt>
              </c:strCache>
            </c:strRef>
          </c:cat>
          <c:val>
            <c:numRef>
              <c:f>Hoja1!$C$2:$C$8</c:f>
              <c:numCache>
                <c:formatCode>#,##0</c:formatCode>
                <c:ptCount val="7"/>
                <c:pt idx="0">
                  <c:v>82.69999999999999</c:v>
                </c:pt>
                <c:pt idx="1">
                  <c:v>160</c:v>
                </c:pt>
                <c:pt idx="2">
                  <c:v>108.46000000000004</c:v>
                </c:pt>
                <c:pt idx="3">
                  <c:v>118.30999999999997</c:v>
                </c:pt>
                <c:pt idx="4">
                  <c:v>134.34</c:v>
                </c:pt>
                <c:pt idx="5">
                  <c:v>107.13</c:v>
                </c:pt>
                <c:pt idx="6">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