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Elm Company</w:t>
      </w:r>
    </w:p>
    <w:p>
      <w:pPr>
        <w:spacing w:after="60"/>
        <w:rPr>
          <w:color w:val="52514E"/>
          <w:sz w:val="22"/>
          <w:szCs w:val="22"/>
        </w:rPr>
      </w:pPr>
      <w:r>
        <w:rPr>
          <w:color w:val="52514E"/>
          <w:sz w:val="22"/>
          <w:szCs w:val="22"/>
        </w:rPr>
        <w:t xml:space="preserve">7203.SR · Saudi Exchange (Tadawul) · ISIN SA15GG53GHH3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SAR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548,00 SAR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677,09 SAR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+25,3 % (base +20,5 %)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387,14 SAR · mercado 438,20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42.728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13,9x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Elm Company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7203.SR / SA15GG53GHH3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Saudi Exchange (Tadawul)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TASI (MSCI Saudi Arabia como aproximación)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Servicios de TI</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Riad · 1988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https://www.elm.sa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504,50 – 956,00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42.728 M SAR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41.815 M SAR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54,2 M SAR/día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677,09 SAR</w:t>
      </w:r>
      <w:r>
        <w:t xml:space="preserve"> frente a 548,00 · Rentabilidad a 12 meses </w:t>
      </w:r>
      <w:r>
        <w:rPr>
          <w:b/>
          <w:bCs/>
        </w:rPr>
        <w:t xml:space="preserve">+25,3 % (base +20,5 %)</w:t>
      </w:r>
      <w:r>
        <w:t xml:space="preserve"> · Valor intrínseco 387,14 SAR · con la prima implícita del mercado: 438,20 (-20,0 %) · Alcista / bajista -13,9 % / -50,6 %</w:t>
      </w:r>
    </w:p>
    <w:p>
      <w:pPr>
        <w:spacing w:after="100"/>
      </w:pPr>
      <w:r>
        <w:rPr>
          <w:b/>
        </w:rPr>
        <w:t xml:space="preserve">La recomendación y por qué.</w:t>
      </w:r>
      <w:r>
        <w:t xml:space="preserve"> Mantener, con convicción media. La rentabilidad a 12 meses con la regla común es alta, +25,3 % ponderada y +20,5 % en el base (objetivo de 677,09 SAR frente a 548,00), porque el PER ha caído a 17,8 veces nuestro BPA de 2027e desde 35-42 veces en 2023-2024. Pero el valor intrínseco es de 387,14 SAR (-29,4 %): el DCF no justifica el precio con un crecimiento orgánico de un dígito alto. Sin valor real por encima del precio no hay compra; y la v2 de control (+9,6 % en el base) tampoco pasaría. La convicción es media porque las dos medidas se separan: a 12 meses el múltiplo deprimido da recorrido, pero el valor intrínseco no; la subiría un crecimiento orgánico que vuelva al 12-15 % con la caja cobrada, y la bajaría un contrato público renovado con menos reparto. Solo compraríamos por debajo de 387,14 SAR.</w:t>
      </w:r>
    </w:p>
    <w:p>
      <w:pPr>
        <w:spacing w:after="100"/>
      </w:pPr>
      <w:r>
        <w:rPr>
          <w:b/>
        </w:rPr>
        <w:t xml:space="preserve">El negocio.</w:t>
      </w:r>
      <w:r>
        <w:t xml:space="preserve"> Elm opera las plataformas digitales del Estado saudí (Absher, Muqeem, Tamm, Nusuk) y cobra tasas por trámite que reparte con los ministerios; el 48 % de las ventas va directo a organismos y entidades públicas y el resto son tasas de servicios públicos [1, 16]. ROIC contable del 116,8 % (≈ 40 % sumando lo pagado de más por Thiqah) frente a un WACC del 11,83 %. Sostenibilidad del crecimiento: «Sí», con poco capital; el riesgo es la tasa que deje cobrar el Estado.</w:t>
      </w:r>
    </w:p>
    <w:p>
      <w:pPr>
        <w:spacing w:after="100"/>
      </w:pPr>
      <w:r>
        <w:rPr>
          <w:b/>
        </w:rPr>
        <w:t xml:space="preserve">Sector y ciclo.</w:t>
      </w:r>
      <w:r>
        <w:t xml:space="preserve"> Gobierno digital en expansión madura: los servicios básicos ya están digitalizados y el gasto público se prioriza con déficit, lo que frena los proyectos [13, 43]. La IA es mixta: amenaza el BPO (27 % de las ventas) y abre nuevos servicios (Nuha, diez servicios en producción) [17].</w:t>
      </w:r>
    </w:p>
    <w:p>
      <w:pPr>
        <w:spacing w:after="100"/>
      </w:pPr>
      <w:r>
        <w:rPr>
          <w:b/>
        </w:rPr>
        <w:t xml:space="preserve">Finanzas.</w:t>
      </w:r>
      <w:r>
        <w:t xml:space="preserve"> Ventas de 3.828 a 9.465 M SAR en 2021-2025 (+25 % anual; ≈ 13 % orgánico en 2025) y beneficio de 567 a 2.090 M; caja neta de ≈ 2.370 M sin arrendamientos [1, 5]. Alerta: flujo operativo del 35 % del beneficio en el 1S26 y cobros a 166 días [10].</w:t>
      </w:r>
    </w:p>
    <w:p>
      <w:pPr>
        <w:spacing w:after="100"/>
      </w:pPr>
      <w:r>
        <w:rPr>
          <w:b/>
        </w:rPr>
        <w:t xml:space="preserve">Equipo y gobierno.</w:t>
      </w:r>
      <w:r>
        <w:t xml:space="preserve"> El PIF controla el 67 % y le vendió Thiqah por 3.385,9 M SAR con pérdidas; el presidente asesora al ministro del Interior, el gran cliente [11, 20, 22]. Equipo de la casa, con guía cumplida a medias.</w:t>
      </w:r>
    </w:p>
    <w:p>
      <w:pPr>
        <w:spacing w:after="100"/>
      </w:pPr>
      <w:r>
        <w:rPr>
          <w:b/>
        </w:rPr>
        <w:t xml:space="preserve">Valoración.</w:t>
      </w:r>
      <w:r>
        <w:t xml:space="preserve"> DCF de 389,53 SAR con WACC del 11,83 %; el precio descuenta un crecimiento del 15,4 % anual. Cotiza a 16,6 veces el beneficio de los próximos doce meses, sobre la mediana de los comparables (12). Nuestro BPA de 2028e (33,21) queda un 14 % por debajo del consenso (38,83) por crecimiento; su objetivo medio (748,77 SAR) queda fuera de nuestro rango intrínseco (270,98-471,69 SAR) y dentro del de 12 meses (416,52-990,00 SAR) [31].</w:t>
      </w:r>
    </w:p>
    <w:p>
      <w:pPr>
        <w:spacing w:after="100"/>
      </w:pPr>
      <w:r>
        <w:rPr>
          <w:b/>
        </w:rPr>
        <w:t xml:space="preserve">Riesgos y catalizadores.</w:t>
      </w:r>
      <w:r>
        <w:t xml:space="preserve"> Dominante: que el Estado renegocie el reparto o internalice plataformas (bajista de 270,98 SAR); después la IA en el BPO y el cobro público. Catalizador: resultados del 3T26 hacia el 2-nov. La acción ha caído un 41 % en un año por causas propias (regla 13: cambia la tesis, ya recogido).</w:t>
      </w:r>
    </w:p>
    <w:p>
      <w:pPr>
        <w:spacing w:after="100"/>
      </w:pPr>
      <w:r>
        <w:rPr>
          <w:b/>
        </w:rPr>
        <w:t xml:space="preserve">Qué cambiaría la decisión.</w:t>
      </w:r>
      <w:r>
        <w:t xml:space="preserve"> Compraríamos por debajo de 387,14 SAR, o si el crecimiento orgánico volviera al 12-15 % con la caja cobrada (flujo operativo del 85-95 % del beneficio), lo que subiría el DCF; venderíamos por encima de 762,88 SAR o si un gran contrato se renovara con menos reparto.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677,09 SAR</w:t>
      </w:r>
      <w:r>
        <w:t xml:space="preserve"> (rentabilidad +25,3 % (base +20,5 %)) · Valor intrínseco: 387,14 SAR (-29,4 % sobre 548,00) · con la prima implícita del mercado: 438,20 (-20,0 %)</w:t>
      </w:r>
    </w:p>
    <w:p>
      <w:pPr>
        <w:spacing w:after="100"/>
      </w:pPr>
      <w:r>
        <w:t xml:space="preserve">Elm es el operador de las plataformas digitales del Estado saudí (Absher, Muqeem, Tamm, Nusuk): cobra tasas por trámite que reparte con los ministerios, con márgenes EBITDA del 24-26 %, capex del 3,5 % de las ventas y caja neta [1, 16]. El PIF tiene el 67 %.</w:t>
      </w:r>
    </w:p>
    <w:p>
      <w:pPr>
        <w:spacing w:after="100"/>
      </w:pPr>
      <w:r>
        <w:t xml:space="preserve">El precio (548,00 SAR) ha caído un 41 % en un año y el PER a 17,8 veces el BPA de 2027e, la mitad que en 2023-2024: a 12 meses, la regla común da +25,3 %. Pero el DCF (389,53 SAR) dice que el precio aún pide crecer al 15 % anual, y el crecimiento orgánico ya es de un dígito alto: no hay margen de seguridad en valor.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677,09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 × 26,53 = 416,52 · 19,6x × 33,21 = 650,92 · 26,4x × 37,50 = 990,00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 / 20,5 %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748,77 (nuestro base -13,1 %)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387,14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 / -50,6 %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frente a 11,8 % y 10,5 %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438,20 SAR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 frente a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387,14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387,14 y 762,88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762,88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387,14 SAR: el valor intrínseco superaría al precio y pasaría a Comprar.</w:t>
      </w:r>
    </w:p>
    <w:p>
      <w:pPr>
        <w:pStyle w:val="ListParagraph"/>
        <w:numPr>
          <w:ilvl w:val="0"/>
          <w:numId w:val="2"/>
        </w:numPr>
        <w:spacing w:after="60"/>
      </w:pPr>
      <w:r>
        <w:t xml:space="preserve">Precio por encima de 762,88 SAR: pasaría a Vender.</w:t>
      </w:r>
    </w:p>
    <w:p>
      <w:pPr>
        <w:pStyle w:val="ListParagraph"/>
        <w:numPr>
          <w:ilvl w:val="0"/>
          <w:numId w:val="2"/>
        </w:numPr>
        <w:spacing w:after="60"/>
      </w:pPr>
      <w:r>
        <w:t xml:space="preserve">Crecimiento orgánico del 12-15 % en 2027 con flujo operativo del 85-95 % del beneficio: subiríamos el base.</w:t>
      </w:r>
    </w:p>
    <w:p>
      <w:pPr>
        <w:pStyle w:val="ListParagraph"/>
        <w:numPr>
          <w:ilvl w:val="0"/>
          <w:numId w:val="2"/>
        </w:numPr>
        <w:spacing w:after="60"/>
      </w:pPr>
      <w:r>
        <w:t xml:space="preserve">Renovación de un gran contrato (Absher, Muqeem, Tamm) con menos reparto: bajaríamos el base.</w:t>
      </w:r>
    </w:p>
    <w:p>
      <w:pPr>
        <w:pStyle w:val="ListParagraph"/>
        <w:numPr>
          <w:ilvl w:val="0"/>
          <w:numId w:val="2"/>
        </w:numPr>
        <w:spacing w:after="60"/>
      </w:pPr>
      <w:r>
        <w:t xml:space="preserve">Nueva compra a una empresa del PIF a un múltiplo alto: bajaríamos la nota de gobierno.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vuelve a dos dígitos: el consenso espera ventas de 14.203 M SAR en 2028e (+14 % anual) y un BPA de 38,83 SAR, y el precio descuenta un crecimiento del 15,4 % anual con nuestro WACC [31].</w:t>
      </w:r>
    </w:p>
    <w:p>
      <w:pPr>
        <w:keepNext/>
        <w:spacing w:after="100"/>
      </w:pPr>
      <w:r>
        <w:rPr>
          <w:b/>
          <w:bCs/>
        </w:rPr>
        <w:t xml:space="preserve">Lo que creemos nosotros.</w:t>
      </w:r>
    </w:p>
    <w:p>
      <w:pPr>
        <w:spacing w:after="100"/>
      </w:pPr>
      <w:r>
        <w:t xml:space="preserve">Las plataformas siguen creciendo con la población y los nuevos servicios, pero el orgánico baja a un dígito alto, Thiqah resta margen y la IA presiona el BPO; el Estado, que fija tasas y reparto, captura parte del valor.</w:t>
      </w:r>
    </w:p>
    <w:p>
      <w:pPr>
        <w:keepNext/>
        <w:spacing w:after="100"/>
      </w:pPr>
      <w:r>
        <w:rPr>
          <w:b/>
          <w:bCs/>
        </w:rPr>
        <w:t xml:space="preserve">Por qué podemos tener razón.</w:t>
      </w:r>
    </w:p>
    <w:p>
      <w:pPr>
        <w:spacing w:after="100"/>
      </w:pPr>
      <w:r>
        <w:t xml:space="preserve">El orgánico del 2T26 (≈ 7 %), las adjudicaciones más lentas por la priorización del gasto, el flujo operativo del 35 % del beneficio en el 1S26 y la compra de Thiqah al PIF [10, 11, 43].</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AR) · precio actual 54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Monopolio de facto</w:t>
      </w:r>
      <w:r>
        <w:t xml:space="preserve"> de las plataformas de trámites del Estado (Absher, Muqeem, Tamm, Nusuk) [16].</w:t>
      </w:r>
    </w:p>
    <w:p>
      <w:pPr>
        <w:pStyle w:val="ListParagraph"/>
        <w:numPr>
          <w:ilvl w:val="0"/>
          <w:numId w:val="2"/>
        </w:numPr>
        <w:spacing w:after="60"/>
      </w:pPr>
      <w:r>
        <w:rPr>
          <w:b/>
        </w:rPr>
        <w:t xml:space="preserve">Margen EBITDA del 24 %</w:t>
      </w:r>
      <w:r>
        <w:t xml:space="preserve"> y capex del 3,5 % de las ventas: ROIC de ≈ 40 % aun sumando el sobreprecio de Thiqah [1].</w:t>
      </w:r>
    </w:p>
    <w:p>
      <w:pPr>
        <w:pStyle w:val="ListParagraph"/>
        <w:numPr>
          <w:ilvl w:val="0"/>
          <w:numId w:val="2"/>
        </w:numPr>
        <w:spacing w:after="60"/>
      </w:pPr>
      <w:r>
        <w:rPr>
          <w:b/>
        </w:rPr>
        <w:t xml:space="preserve">Caja neta</w:t>
      </w:r>
      <w:r>
        <w:t xml:space="preserve"> de ≈ 2.370 M SAR sin arrendamientos y dividendo creciente [5, 12].</w:t>
      </w:r>
    </w:p>
    <w:p>
      <w:pPr>
        <w:pStyle w:val="ListParagraph"/>
        <w:numPr>
          <w:ilvl w:val="0"/>
          <w:numId w:val="2"/>
        </w:numPr>
        <w:spacing w:after="60"/>
      </w:pPr>
      <w:r>
        <w:rPr>
          <w:b/>
        </w:rPr>
        <w:t xml:space="preserve">Contratos nuevos de cinco años</w:t>
      </w:r>
      <w:r>
        <w:t xml:space="preserve"> con el Ministerio de Comercio y SASO [39, 40].</w:t>
      </w:r>
    </w:p>
    <w:p>
      <w:pPr>
        <w:pStyle w:val="ListParagraph"/>
        <w:numPr>
          <w:ilvl w:val="0"/>
          <w:numId w:val="2"/>
        </w:numPr>
        <w:spacing w:after="60"/>
      </w:pPr>
      <w:r>
        <w:rPr>
          <w:b/>
        </w:rPr>
        <w:t xml:space="preserve">PER de 17,8 veces</w:t>
      </w:r>
      <w:r>
        <w:t xml:space="preserve"> nuestro BPA de 2027e, la mitad que en 2023-2024 [30].</w:t>
      </w:r>
    </w:p>
    <w:p>
      <w:pPr>
        <w:pStyle w:val="Heading2"/>
      </w:pPr>
      <w:r>
        <w:t xml:space="preserve">En contra</w:t>
      </w:r>
    </w:p>
    <w:p>
      <w:pPr>
        <w:pStyle w:val="ListParagraph"/>
        <w:numPr>
          <w:ilvl w:val="0"/>
          <w:numId w:val="2"/>
        </w:numPr>
        <w:spacing w:after="60"/>
      </w:pPr>
      <w:r>
        <w:rPr>
          <w:b/>
        </w:rPr>
        <w:t xml:space="preserve">Un solo cliente</w:t>
      </w:r>
      <w:r>
        <w:t xml:space="preserve">: el Estado fija tasas, reparto y renovaciones [1].</w:t>
      </w:r>
    </w:p>
    <w:p>
      <w:pPr>
        <w:pStyle w:val="ListParagraph"/>
        <w:numPr>
          <w:ilvl w:val="0"/>
          <w:numId w:val="2"/>
        </w:numPr>
        <w:spacing w:after="60"/>
      </w:pPr>
      <w:r>
        <w:rPr>
          <w:b/>
        </w:rPr>
        <w:t xml:space="preserve">Crecimiento orgánico a la baja</w:t>
      </w:r>
      <w:r>
        <w:t xml:space="preserve">: ≈ 13 % en 2025 y ≈ 7 % en el 2T26 [1, 9].</w:t>
      </w:r>
    </w:p>
    <w:p>
      <w:pPr>
        <w:pStyle w:val="ListParagraph"/>
        <w:numPr>
          <w:ilvl w:val="0"/>
          <w:numId w:val="2"/>
        </w:numPr>
        <w:spacing w:after="60"/>
      </w:pPr>
      <w:r>
        <w:rPr>
          <w:b/>
        </w:rPr>
        <w:t xml:space="preserve">Thiqah</w:t>
      </w:r>
      <w:r>
        <w:t xml:space="preserve">: 3.385,9 M SAR pagados al PIF por una empresa con pérdidas [11].</w:t>
      </w:r>
    </w:p>
    <w:p>
      <w:pPr>
        <w:pStyle w:val="ListParagraph"/>
        <w:numPr>
          <w:ilvl w:val="0"/>
          <w:numId w:val="2"/>
        </w:numPr>
        <w:spacing w:after="60"/>
      </w:pPr>
      <w:r>
        <w:rPr>
          <w:b/>
        </w:rPr>
        <w:t xml:space="preserve">Cobro público más lento</w:t>
      </w:r>
      <w:r>
        <w:t xml:space="preserve">: flujo operativo del 35 % del beneficio en el 1S26 [10].</w:t>
      </w:r>
    </w:p>
    <w:p>
      <w:pPr>
        <w:pStyle w:val="ListParagraph"/>
        <w:numPr>
          <w:ilvl w:val="0"/>
          <w:numId w:val="2"/>
        </w:numPr>
        <w:spacing w:after="60"/>
      </w:pPr>
      <w:r>
        <w:rPr>
          <w:b/>
        </w:rPr>
        <w:t xml:space="preserve">IA</w:t>
      </w:r>
      <w:r>
        <w:t xml:space="preserve">: amenaza a la externalización (27 % de las ventas) [17].</w:t>
      </w:r>
    </w:p>
    <w:p>
      <w:pPr>
        <w:pStyle w:val="Heading2"/>
      </w:pPr>
      <w:r>
        <w:t xml:space="preserve">Qué tiene que pasar para que la tesis funcione</w:t>
      </w:r>
    </w:p>
    <w:p>
      <w:pPr>
        <w:spacing w:after="100"/>
      </w:pPr>
      <w:r>
        <w:t xml:space="preserve">La tesis depende del crecimiento orgánico y de la caja. La señal está en los seis primeros productos (+14 % en el 1S26), en las adjudicaciones de proyectos y en el flujo operativo frente a la guía (85-95 % del beneficio): si el orgánico baja del 7 % con la caja atascada, el bajista gana peso; si vuelve al 12-15 % con la caja cobrada, el DCF se queda corto.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los seis primeros productos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 M SAR en el 1S26 (+14 %)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núcleo de tasas.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85 % en el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del Estado.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180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y caja.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y mezcla con Thiqah.</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del BPO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2.558 M SAR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síntoma de la 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16,7x / 13,9x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 / 16,6x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Elm nace en 1988 en Riad como empresa de seguridad de la información ligada al Ministerio del Interior, y desde 2005 desarrolla y opera los servicios electrónicos del ministerio, la base de Absher, la plataforma de trámites de ciudadanos y residentes [1, 16]. Crece con filiales para intercambio electrónico de datos (Tabadul, 2009) y centros de servicio (Emdad Al Khebrat, 2014), origen del segmento de externalización [1]. El PIF, su único accionista, la sacó a bolsa el 16-feb-2022 vendiendo el 30 % a 128 SAR por acción; la acción llegó a 1.260 SAR en 2024 [20, 30]. En 2025 compró Thiqah al propio PIF por 3.385,9 M SAR, la mayor operación de su historia, y en 2026 tomó el control de Sahel Al Madar y firmó contratos de cinco años con el Ministerio de Comercio y SASO [18, 39,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en Riad como Al Elm Information Security Company, ligada al Ministerio del Interior (seguridad de la información y servicios electrónicos)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servicios electrónicos del Ministerio del Interior: base de lo que será Absher, la plataforma de trámites de ciudadanos y residentes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Saudi Information Exchange Company (Tabadul), filial para el intercambio electrónico de información, creada por real decreto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Emdad Al Khebrat: centros de llamadas y de servicio, base del segmento de externalización (BPO)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sociedad anónima; el capital sube a 800 M SAR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16-feb-2022: el PIF vende el 30 % a 128 SAR por acción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Thiqah Business Services al PIF por 3.385,9 M SAR, financiada con un préstamo de 1.900 M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Toma el control de Sahel Al Madar (logística digital) y firma contratos de cinco años por reparto de ingresos con el Ministerio de Comercio y SASO [11].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Elm desarrolla y explota las plataformas digitales del Estado saudí: Absher (trámites del Ministerio del Interior), Muqeem (residentes extranjeros), Tamm (vehículos y tráfico), Yakeen (verificación de identidad), Nusuk (peregrinación) y Fasah (comercio exterior), además de servicios para empresas privadas [11, 16]. En 2025 facturó 9.465 M SAR en tres segmentos: productos digitales 6.725 M (71 %), externalización de procesos (BPO: centros de servicio y personal) 2.558 M (27 %) y servicios profesionales 182 M (2 %) [1]. Los seis primeros productos digitales sumaron 4.457 M (+13 %) [11]. Desde abril de 2025 consolida Thiqah, la empresa de servicios digitales del PIF (1.548 M de ventas en 2025, con pérdidas) [11, 18]. Vende casi todo en Arabia Saudí [1].</w:t>
      </w:r>
    </w:p>
    <w:p>
      <w:pPr>
        <w:pStyle w:val="Heading2"/>
      </w:pPr>
      <w:r>
        <w:t xml:space="preserve">Cómo gana dinero</w:t>
      </w:r>
    </w:p>
    <w:p>
      <w:pPr>
        <w:spacing w:after="100"/>
      </w:pPr>
      <w:r>
        <w:t xml:space="preserve">El corazón del negocio son tasas por transacción: Elm cobra por cada trámite de sus plataformas (renovación de un permiso de residencia, una consulta de identidad, una transferencia de vehículo) y reparte una parte con el ministerio dueño del servicio; a fin de 2025 debía 1.326 M SAR a esos socios públicos por el reparto de ingresos [1]. Es un negocio de activos ligeros: el margen bruto de productos digitales fue del 47 % en 2025, frente al 19 % de la externalización y el 20 % de los servicios profesionales [1]. El margen EBITDA del grupo pasó del 19 % en 2021 al 25-26 % en 2023-2024 y bajó al 24 % en 2025 con Thiqah [1, 2]. Los proyectos llave en mano (4.800 M adjudicados en el 2T26) se reconocen en 3-5 años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digital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Margen bruto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procesos (BPO)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Margen bruto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Margen bruto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digital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Externalización de procesos (BPO)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profesionales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cliente es el Estado. En 2025 los organismos públicos pagaron 4.034,7 M SAR (el 42,6 % de las ventas) y las entidades vinculadas al Estado otros 472,7 M (5 %) [1]. El resto, «privado», son sobre todo empresas y particulares que pagan tasas de servicios públicos que solo Elm opera (Muqeem cobra por residente, Tamm por vehículo) [11, 16]. La relación con el Ministerio del Interior, del que nació, es la más importante; los contratos se renuevan por periodos de varios años con reparto de ingresos, como los nuevos de cinco años con el Ministerio de Comercio (≈ 19 % de las ventas de 2025 en total) y SASO (≈ 15 %) [39, 40]. Poder de negociación: alto del lado del Estado, que fija tasas y reparto.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los seis primeros productos digitales (M SAR)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4.457 (2025); 2.359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+14 %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Absher, Muqeem, Tamm, Yakeen, Nusuk y Fasah; Fasah pasó de principal a agente en algunos contratos [10,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organismos públicos /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un 5,0 % de entidades vinculadas al Estado; el resto, «privados», paga sobre todo tasas de servicios públicos digitales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cobro (DSO)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más lento del sector público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 beneficio neto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85-95 %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Adjudicaciones de proyectos llave en mano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 M SAR en el 2T26 (9 proyectos)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reconocen en 3-5 años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Thiqah (M SAR)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 (2024 reexpresado)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177 M en 2025; beneficio de 1 M en el 2T26 [10, 11].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servicios de TI y gobierno digital de Arabia Saudí: 12.090 M USD (≈ 45.300 M SAR) en 2025 y un 6,91 % anual hasta 2034 según IMARC [14]. Es una medida aproximada: incluye proyectos, externalización y servicios gestionados, pero no recoge del todo las tasas de plataforma de Elm. El mercado de comunicaciones y tecnología completo es de 180.000 M SAR según la CST y ≈ 190.000 M USD según Elm [13, 15]. Con IMARC, Elm tiene ≈ 21 % del mercado.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45.300 M SAR (12.090 M USD) en servicios de TI en 2025 según IMARC [14]; el mercado de comunicaciones y tecnología completo es de 180.000 M SAR en 2024 según la CST [15] y ≈ 190.000 M USD en 2025 según Elm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 madura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SAR (servicios de TI, IMARC; 1 USD = 3,75 SA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los servicios públicos (Visión 2030)</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Tawakkalna llegó a 711 servicios en 2025 y prevé 926 a fin de 2026; Nafath, más de 33 millones de usuarios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público y su priorización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2026: ingresos de 1.147.000 M SAR y gastos de 1.313.000 M SAR (déficit) [13]; Elm cita la priorización del gasto como causa de menos adjudicaciones de proyectos en 2026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residente y trabajadores extranjeros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Muqeem y Tamm cobran por residente y por vehículo; los seis primeros productos crecieron un 13 % en 2025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Peregrinación (Hajj y Umrah)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Nusuk acusó en 2025 un Hajj con unos 200.000 peregrinos menos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Inteligencia artificial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tiene 10 servicios de IA en producción y su propio LLM en árabe (Nuha); la IA abarata el desarrollo de software y amenaza el trabajo por horas del BPO y la consultoría [11,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plataformas públicas, Elm opera en exclusiva por contrato; en proyectos y BPO compite con Solutions by stc, Thiqah (ya suya), Accenture, IBM y consultoras locales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es cliente (42,6 % de los ingresos), regulador, dueño del 67 % y socio que cobra una parte de las tasas; puede renegociar el reparto (Fasah pasó de principal a agente) [1,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Talento técnico saudí escaso y cuotas de saudización; nube y centros de datos de proveedores públicos y de hiperescala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Acceso a datos de identidad del Ministerio del Interior y homologaciones de seguridad que tardan años; las grandes tecnológicas entran por alianzas, no de frente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Estado puede internalizar plataformas (SDAIA, Centro Nacional de Información) y la IA reduce el coste de construirlas [17].</w:t>
            </w:r>
          </w:p>
        </w:tc>
      </w:tr>
    </w:tbl>
    <w:p>
      <w:pPr>
        <w:spacing w:after="160" w:before="0"/>
      </w:pPr>
    </w:p>
    <w:p>
      <w:pPr>
        <w:pStyle w:val="Heading2"/>
      </w:pPr>
      <w:r>
        <w:t xml:space="preserve">Ciclo</w:t>
      </w:r>
    </w:p>
    <w:p>
      <w:pPr>
        <w:spacing w:after="100"/>
      </w:pPr>
      <w:r>
        <w:t xml:space="preserve">La digitalización del Estado lleva diez años de expansión con la Visión 2030 y está madura en los servicios básicos: Tawakkalna tiene 711 servicios y Nafath más de 33 millones de usuarios [13]. El ciclo que importa ahora es el del gasto público: el presupuesto de 2026 tiene déficit (ingresos de 1.147.000 M SAR y gastos de 1.313.000 M) y Elm atribuye a la priorización del gasto las adjudicaciones de proyectos más lentas de 2026 [10, 13, 43]. El petróleo y el déficit marcan el ritmo de los proyectos; las tasas de plataforma dependen de la población y la actividad, más estables. Señales: adjudicaciones trimestrales de proyectos, días de cobro del sector público y crecimiento de los seis primeros productos [10].</w:t>
      </w:r>
    </w:p>
    <w:p>
      <w:pPr>
        <w:pStyle w:val="Heading2"/>
      </w:pPr>
      <w:r>
        <w:t xml:space="preserve">Regulación</w:t>
      </w:r>
    </w:p>
    <w:p>
      <w:pPr>
        <w:spacing w:after="100"/>
      </w:pPr>
      <w:r>
        <w:t xml:space="preserve">Elm opera servicios del Estado por contrato: el riesgo regulatorio es que un ministerio cambie la tasa, el reparto de ingresos o el operador al renovar [21]. Está sujeta a los controles de ciberseguridad de la Autoridad Nacional de Ciberseguridad y a la ley de protección de datos personales, que encarecen el cumplimiento pero levantan barreras de entrada [21]. Las operaciones con el Estado y con empresas del PIF son operaciones vinculadas que aprueba la junta [25, 27]. Al ser del PIF, compite en ventaja en los concursos públicos y su papel en la estrategia del Estado (campeón nacional de gobierno digital) está escrito en su estrategia «elm 4.0» [16].</w:t>
      </w:r>
    </w:p>
    <w:p>
      <w:pPr>
        <w:pStyle w:val="Heading2"/>
      </w:pPr>
      <w:r>
        <w:t xml:space="preserve">Tendencias y disrupción</w:t>
      </w:r>
    </w:p>
    <w:p>
      <w:pPr>
        <w:spacing w:after="100"/>
      </w:pPr>
      <w:r>
        <w:t xml:space="preserve">A favor: el Estado sigue digitalizando servicios (Tawakkalna prevé 926 servicios a fin de 2026) y lleva el modelo de plataformas con reparto de ingresos a más organismos (Comercio y SASO en septiembre de 2026) [13, 39, 40]; la población residente y el parque de vehículos alimentan Muqeem y Tamm [16]. La IA generativa corta en los dos sentidos: Elm tiene su propio modelo en árabe (Nuha), diez servicios de IA en producción y una alianza de infraestructura con Humain (PIF), pero la IA abarata el desarrollo de software y amenaza el trabajo por horas de la externalización y los proyectos [11, 17]. En contra: el déficit público y la priorización del gasto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proveedor de servicios públicos digitales de Arabia Saudí (plataformas del Ministerio del Interior); ≈ 21 % del mercado de servicios de TI de IMARC [14], que no recoge del todo las tasas de plataforma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32"/>
        <w:gridCol w:w="847"/>
        <w:gridCol w:w="953"/>
        <w:gridCol w:w="1059"/>
        <w:gridCol w:w="847"/>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Solutions by stc (Arabian Internet and Communications Services)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7202.SR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Perfect Presentation (2P)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7204.SR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Moammar Information Systems (MIS)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Arabia Saudí</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7200.SR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TYL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Booz Allen Hamilton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Maximus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MMS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Absher y Nafath reúnen a ciudadanos, residentes, empresas y 945 plataformas conectadas, pero el valor de la red es del Estado, no de Elm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críticas de identidad y extranjería con 20 años de historia; contratos de cinco años renovados (Ministerio de Comercio, SASO)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Acceso a datos del Ministerio del Interior y homologaciones de ciberseguridad; licencia de facto como brazo tecnológico del Estado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negocio digital del 47 % frente al 15-19 % de Solutions by stc en EBIT; pero el BPO, al 18,5 %, no tiene ventaja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único proveedor por plataforma nacional: el mercado no admite dos Absher [4].</w:t>
            </w:r>
          </w:p>
        </w:tc>
      </w:tr>
    </w:tbl>
    <w:p>
      <w:pPr>
        <w:spacing w:after="160" w:before="0"/>
      </w:pPr>
    </w:p>
    <w:p>
      <w:pPr>
        <w:pStyle w:val="Heading2"/>
      </w:pPr>
      <w:r>
        <w:t xml:space="preserve">Amenazas</w:t>
      </w:r>
    </w:p>
    <w:p>
      <w:pPr>
        <w:spacing w:after="100"/>
      </w:pPr>
      <w:r>
        <w:t xml:space="preserve">La primera amenaza es el propio Estado: que un ministerio renueve un contrato con menos reparto para Elm, lo lleve dentro (SDAIA, la autoridad de datos e IA, desarrolla plataformas propias como Tawakkalna) o lo adjudique a otra empresa del PIF; lo veo probable en algún contrato en tres años (40 %), con efecto gradual [21, 25]. La segunda, la IA: agentes y asistentes que resuelven trámites y atención al cliente reducen la necesidad de centros de servicio y de horas de desarrollo, el 29 % de las ventas en BPO y servicios profesionales [1, 17]. La tercera, la competencia en proyectos de Solutions by stc, Perfect Presentation y Al Moammar, con márgenes menores [19].</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r>
    </w:tbl>
    <w:p>
      <w:pPr>
        <w:spacing w:after="160" w:before="0"/>
      </w:pPr>
    </w:p>
    <w:p>
      <w:pPr>
        <w:spacing w:after="100"/>
      </w:pPr>
      <w:r>
        <w:t xml:space="preserve">Crecimiento anual compuesto 2021-2025: ingresos </w:t>
      </w:r>
      <w:r>
        <w:rPr>
          <w:b/>
          <w:bCs/>
        </w:rPr>
        <w:t xml:space="preserve">25,4 %</w:t>
      </w:r>
      <w:r>
        <w:t xml:space="preserve">, EBITDA </w:t>
      </w:r>
      <w:r>
        <w:rPr>
          <w:b/>
          <w:bCs/>
        </w:rPr>
        <w:t xml:space="preserve">33,0 %</w:t>
      </w:r>
      <w:r>
        <w:t xml:space="preserve">, BPA </w:t>
      </w:r>
      <w:r>
        <w:rPr>
          <w:b/>
          <w:bCs/>
        </w:rPr>
        <w:t xml:space="preserve">39,4 %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A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3.828 M SAR en 2021 a 9.465 M en 2025 (+25 % anual), con Thiqah sumando 1.088 M en 2025; sin Thiqah, 2025 creció ≈ 13 % [1, 4, 8]. El margen EBITDA subió del 19,1 % en 2021 al 25,4 % en 2023 y al 25,6 % en 2024, y bajó al 24,1 % en 2025 por las pérdidas de Thiqah (−69,7 M de resultado operativo en ocho meses) y el menor margen de la externalización [1, 2, 3]. El beneficio se multiplicó por 3,7 (de 567 a 2.090 M). En 2026 el crecimiento frena: ventas del 1S26 de 4.997 M (+21 %, con cuatro meses más de Thiqah) y beneficio de 1.166 M (+7,5 %, con una plusvalía de 59 M); en el 2T26 el BPA cayó un 13 % [5, 9].</w:t>
      </w:r>
    </w:p>
    <w:p>
      <w:pPr>
        <w:pStyle w:val="Heading2"/>
      </w:pPr>
      <w:r>
        <w:t xml:space="preserve">Ajustes y partidas no recurrentes</w:t>
      </w:r>
    </w:p>
    <w:p>
      <w:pPr>
        <w:spacing w:after="100"/>
      </w:pPr>
      <w:r>
        <w:t xml:space="preserve">Uso cifras publicadas. Tres partidas atípicas: la reversión de provisiones de zakat de 69 M SAR en 2025, que baja el tipo efectivo al 2,1 %; la plusvalía de 59,1 M por la toma de control de Sahel Al Madar en el 1T26, que infla el beneficio del 1S26; y la rebaja de 311,4 M de los activos netos de Thiqah al cerrar su contabilidad de compra, cargada a reservas [1, 5, 6]. El resultado financiero neto es positivo (intereses de la caja y las murabahas) [1]. El plan de acciones de empleados se paga con autocartera (3,7 M SAR a los cinco primeros directivos en 2025) [24].</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(3-ago-2026) Elm mantuvo la guía anual (ventas +17-19 %, margen EBIT del 21-23 % y flujo operativo del 85-95 % del beneficio) y destacó 4.800 M SAR adjudicados en nueve proyectos en el 2T26, que se reconocerán en 3-5 años [10]. Thiqah volvió a beneficio (1 M) en el 2T26 [10]. Lo que no se aclaró: por qué el flujo operativo del semestre fue solo el 35 % del beneficio y los días de cobro subieron a 166 (151 a fin de 2025); Argaam tituló «las adjudicaciones de proyectos más lentas pesan en el crecimiento» y la acción cayó un 7,7 % [10, 30, 43]. SNB Capital espera un beneficio del 3T26 de 562 M SAR (+0,6 %) y Riyad Capital 589 M (+5 %) [37, 38].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Thiqah Business Services, comprada al PIF por 3.385,9 M SAR y consolidada desde el 30-abr-2025 (ocho meses: 1.088 M de ingresos y −69,7 M de resultado operativo). Combinación bajo control común: sin fondo de comercio; el exceso pagado (3.121,8 M) se cargó a reservas.; 2026: Sahel Al Madar (plataforma digital de logística), del 30 % al 60 % el 5-feb-2026; consolidada cinco meses en el 1S26 (14,1 M de ingresos). Plusvalía de 59,1 M por la participación previa.).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con caja neta: a 30-jun-2026, 3.906 M SAR de caja, murabahas y fondos monetarios frente a 1.536 M del préstamo de SNB y 713 M de arrendamientos [5]. El préstamo (1.900 M) se pidió en 2025 para pagar Thiqah y vence en cuotas de ≈ 380 M al año en 2027-2030; Al Rajhi renovó una línea de 500 M en octubre de 2026 [1, 41]. El patrimonio bajó de 5.293 M en 2024 a 3.621 M en 2025 porque los 3.121,8 M pagados por encima del valor contable de Thiqah se cargaron a reservas (compra bajo control común) [1]. El punto delicado es el cobro: clientes de 3.607 M y activos de contrato de 1.173 M a fin de 2025, la mitad de las ventas, con el sector público pagando cada vez más tarde [1, 10].</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6.793</w:t>
      </w:r>
      <w:r>
        <w:t xml:space="preserve">, conversión </w:t>
      </w:r>
      <w:r>
        <w:rPr>
          <w:b/>
          <w:bCs/>
        </w:rPr>
        <w:t xml:space="preserve">100 %</w:t>
      </w:r>
      <w:r>
        <w:t xml:space="preserve"> del beneficio neto; adquisiciones 3.165, dividendos 2.098, recompras 307.</w:t>
      </w:r>
    </w:p>
    <w:p>
      <w:pPr>
        <w:spacing w:after="100"/>
      </w:pPr>
      <w:r>
        <w:t xml:space="preserve">La conversión de beneficio en caja ha sido buena: el flujo operativo fue del 106 % del beneficio en 2021, 183 % en 2022, 115 % en 2023, 91 % en 2024 y 127 % en 2025 (2.663 M SAR) [1, 2, 3, 4]. El capex es bajo, del 2,4-3,5 % de las ventas (330 M en 2025), y el flujo libre después de arrendamientos rondó los 2.260 M en 2025 [1]. En el 1S26 el flujo operativo cayó al 35 % del beneficio por el alargamiento de los cobros públicos; la guía pide un 85-95 % para el año [10]. Usos en 2025: 3.161 M en Thiqah (neto de su caja) y 661 M en dividendos; en 2022 recompró acciones por 307 M para el plan de empleados [1,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BDO Dr. Mohamed Al-Amri &amp; 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sin salvedades: BDO audita desde 2023 [1, 2]. No hay fondo de comercio porque Thiqah se contabilizó como combinación bajo control común: el exceso pagado (3.121,8 M SAR) no figura como activo sino que redujo el patrimonio, lo que infla el ROIC y el ROE contables [1]. La partida que más cuidado pide es el reconocimiento de ingresos de proyectos (activos de contrato de 1.173 M) y el cobro del sector público [1]. Indicadores del motor: Altman Z de 5,25 (zona segura), Piotroski F de 5 sobre 9 y Beneish M de −2,62 (sin señal de manipulación). El beneficio de 2025 lleva una reversión de zakat de 69 M y el del 1S26 una plusvalía de 59 M [1,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 del sector público cada vez más lento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cobro de 151 a fin de 2025 y 166 en el 1S26; flujo operativo del 35 % del beneficio en el semestre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 vinculada al PIF con pérdidas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Thiqah: 3.385,9 M SAR pagados al accionista de control por una empresa que perdió 177 M en 2025; activos netos rebajados 311,4 M tras la compra [1,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no recurrentes en el beneficio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Reversión de zakat de 69 M (2025) y plusvalía de Sahel de 59 M (1T26) [1,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218,0 % · </w:t>
      </w:r>
      <w:r>
        <w:rPr>
          <w:b/>
          <w:bCs/>
        </w:rPr>
        <w:t xml:space="preserve">WACC</w:t>
      </w:r>
      <w:r>
        <w:t xml:space="preserve">: 11,8 %.</w:t>
      </w:r>
    </w:p>
    <w:p>
      <w:pPr>
        <w:spacing w:after="100"/>
      </w:pPr>
      <w:r>
        <w:t xml:space="preserve">El ROIC contable es del 116,8 % en 2025 (127,9 % en 2024 y 51,8 % en 2021) frente a un WACC del 11,83 %, pero está inflado: el capital invertido (1.702 M SAR) no incluye los 3.121,8 M pagados por encima del valor contable de Thiqah, que se cargaron a reservas [1]. Sumándolos, el ROIC de 2025 baja a ≈ 40 % (NOPAT de ≈ 1.910 M sobre ≈ 4.820 M), todavía más de tres veces el WACC. La causa es el modelo: plataformas con capex del 3,5 % de las ventas y un circulante pequeño porque el reparto con los organismos se paga después de cobrar las tasas [1]. El ROE fue del 46,9 % en 2025. Ningún comparable se acerca: Tyler, el más rentable, tiene un margen EBITDA del 19 % [33]. El riesgo para el ROIC no es el capital, sino la tasa que el Estado deje cobrar.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murabahas y fondos monetarios de 3.906 M SAR a 30-jun-2026 (1.574,6 M de efectivo, 1.916,2 M en murabahas y 415,4 M en fondos) frente a 1.535,7 M de deuda bancaria; línea de 500 M con Al Rajhi renovada en septiembre-octubre de 2026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Indemnizaciones por cese de los empleados (obligación legal saudí) de 625,9 M SAR a 30-jun-2026, que trato como deuda en el puente [5]. Deudas con los organismos socios por el reparto de ingresos de 1.326 M a fin de 2025, dentro de proveedores: son parte del circulante, no deuda financiera [1]. Pasivos de contrato (cobros por adelantado) de 1.407 M [1]. El dividendo del 1S26 (5 SAR por acción, 389,9 M) se pagó desde el 16-ago, después del balance, y lo resto en el puente [42].</w:t>
      </w:r>
    </w:p>
    <w:p>
      <w:pPr>
        <w:pStyle w:val="Heading1"/>
      </w:pPr>
      <w:r>
        <w:t xml:space="preserve">12. Asignación de capital</w:t>
      </w:r>
    </w:p>
    <w:p>
      <w:pPr>
        <w:pStyle w:val="Confianza"/>
        <w:spacing w:after="100"/>
      </w:pPr>
      <w:r>
        <w:t xml:space="preserve">Confianza: Media</w:t>
      </w:r>
    </w:p>
    <w:p>
      <w:pPr>
        <w:spacing w:after="100"/>
      </w:pPr>
      <w:r>
        <w:t xml:space="preserve">La política de dividendos es genérica: dividendos anuales o a cuenta, sin porcentaje del beneficio comprometido [12]. En la práctica reparte un tercio del beneficio en dos pagos: 4,5 SAR por el 2S25 y 5 SAR por el 1S26 (8,5 SAR pagados en 2025, el 32 % del BPA) [12, 42]. La estrategia «elm 4.0» prioriza ampliar la cartera de productos de gobierno, crecer en empresas privadas (objetivo de 250 M SAR en productos B2B en 2026) y comprar empresas [11, 16]. Sin recompras salvo las del plan de empleados (307 M en 2022)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Thiqah Business Services (100 %, al PIF)</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de 1.900 M de SNB y 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Thiqah perdió 177 M en 2025 (142 M en 2024 reexpresado); sus activos netos se rebajaron 311,4 M al cerrar la auditoría; vuelve a beneficio (1 M) en el 2T26.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Sahel Al Madar (30 % adicional, hasta el 60 %)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6,2 M en cinco meses; plusvalía contable de 59,1 M.</w:t>
            </w:r>
          </w:p>
        </w:tc>
      </w:tr>
    </w:tbl>
    <w:p>
      <w:pPr>
        <w:spacing w:after="160" w:before="0"/>
      </w:pPr>
    </w:p>
    <w:p>
      <w:pPr>
        <w:spacing w:after="100"/>
      </w:pPr>
      <w:r>
        <w:t xml:space="preserve">La asignación de capital tiene una mancha grande: Thiqah. Elm pagó 3.385,9 M SAR (2,2 veces sus ventas y con pérdidas de 142 M en 2024) a su accionista de control, el PIF, con un préstamo de 1.900 M y caja; al cerrar la contabilidad, los activos netos de Thiqah resultaron 311,4 M menores [1, 11, 18]. Destruye valor para el minoritario salvo que Thiqah llegue al margen del resto del grupo; en el 2T26 ganó 1 M [10]. Fuera de eso, el historial es bueno: crecimiento orgánico con capex bajo, deuda nula hasta 2025 y dividendo creciente (de 4,85 a 8,5 SAR pagados en 2022-2025) [1,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Mohammad Abdulaziz Alomair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años en Elm; jefe de Productos Digitales de 2016 a 2024, la etapa en que los productos digitales pasaron a ser dos tercios de las ventas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Othman Mohammed Altwaijri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Finanzas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años en finanzas; antes, director ejecutivo de Operaciones Financieras de Elm (2018-2019)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Rayed Abdullah bin Ahmed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Asesor de Su Alteza el ministro del Interior; antes, vicepresidente de Elm y altos cargos en la Autoridad del Mercado de Capitales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Majed Faleh Alotaibi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del grupo de Productos de Gobierno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Tabadul (2021-2023)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Alameen Shawqi Alhazmi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Jefe del grupo de Soluciones Integradas y presidente de Thiqah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Elm desde 2003; dirige la integración de Thiqah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ingresos, margen EBIT y conversión de caja publicada con los resultados de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+27,8 % con Thiqah, margen EBIT del 21,4 %, flujo operativo del 127 % del beneficio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+17-19 %, margen EBIT del 21-23 %, flujo operativo del 85-95 % del beneficio (con Thiqah)</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ingresos +21 %, margen EBIT del 23 %, flujo operativo del 35 % del beneficio; guía mantenida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la casa: el consejero delegado, Mohammad Alomair (desde 2024), lleva 24 años en Elm y dirigió los productos digitales de 2016 a 2024, la etapa en que pasaron a ser dos tercios de las ventas; el vicepresidente de Finanzas, Othman Altwaijri, viene de las operaciones financieras de Elm [28]. Cumplimiento de la guía parcial: en 2025 las ventas crecieron un 27,8 % con Thiqah pero el margen EBIT bajó al 21,4 %; en 2026 el 1S26 va en línea en ventas y margen y muy por debajo en conversión de caja (35 % frente al 85-95 %) [10]. El consejero delegado compró 2.326 acciones (1,7 M SAR) a fin de 2025; los directivos tienen participaciones simbólicas [26].</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Rayed Abdullah bin Ahmed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Raed Abdullah Ismail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Esam Abdullah Alwagait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Alshayhana Saleh Alazzaz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Thamer Mohammad Alharbi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Abdullah Saad Alsalem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Khaled Abdulaziz Alghoneim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Abdularahman Mohammed Alodan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Faris Ibrahim Alrashed Alhumaid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1,70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 Investment Fund (PIF)</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desde la salida a bolsa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(plan de acciones de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M de acciones a fin de 2025; 2,03 M estimadas a 30-jun-2026 tras entregas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Inversores extranjeros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Dentro del flotante del 30,3 %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Mohammad Alomair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cinco primeros directivos cobraron 30,05 M SAR en 2025: 12,1 M fijos y 17,9 M variables (8,3 M de incentivo anual, 3,7 M de incentivo a largo plazo y 3,7 M en acciones) [24]. El consejo, 2,99 M; consejo y alta dirección juntos, 49,8 M [1, 24]. Elm no desglosa la remuneración del consejero delegado y lo declara como incumplimiento voluntario del código de gobierno [29]. Las métricas del variable no se publican con detalle; no hay voto consultivo de la remuneración [24, 29].</w:t>
      </w:r>
    </w:p>
    <w:p>
      <w:pPr>
        <w:pStyle w:val="Heading2"/>
      </w:pPr>
      <w:r>
        <w:t xml:space="preserve">Operaciones vinculadas, estructura de control y defensas</w:t>
      </w:r>
    </w:p>
    <w:p>
      <w:pPr>
        <w:spacing w:after="100"/>
      </w:pPr>
      <w:r>
        <w:t xml:space="preserve">El PIF controla el 67,0 % y decide: nombra a la mayoría del consejo, y el presidente, Rayed bin Ahmed, es asesor del ministro del Interior, el principal cliente [20, 22]. El consejo tiene nueve miembros, tres independientes [22]. El flotante es del 30,3 % y la autocartera del 2,67 % [20]. Una acción, un voto, sin blindajes; pero no habrá opa sin el PIF. Las operaciones con el Estado, con SDAIA y con otras empresas del PIF son continuas y las aprueba la junta, donde vota el propio PIF [25, 27]. La comisión de auditoría tiene cinco miembros y la preside un externo [23].</w:t>
      </w:r>
    </w:p>
    <w:p>
      <w:pPr>
        <w:pStyle w:val="Heading2"/>
      </w:pPr>
      <w:r>
        <w:t xml:space="preserve">Señales de alerta</w:t>
      </w:r>
    </w:p>
    <w:p>
      <w:pPr>
        <w:pStyle w:val="ListParagraph"/>
        <w:numPr>
          <w:ilvl w:val="0"/>
          <w:numId w:val="2"/>
        </w:numPr>
        <w:spacing w:after="60"/>
      </w:pPr>
      <w:r>
        <w:t xml:space="preserve">Accionista de control (PIF, 67 %) que además vendió a Elm Thiqah por 3.385,9 M SAR con pérdidas [11, 20].</w:t>
      </w:r>
    </w:p>
    <w:p>
      <w:pPr>
        <w:pStyle w:val="ListParagraph"/>
        <w:numPr>
          <w:ilvl w:val="0"/>
          <w:numId w:val="2"/>
        </w:numPr>
        <w:spacing w:after="60"/>
      </w:pPr>
      <w:r>
        <w:t xml:space="preserve">Dependencia del Estado: el 48 % de las ventas a organismos y entidades públicas, y el resto en tasas de servicios públicos [1].</w:t>
      </w:r>
    </w:p>
    <w:p>
      <w:pPr>
        <w:pStyle w:val="ListParagraph"/>
        <w:numPr>
          <w:ilvl w:val="0"/>
          <w:numId w:val="2"/>
        </w:numPr>
        <w:spacing w:after="60"/>
      </w:pPr>
      <w:r>
        <w:t xml:space="preserve">No se desglosa la remuneración del consejero delegado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(dada con los resultados de 2025 y mantenida en agosto): ventas +17-19 %, margen EBIT del 21-23 % y flujo operativo del 85-95 % del beneficio, con Thiqah [10, 11]. Con el 1S26 (+21 % en ventas, margen EBIT del 23 %) va en línea salvo en caja [9,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n.d.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748,77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Once analistas en MarketScreener, con objetivo medio de 748,77 SAR y seis en «Comprar» [31, 32]. La tendencia es a la baja: en abril de 2026 el objetivo medio bajó de 859 a 798 SAR con recortes de ventas, y UBS ha rebajado su objetivo manteniendo «Neutral» [32, 45]. Para el 3T26, SNB Capital espera un beneficio plano (+0,6 %) y Riyad Capital +5 % [37, 38]. Las estimaciones de MarketScreener (BPA de 29,71 / 33,74 / 38,83 SAR en 2026-2028e) aún no recogen del todo la caída del 2T26 [31].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cerró a 548 SAR el 19-oct-2026, un 40,8 % menos que hace un año (el ETF del mercado saudí, −11,6 %; el de software de EE. UU., −7,4 %) y un 56,5 % menos que el máximo de 2024 (1.260 SAR), aunque cuatro veces el precio de salida a bolsa (128 SAR en 2022) [20, 30]. Subió un 148 % en 2023 y un 38 % en 2024, y cayó un 32 % en 2025 y un 25,6 % en 2026 [30]. Volatilidad del 35,5 %, caída máxima del 58,9 % (ene-2025 a abr-2026) y beta mensual de cinco años de 1,05 frente al mercado saudí (semanal de dos años 1,02) [30]. Liquidez de ≈ 54 M SAR al día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 -17,5 % / -10,4 % / -41,0 %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-42,6 % / +7,2 %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cambia la tesis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Condición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Ya incorporado: el caso base crece por debajo de la guía y del consenso, y el riesgo de IA en BPO y proyectos está en el bajista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0"/>
        <w:gridCol w:w="1098"/>
        <w:gridCol w:w="4147"/>
        <w:gridCol w:w="1220"/>
        <w:gridCol w:w="1953"/>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 a 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950,5 SAR (29-oct-2025) a 509,5 SAR (7-abr-2026): −8,6 % el 3-nov-2025 con el 3T25 (margen a la baja con Thiqah) [7]; −15 % entre el 28-ene y el 5-feb-2026 con la caída mundial del software por el miedo a la IA (IGV −18 %) [30]; −9 % el 1-mar y −7,3 % el 3-mar, con los resultados de 2025 (pérdidas de Thiqah) y los ataques de EE. UU. e Israel contra Irán (TASI −2,2 %) [8,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tesis</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Recogido en el caso base: menos crecimiento, margen a la baja y riesgo de IA en BPO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 509,5 a 693 SAR (10-may) con los resultados del 1T26 (BPA de 8,42 SAR, +32 %, con la plusvalía de Sahel) [6,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737 SAR (17-jun) a 548: −7,7 % el 2-ago tras el 1S26 (BPA del 2T26 −13 %, adjudicaciones más lentas, flujo operativo del 35 % del beneficio) [9, 43]; desde septiembre, −11,7 % con el mercado saudí a la baja (KSA −9 %) y recortes de objetivos (UBS) [30,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cambia la tesis</w:t>
            </w:r>
          </w:p>
        </w:tc>
        <w:tc>
          <w:tcPr>
            <w:tcW w:type="dxa" w:w="1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Recogido: crecimiento de 2026e del 15 % (por debajo de la guía) y circulante del 9 % de las ventas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Rajhi Bank renueva una línea de crédito de 500 M SAR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Previsiones del 3T26: SNB Capital 562 M SAR de beneficio (+0,6 %) y Riyad Capital 589 M (+5 %) [37,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cinco años con SASO para desarrollar y operar sus servicios, con reparto de ingresos (≈ 15 % de las ventas de 2025 en total) [39].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filial firma con el Ministerio de Comercio la digitalización de sus servicios durante cinco años (≈ 19 % de las ventas de 2025 en total) [40].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ventas +21 %, beneficio +7,5 %; adjudicaciones de proyectos más lentas; Thiqah vuelve a beneficio en el 2T26 [9,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tesis</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Recogido en el caso base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del 1S26 de 5 SAR por acción (390 M SAR), pagado desde el 16-ago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de un año (−41 %) tiene causas propias y no solo de mercado: el crecimiento orgánico frena (≈ 13 % en 2025 y ≈ 7 % en el 2T26), Thiqah resta margen, el cobro público se alarga y el mercado ha rebajado el múltiplo del software por la IA. Por eso el veredicto es «cambia la tesis»: no es un descuento que se deba ignorar, y este informe ya lo recoge con un crecimiento por debajo de la guía y del consenso y un circulante mayor. Los resultados del 3T26 (hacia el 2-nov) son el próximo hecho, pero la recomendación no es de compra por el valor intrínseco, así que no hay que esperar a nada para decidir.</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Elm cotiza a 17,8 veces nuestro BPA de 2027e, muy por debajo de la mediana adelantada de 2022-2025 (30,6 veces) y del mínimo (19,6 veces en 2022, el año de la salida a bolsa) [30]. La historia es corta (cuatro años) y de un régimen distinto: en 2023-2024 el mercado pagaba 35-42 veces el beneficio del año siguiente por un crecimiento del 25-30 % anual sin compras. Hoy el crecimiento orgánico es de un dígito alto, hay dudas sobre la IA y el mercado saudí está débil. No excluyo ningún año (no hubo pérdidas), pero la mediana histórica no es una referencia de vuelta: la regla común solo deja subir el PER un 10 %.</w:t>
      </w:r>
    </w:p>
    <w:p>
      <w:pPr>
        <w:pStyle w:val="Heading1"/>
      </w:pPr>
      <w:r>
        <w:t xml:space="preserve">18. Comparables cotizados</w:t>
      </w:r>
    </w:p>
    <w:p>
      <w:pPr>
        <w:pStyle w:val="Confianza"/>
        <w:spacing w:after="100"/>
      </w:pPr>
      <w:r>
        <w:t xml:space="preserve">Confianza: Media</w:t>
      </w:r>
    </w:p>
    <w:p>
      <w:pPr>
        <w:spacing w:after="100"/>
      </w:pPr>
      <w:r>
        <w:t xml:space="preserve">Dos grupos con datos del mismo día: servicios de TI saudíes (Solutions by stc y Perfect Presentation; Al Moammar no tiene previsiones) y proveedores de tecnología y servicios para gobiernos de EE. UU. y la India (Tyler Technologies, Booz Allen Hamilton, Maximus e Infosys) [19, 33]. Fuera: CGI y TCS, con divisas mezcladas en Yahoo. Ninguno tiene el modelo de tasas por transacción de Elm; Tyler (software para administraciones) es el más parecido en el producto y Maximus (externalización de servicios públicos) en el BPO.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Solutions by stc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Perfect Presentation (2P)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Tyler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Booz Allen Hamilton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Maximus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Infosys (ADR)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 / 9,9x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11,4x / 19,1x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12,1x / 14,3x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 / 1,7x / 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4,4 + 0,96 × crecimiento; R² = 0,31. Para el crecimiento esperado de la empresa (14,5 %), el múltiplo ajustado es 18,4x y el valor por acción, 723,46.</w:t>
      </w:r>
    </w:p>
    <w:p>
      <w:pPr>
        <w:spacing w:after="100"/>
      </w:pPr>
      <w:r>
        <w:t xml:space="preserve">Elm tiene el mejor margen del grupo (24 % de EBITDA frente a una mediana del 15 %; Infosys, 22 %) y cotiza a 16,6 veces el beneficio de los próximos doce meses, por encima de la mediana (12,0) y por debajo solo de Tyler (24,2) [33]. Los saudíes cotizan a 9-13 veces y los contratistas públicos de EE. UU. a 7-11 tras el castigo de 2025-2026 por los recortes de gasto federal y la IA. La prima de Elm se explica por el margen, la caja neta y las tasas recurrentes; los comparables pesan un 20 % porque ninguno replica el modelo.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Thiqah Business Services (100 %)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 (al PIF)</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3.385,9 M menos 370 M de caja y murabahas adquiridos; ventas de 2024 reexpresadas de 1.430 M; EBITDA negativo (pérdida de 142 M en 2024).</w:t>
            </w:r>
          </w:p>
        </w:tc>
      </w:tr>
    </w:tbl>
    <w:p>
      <w:pPr>
        <w:spacing w:after="160" w:before="0"/>
      </w:pPr>
    </w:p>
    <w:p>
      <w:pPr>
        <w:spacing w:after="160" w:before="0"/>
      </w:pPr>
    </w:p>
    <w:p>
      <w:pPr>
        <w:spacing w:after="100"/>
      </w:pPr>
      <w:r>
        <w:t xml:space="preserve">La única operación con precio es la propia compra de Thiqah: 3.016 M SAR de valor empresa (2,1 veces ventas) por una empresa con pérdidas, entre partes vinculadas (el PIF vendía) [1, 11]. No es una referencia de mercado y no le doy peso. No hay operaciones comparables en el Golfo con múltiplos publicados.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apoya en el 1S26 (ventas +21 %) y en la guía (+17-19 %): proyecto +15 %, por debajo, porque el 2S26 ya compara con Thiqah consolidada y el crecimiento orgánico del 2T26 fue de ≈ 7 % con adjudicaciones más lentas [9, 10, 43]. Después, +9 % en 2027e (los 4.800 M SAR adjudicados en el 2T26 y los contratos de Comercio y SASO) y del 8,5 % al 4,5 % hasta 2032e [10, 39, 40]. El crecimiento medio de 2027-2032e (6,9 %) es la mitad del orgánico de 2025 (≈ 13 %) y coincide con el mercado de IMARC (6,91 %) [14]. Queda por debajo del consenso (14.203 M de ventas en 2028e frente a 12.873 M) [31].</w:t>
      </w:r>
    </w:p>
    <w:p>
      <w:pPr>
        <w:keepNext/>
        <w:spacing w:after="100"/>
      </w:pPr>
      <w:r>
        <w:rPr>
          <w:b/>
          <w:bCs/>
        </w:rPr>
        <w:t xml:space="preserve">Márgenes.</w:t>
      </w:r>
    </w:p>
    <w:p>
      <w:pPr>
        <w:spacing w:after="100"/>
      </w:pPr>
      <w:r>
        <w:t xml:space="preserve">El margen EBITDA fue del 19,1 % en 2021, 23,7 % en 2022, 25,4 % en 2023, 25,6 % en 2024 y 24,1 % en 2025 [1, 2, 3, 4]. Proyecto un 24,5 % en 2026e (Thiqah ya sin pérdidas desde el 2T26) que baja al 23,8 % en 2032e: más peso de proyectos y de Thiqah, de menos margen, y presión sobre las tasas al renovar contratos con el Estado [10, 21]. El consenso espera un 24,5-24,7 % [31].</w:t>
      </w:r>
    </w:p>
    <w:p>
      <w:pPr>
        <w:keepNext/>
        <w:spacing w:after="100"/>
      </w:pPr>
      <w:r>
        <w:rPr>
          <w:b/>
          <w:bCs/>
        </w:rPr>
        <w:t xml:space="preserve">Inversión y circulante.</w:t>
      </w:r>
    </w:p>
    <w:p>
      <w:pPr>
        <w:spacing w:after="100"/>
      </w:pPr>
      <w:r>
        <w:t xml:space="preserve">Capex del 3,5 % de las ventas, como en 2025 (3,5 %), que baja al 3,3 %; amortización del 3,2 % (2,7 % en 2025 y 3,0 % en los últimos doce meses, al alza con los arrendamientos de Thiqah) [1, 5]. Circulante del 9 % de las ventas: más que el 6,7 % de 2025 porque los días de cobro del sector público suben (166 en el 1S26) [1, 10]. Tipo impositivo del 6 % (zakat de la parte saudí y 20 % sobre la extranjera; 6,5 % en 2024) [1].</w:t>
      </w:r>
    </w:p>
    <w:p>
      <w:pPr>
        <w:keepNext/>
        <w:spacing w:after="100"/>
      </w:pPr>
      <w:r>
        <w:rPr>
          <w:b/>
          <w:bCs/>
        </w:rPr>
        <w:t xml:space="preserve">Coste del capital.</w:t>
      </w:r>
    </w:p>
    <w:p>
      <w:pPr>
        <w:spacing w:after="100"/>
      </w:pPr>
      <w:r>
        <w:t xml:space="preserve">Flujos en SAR, anclado al USD a 3,75: tasa libre del 5,61 %, el Treasury a 10 años (5,10 %, FRED, 15-oct-2026) más el diferencial soberano de Arabia Saudí (0,51 %, Damodaran) [34, 35]. Beta de 1,05: mensual de cinco años frente al mercado saudí (semanal de dos años 1,02) [30]. Prima de mercado del 5,5 % y prima adicional del 0,78 % (prima de país de Damodaran) [35]. Coste de la deuda del 5,8 % (préstamo de SNB) y peso del 5 %. WACC del 11,83 %. Con la prima implícita del mercado (4,2 %) baja al 10,5 % [36].</w:t>
      </w:r>
    </w:p>
    <w:p>
      <w:pPr>
        <w:keepNext/>
        <w:spacing w:after="100"/>
      </w:pPr>
      <w:r>
        <w:rPr>
          <w:b/>
          <w:bCs/>
        </w:rPr>
        <w:t xml:space="preserve">Valor terminal.</w:t>
      </w:r>
    </w:p>
    <w:p>
      <w:pPr>
        <w:spacing w:after="100"/>
      </w:pPr>
      <w:r>
        <w:t xml:space="preserve">Crecimiento a perpetuidad del 3,0 % en SAR/USD: entre la inflación esperada del dólar (2-2,5 %) y la tasa libre menos medio punto. Un Estado digitalizado sigue pagando por sus plataformas, pero desde un tamaño ya grande y con el reparto de ingresos negociable. Gordon con un WACC del 11,83 % implica ≈ 9 veces el EBITDA terminal, por debajo de lo que paga hoy el mercado (16,7 veces el EBITDA de los últimos doce meses) y de la mediana de los comparables (11,4 veces) [33]. El valor terminal pesa el 61 %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SA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375,46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463,08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(reinvierte el 22 %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 (histórico: 218,0 %)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 frente al 8,1 %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 (hoy: 20,9 %)</w:t>
            </w:r>
          </w:p>
        </w:tc>
      </w:tr>
    </w:tbl>
    <w:p>
      <w:pPr>
        <w:spacing w:after="160" w:before="0"/>
      </w:pPr>
    </w:p>
    <w:p>
      <w:pPr>
        <w:spacing w:after="100"/>
      </w:pPr>
      <w:r>
        <w:t xml:space="preserve">La proyección apenas necesita inversión neta de la amortización (reinversión acumulada de 994 M, el 5 % del NOPAT, con un capex bruto medio del 3,4 % de las ventas). En un negocio de activos ligeros, el crecimiento medio del 8,1 % tiene que salir de subir precios y de ganar volumen sin capital nuevo, y la prueba es el poder de precios y la cuota (22,5 % del mercado en 2032e, frente al 20,9 %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 9,5 % (seis primeros productos +14 % en el 1S26, proyectos más lentos) y 5,5 puntos por los cuatro meses más de Thiqah y la consolidación de Sahel [1, 6,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Proyectos adjudicados en el 2T26 (4.800 M en 3-5 años) y los contratos de Comercio y SASO; precio casi plano [10, 39, 40].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con la población residente y nuevos servicios de gobierno; algo de precio en proyectos [13,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servicios de TI al 6,9 % según IMARC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Madurez de las plataformas principales y presión de la IA sobre la externalización [17].</w:t>
            </w:r>
          </w:p>
        </w:tc>
      </w:tr>
    </w:tbl>
    <w:p>
      <w:pPr>
        <w:spacing w:after="160" w:before="0"/>
      </w:pPr>
    </w:p>
    <w:p>
      <w:pPr>
        <w:spacing w:after="100"/>
      </w:pPr>
      <w:r>
        <w:t xml:space="preserve">Sí. El crecimiento proyectado (6,9 % anual en 2027-2032e) es la mitad del orgánico reciente (≈ 13 % en 2025) y casi no necesita capital: es un negocio de plataformas con capex del 3,5 % de las ventas, y el ROIC (aun sumando los 3.121,8 M pagados de más por Thiqah, ≈ 40 %) lo financia con holgura. La prueba que cuenta es el poder de precios y la cuota: las tasas las fija el Estado, y la cuota de mercado pasaría del 20,9 % al 22,5 % de los servicios de TI saudíes en 2032e, una subida pequeña [14]. El foso es estrecho y estable: depende de que el Estado renueve los contratos.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15,4 % (base: 6,9 %)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 (base: 23,8 %)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 (WACC: 11,8 %)</w:t>
            </w:r>
          </w:p>
        </w:tc>
      </w:tr>
    </w:tbl>
    <w:p>
      <w:pPr>
        <w:spacing w:after="160" w:before="0"/>
      </w:pPr>
    </w:p>
    <w:p>
      <w:pPr>
        <w:spacing w:after="100"/>
      </w:pPr>
      <w:r>
        <w:t xml:space="preserve">El DCF da 389,53 SAR por acción, un 28,9 % menos que el precio, con un WACC del 11,83 % y un crecimiento terminal del 3 %; el valor terminal pesa el 61 %. El DCF inverso dice que el precio de 548,00 SAR descuenta un crecimiento del 15,4 % anual en 2027-2032e (nuestro base: 6,9 %) o un margen EBITDA terminal del 32,3 % (base: 23,8 %; máximo histórico, 25,6 % en 2024), o una rentabilidad implícita del 9,2 %, por debajo de nuestro WACC. Es exigente: el precio pide volver al crecimiento de 2023-2025 sin compras, cuando el orgánico ya es de un dígito alto. Con la prima implícita del mercado (4,2 %) el DCF sube a 454,45 SAR. La conclusión depende mucho del WACC: un negocio de tasas públicas recurrentes podría merecer menos prima, pero la dependencia de un solo cliente (el Estado) y de un solo país justifica la prima de país.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aprieta: un ministerio renueva con menos reparto o lleva una plataforma dentro, la IA vacía parte de la externalización y el déficit retrasa proyectos. El crecimiento baja 4 puntos cada año (≈ 5 % en 2027-2028e) y el margen EBITDA 3 puntos, hasta el 21 % [17, 21].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plataformas crecen con la población y los nuevos servicios, Thiqah llega a beneficio y los proyectos adjudicados en 2026 se ejecutan: ventas +9 % en 2027e y frenando al 4,5 %, margen del 24,5 % al 23,8 %.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organismos adoptan el modelo de plataformas con reparto de ingresos (Comercio y SASO son el inicio), los productos B2B crecen y la IA abarata el coste: 3 puntos más de crecimiento y 1,5 puntos más de margen, cerca del consenso [31, 39,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SAR) · precio actual 54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380,43 SAR (-30,6 %).</w:t>
      </w:r>
    </w:p>
    <w:p>
      <w:pPr>
        <w:spacing w:after="100"/>
      </w:pPr>
      <w:r>
        <w:t xml:space="preserve">La asimetría es negativa en valor intrínseco: incluso el alcista (471,69 SAR, -13,9 %) queda por debajo del precio, y el bajista (270,98 SAR, -50,6 %) recoge un Estado que aprieta el reparto y la IA en el BPO. Con probabilidades 25/50/25, el valor ponderado de los escenarios (380,43 SAR) es un 30,6 % inferior al precio, y el valor intrínseco de la síntesis, con los comparables, un 29,4 % (387,14 SAR).</w:t>
      </w:r>
    </w:p>
    <w:p>
      <w:pPr>
        <w:pStyle w:val="Heading1"/>
      </w:pPr>
      <w:r>
        <w:t xml:space="preserve">22. Suma de partes</w:t>
      </w:r>
    </w:p>
    <w:p>
      <w:pPr>
        <w:pStyle w:val="Confianza"/>
        <w:spacing w:after="100"/>
      </w:pPr>
      <w:r>
        <w:t xml:space="preserve">Confianza: Media</w:t>
      </w:r>
    </w:p>
    <w:p>
      <w:pPr>
        <w:spacing w:after="100"/>
      </w:pPr>
      <w:r>
        <w:t xml:space="preserve">No aplica: los tres segmentos (productos digitales, externalización y servicios profesionales) comparten clientes públicos, plataformas y contratos; Thiqah se integra en productos digitales y externalización y no publica cuentas separadas desde la compra [1, 11].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SAR) · precio actual 548,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550,74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387,14 SAR (-29,4 % sobre 548,00).</w:t>
      </w:r>
    </w:p>
    <w:p>
      <w:pPr>
        <w:spacing w:after="100"/>
      </w:pPr>
      <w:r>
        <w:t xml:space="preserve">Pesos: DCF 40 %, escenarios 40 % y comparables 20 %; transacciones sin peso (la única es la compra vinculada de Thiqah). Los comparables dan valores cercanos al DCF porque la mediana del grupo (PER de 12 veces) castiga a los contratistas públicos de EE. UU. y a los saudíes de proyectos, con menos margen. El puente parte del balance de junio de 2026: préstamo de SNB, arrendamientos e indemnizaciones por cese (625,9 M SAR) como deuda, caja y murabahas (3.906 M) y asociadas (287 M), y resta el dividendo del 1S26 pagado en agosto (389,9 M) [5, 42].</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(17.8x) × 1.1 (tope: la mediana de 5 años, 30.6x,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+82,4 %</w:t>
            </w:r>
          </w:p>
        </w:tc>
      </w:tr>
    </w:tbl>
    <w:p>
      <w:pPr>
        <w:spacing w:after="160" w:before="0"/>
      </w:pPr>
    </w:p>
    <w:p>
      <w:pPr>
        <w:spacing w:after="100"/>
      </w:pPr>
      <w:r>
        <w:rPr>
          <w:b/>
          <w:bCs/>
        </w:rPr>
        <w:t xml:space="preserve">Objetivo a 12 meses (ponderado):</w:t>
      </w:r>
      <w:r>
        <w:t xml:space="preserve"> 677,09 SAR · rentabilidad +25,3 % (base +20,5 %) · señal Mantener.</w:t>
      </w:r>
    </w:p>
    <w:p>
      <w:pPr>
        <w:spacing w:after="100"/>
      </w:pPr>
      <w:r>
        <w:t xml:space="preserve">Para comparar, con la regla v2 (historia al cierre, mismo precio): 15,1x / 17,8x / 23,1x, 13,5 % Mantener; con el tope anterior del base (×1,3, 14-oct mediodía): 46,5 %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(30,79) queda un 9 % por debajo del consenso (33,74) y el de 2028e (33,21), un 14 % por debajo (38,83) [31]. La diferencia es de crecimiento, no de margen: el consenso espera ventas de 14.203 M SAR en 2028e (+14 % anual desde 2025) y nosotros 12.873 M; el margen EBITDA es casi igual (24,7 % frente a 24,3 %). Bajamos el crecimiento porque el orgánico del 2T26 fue de ≈ 7 %, las adjudicaciones de proyectos se frenan con la priorización del gasto público y la IA amenaza el BPO [10, 43]. El objetivo medio (748,77 SAR) equivale a 22 veces el BPA de 2027e del consenso; la regla común parte del PER actual (17,8 veces) y solo lo deja subir un 10 %.</w:t>
      </w:r>
    </w:p>
    <w:p>
      <w:pPr>
        <w:keepNext/>
        <w:spacing w:after="100"/>
      </w:pPr>
      <w:r>
        <w:rPr>
          <w:b/>
          <w:bCs/>
        </w:rPr>
        <w:t xml:space="preserve">Del valor intrínseco al objetivo a 12 meses.</w:t>
      </w:r>
    </w:p>
    <w:p>
      <w:pPr>
        <w:spacing w:after="100"/>
      </w:pPr>
      <w:r>
        <w:t xml:space="preserve">El objetivo a 12 meses (ponderado 677,09 SAR, +25,3 % con el dividendo; base 650,92 SAR, +20,5 %) supera los umbrales de compra de la regla, pero el valor intrínseco (387,14 SAR) queda un 29,4 % por debajo del precio, y sin valor real por encima del precio no hay compra. El base sube porque el PER actual (17,8 veces nuestro BPA de 2027e) está muy por debajo de su mediana adelantada (30,6 veces, de los años de crecimiento del 25-30 %), y la regla le deja recuperar un 10 %. El alcista (990,00 SAR) es optimista: aplica 26,4 veces, el tope de la regla, a un BPA cercano al del consenso. La v2 de control da +13,5 % ponderada y +9,6 % en el base: no pasaría el umbral del base (12 %). Lectura: el múltiplo ya es bajo frente a su historia, pero la historia (cuatro años de un régimen de crecimiento que ya no existe) es poca prueba.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2-nov-2026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margen y, sobre todo, conversión de caja frente a la guía del 85-95 % [10, 37, 38]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dividendo del 2S26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sin el efecto de la consolidación de Thiqah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contratos de plataformas con reparto de ingresos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Ampliar el modelo de Comercio y SASO a más organismos [39, 40]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Thiqah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llega al 10-15 % de margen EBIT, sube el margen del grupo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Renovación de los grandes contratos con el Ministerio del Interior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menos reparto o de cambio de operador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 contratos con el Estado con menos reparto de ingresos, o plataformas que pasan a manos públicas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(escenario bajista frente al base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Diez años operando Absher, Muqeem y Tamm; el PIF como accionista y la integración técnica, cara de sustituir [16,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 tasas o de reparto al renovar; plataformas de SDAIA o de otras empresas del PIF que solapen las de Elm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que sustituye trabajo de externalización y desarrollo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Nuha, diez servicios de IA en producción y alianza con Humain; el BPO aporta solo el 13 % del margen bruto [1, 11,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BPO a la baja dos trimestres seguidos o contratos de centros de servicio no renovados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Priorización del gasto público y déficit: menos proyectos y cobro más lento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Macroeconómico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tasas de plataforma (seis primeros productos +14 % en el 1S26) no dependen del presupuesto; 4.800 M adjudicados en el 2T26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cobro por encima de 180 o flujo operativo anual por debajo del 85 % del beneficio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Thiqah no llega al margen del grupo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 1 M en el 2T26 tras perder 177 M en 2025 [10,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pérdidas de Thiqah en 2026-2027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vinculadas con el PIF en contra del minoritario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en junta y opinión de la comisión de auditoría [25, 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compra a una empresa del PIF a un múltiplo alto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geopolítico del Golfo (Irán) y del petróleo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en SAR por tasas recurrentes; caja neta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Ataques en el Golfo; el 1-mar-2026 la acción cayó un 9 % [30, 44]</w:t>
            </w:r>
          </w:p>
        </w:tc>
      </w:tr>
    </w:tbl>
    <w:p>
      <w:pPr>
        <w:spacing w:after="160" w:before="0"/>
      </w:pPr>
    </w:p>
    <w:p>
      <w:pPr>
        <w:pStyle w:val="Heading2"/>
      </w:pPr>
      <w:r>
        <w:t xml:space="preserve">Pre-mortem</w:t>
      </w:r>
    </w:p>
    <w:p>
      <w:pPr>
        <w:spacing w:after="100"/>
      </w:pPr>
      <w:r>
        <w:t xml:space="preserve">Octubre de 2029: Elm vale la mitad. Lo que pasó: con el petróleo bajo y el déficit, el Estado recortó proyectos y empezó a renegociar el reparto de ingresos de sus plataformas al renovar los contratos; el Ministerio de Comercio y SASO fueron la excepción, no la regla. SDAIA y Humain llevaron dentro servicios que antes operaba Elm, y la IA generativa redujo a la mitad los centros de servicio de la externalización. Thiqah nunca pasó del 5 % de margen. El crecimiento cayó al 3 % y el margen EBITDA al 20 %; el beneficio se estancó en 2.000 M SAR y el mercado, que ya pagaba 18 veces, pasó a pagar 13, como los contratistas públicos de EE. UU. La señal que nadie quiso leer: el flujo operativo del 35 % del beneficio en el 1S26 y la compra de Thiqah al PIF.</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−10 %</w:t>
      </w:r>
    </w:p>
    <w:p>
      <w:pPr>
        <w:spacing w:after="100"/>
      </w:pPr>
      <w:r>
        <w:t xml:space="preserve">La IA toca dos partes muy distintas de Elm. Amenaza: la externalización (2.558 M SAR, el 27 % de las ventas, aunque solo el 13 % del margen bruto) es en buena parte trabajo de centros de servicio y atención que los agentes de IA automatizan, y los proyectos y servicios profesionales venden horas de desarrollo que la IA abarata; además, el Estado puede montar servicios propios con SDAIA y Humain [1, 11]. Oportunidad: las plataformas de tasas (Absher, Muqeem, Tamm) no cobran por trabajo humano sino por trámite, y Elm tiene datos públicos únicos, su propio modelo en árabe (Nuha) y diez servicios de IA en producción [11, 17]. Neto, una amenaza moderada (≈ −10 % del valor en 3-5 años, dentro del bajista). Señal: ventas del BPO o contratos de centros de servicio a la baja.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ciberseguridad y la protección de datos de millones de ciudadanos y residentes (Absher, Yakeen, Nafath), la continuidad de servicios públicos críticos y la saudización del empleo, sobre todo en los centros de servicio [16, 21]. No hay calificaciones ESG públicas abiertas.</w:t>
      </w:r>
    </w:p>
    <w:p>
      <w:pPr>
        <w:pStyle w:val="Heading2"/>
      </w:pPr>
      <w:r>
        <w:t xml:space="preserve">Controversias</w:t>
      </w:r>
    </w:p>
    <w:p>
      <w:pPr>
        <w:spacing w:after="100"/>
      </w:pPr>
      <w:r>
        <w:t xml:space="preserve">No constan sanciones ni brechas de datos publicadas [21]. La controversia de gobierno es la compra de Thiqah al accionista de control con pérdidas y la rebaja posterior de sus activos netos [1,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con el Estado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vencen los contratos de Absher, Muqeem y Tamm y qué porcentaje de las tasas se queda Elm en cada uno?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central: el reparto lo fija el Estado.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flujo operativo del 1S26 fue el 35 % del beneficio y qué organismos pagan tarde?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pide un 85-95 % para el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crecieron las ventas sin Thiqah ni Sahel en el 1S26 y por segmento?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 9 %; el consenso más.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Thiqah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espera de Thiqah en 2027 y por qué se rebajaron 311 M sus activos netos tras la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Pagó 3.386 M SAR al PIF por una empresa con pérdidas.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BPO se puede automatizar y qué hará con los centros de servicio?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expuesto a la 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más compras previstas a empresas del PIF?</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con el accionista de control.</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3 explicados. Fuentes: 45 (26 primarias); citas distintas en el texto: 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7,9 %: explica la causa (créditos fiscales, regularizaciones, mezcla de países) y no lo proyectes en el DCF. Explicación: En Arabia Saudí las empresas de propiedad saudí pagan zakat (2,5 % sobre una base patrimonial) y no impuesto de sociedades; solo la parte de los accionistas extranjeros (9,37 %) paga un 20 % de impuesto. El 7,9 % de 2023 es el zakat de una base patrimonial grande frente al beneficio; no es un crédito fiscal [2, 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 explica la causa (créditos fiscales, regularizaciones, mezcla de países) y no lo proyectes en el DCF. Explicación: Mismo motivo: zakat en lugar de impuesto de sociedades (6,5 % del beneficio antes de zakat en 2024). El DCF proyecta un 6 %, en línea con 2023-2024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 explica la causa (créditos fiscales, regularizaciones, mezcla de países) y no lo proyectes en el DCF. Explicación: El 2,1 % de 2025 incluye la reversión de 69 M SAR de provisiones de zakat de años anteriores; sin ella sería ≈ 5,4 %, y la base de zakat bajó al cargar a reservas los 3.121,8 M pagados de más por Thiqah. No se proyecta: el DCF usa un 6 %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22,5 % en 2032e frente al 20,9 %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6,7 % real: genera una variación de circulante de 345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3T24-2T25 y orgánico por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intermedios 3T24, 1T25 y 2T25: escaneados, solo dan el trimestre del año anterior para los que sí se leyeron; 2) notas de prensa trimestrales: dan el semestre y el acumulado, no el trimestre de 2023-2024; 3) presentaciones: crecimiento del semestre sin Thiqah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Elm: no comparan con el consenso; 2) Argaam (análisis del 2T26 de seis casas): de pago; 3) MarketScreener: sin consenso trimestral histórico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IMARC y CST: sin cuotas de los cinco primeros; 2) informe anual de Elm: se declara líder sin cifra; 3) cálculo con los ingresos de Elm, Solutions, 2P y MIS: mezcla perímetros (telecomunicaciones, tasas de plataforma)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sostenibilidad: sin calificaciones externas citadas; 2) MSCI y Sustainalytics: sin ficha pública abierta para 7203; 3) prensa saudí: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remuneraciones: solo el total de los cinco primeros directivos (30,05 M SAR); 2) cumplimiento de gobierno: la empresa declara que no desglosa por cargo; 3) nota 34 de las cuentas: total del consejo y la alta dirección (49,8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juntas: resultados sin porcentajes de voto; 2) Tadawul, anuncios de resultados de juntas: no accesibles (403); 3) Argaam: sin porcentajes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(fecha de nombramiento de los consejeros)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biografías sin fecha de primer nombramiento; 2) comisión de auditoría: mandato del 25-nov-2024 al 24-nov-2028; 3) Tadawul: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 3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Elm: solo Thiqah (y Sahel Al Madar sin precio publicado); 2) operaciones de gobierno digital en el Golfo (Solutions by stc, Thiqah, Tabadul): sin múltiplos publicados; 3) operaciones de EE. UU. del sector (Tyler-NIC, Maximus-Attain): no se abrió la nota oficial con el EBITDA, y los de prensa no se usan sin comprobar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peso cero en la síntesis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recomendaciones (mantener/vender)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y número; 2) Argaam, análisis de seis casas: de pago; 3) Yahoo: media de 748,77 y «buy», sin reparto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Tadawul: no publica posiciones cortas por valor de forma abierta; 2) Yahoo: sin dato para 7203.SR; 3) Argaam: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Hawamer (foro saudí de referencia) y Reddit: 403 para lectura; 2) Stocktwits: el símbolo 7203.SR no existe (404) y TradingView solo tiene una entrada de 2024 sin opinión; 3) Simply Wall St (comunidad, 403) e Investing (comentarios,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31 December 2025 (BDO Dr. Mohamed Al-Amri &amp; Co.): cuenta, balance y flujos de 2025 y 2024, segmentos (nota 35), compra de Thiqah (nota 40), deuda (nota 29), vinculadas (nota 34), zakat (nota 33), dividendos (nota 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https://elm.sa/en/investor-relations/financial-information/FinancialStatements/ELM%20YE25%20FS-EN%20Version%20-%20Signed.pdf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for the year ended 31 December 2023 (BDO): cuenta, balance y flujos de 2023 y 2022, segmentos, acreedores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https://elm.sa/en/investor-relations/financial-information/FinancialStatements/Elm%20YE%2023%20Signed%20Financial%20Statements%20-%20EN.pdf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31 December 2022 (segmentos de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https://elm.sa/en/investor-relations/financial-information/FinancialStatements/ELM%20YE22%20FS-%20Final%20EN%20-%20Signed.pdf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year ended 31 December 2021 (cuenta, balance y flujos de 2021 y 2020; segmentos)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https://elm.sa/en/investor-relations/financial-information/FinancialStatements/2021%20Elm%20Consolidated%20FS%20-%20EN.pdf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three and six months ended 30 June 2026 (revisión limitada de BDO, 5-ago-2026): cuenta trimestral y semestral, balance a 30-jun-2026, flujos, compra de Sahel Al Madar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https://elm.sa/en/investor-relations/financial-information/FinancialStatements/ELM%20Q2%2026%20FS%20-EN%20-%20Signed%20Final.pdf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three months ended 31 March 2026 (ingresos de clientes privados y de organismos públicos)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https://elm.sa/en/investor-relations/financial-information/FinancialStatements/ELM%20Q1%2026%20FS%20-English-%20Signed.pdf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three and nine months ended 30 September 2025 (3T25 y 3T24; ingresos privados y públicos; reclasificaciones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https://elm.sa/en/investor-relations/financial-information/FinancialStatements/ELM%20Q3%2025%20FS%20-EN%20Signed.pdf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annual financial results 2025 (aportación de Thiqah: 1.088 M de ingresos y −69,7 M de resultado operativo; reversión de zakat de 69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https://elm.sa/en/investor-relations/financial-information/FinancialStatements/Earnings%20Release%20YE%202025%20-EN.pdf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Release H1 2026 (resultados del 1S26 por segmento)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https://elm.sa/en/investor-relations/financial-information/FinancialStatements/Press%20Release%20H1%202026%20-EN.pdf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Presentation (3-ago-2026): seis primeros productos, Thiqah, adjudicaciones de proyectos (4.800 M en el 2T26), días de cobro,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https://elm.sa/en/investor-relations/financial-information/FinancialStatements/Results%20presentation-H1-2026-EN.pdf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Presentation: seis primeros productos (4.457 M), Thiqah reexpresada (ventas 1.548 M, pérdida −177 M), IA,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https://elm.sa/en/investor-relations/financial-information/FinancialStatements/Results%20presentation%20%20-FY2025-EN.pdf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Dividends (política y dividendos de 2025; 4,5 SAR por el 2S25)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https://elm.sa/annualreport/2025/pdfs/en/Governance/Dividends.pdf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Market Overview (mercado TIC de Arabia Saudí ≈ 190.000 M USD en 2025, +5 %; presupuesto público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https://elm.sa/annualreport/2025/pdfs/en/Strategic%20Review/Market%20Overview.pdf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Saudi Arabia IT Services Market: 12.090 M USD en 2025, 22.066 M USD en 2034 (TCAC 6,91 %)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https://www.imarcgroup.com/saudi-arabia-it-services-market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CST reports SAR 180 bn tech market size at Riyadh Forum (mercado de comunicaciones y tecnología de 180.000 M SAR en 2024; TCAC del 7,5 % en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Sharikat 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https://en.sharikatmubasher.com/media-hub/news/21484890/CST-reports-SAR-180-bn-tech-market-size-at-Riyadh-Forum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Digital Business (plataformas Absher, Muqeem, Tamm, Nusuk, Yakeen; nuevos productos y servicios)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https://elm.sa/annualreport/2025/pdfs/en/Business%20Review/Digital%20Business.pdf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Research and AI (Nuha, LLM en árabe; IA en Absher, Nusuk y Qiyas)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https://elm.sa/annualreport/2025/pdfs/en/Strategic%20Review/Research%20and%20AI.pdf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Thiqah Acquisition Case Study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https://elm.sa/annualreport/2025/pdfs/en/Strategic%20Review/Thiqah.pdf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ingresos y margen operativo de los últimos doce meses de Solutions by stc (7202), Al Moammar (7200), Perfect Presentation (7204), Tyler Technologies, Booz Allen, Maximus e Infosys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https://finance.yahoo.com/quote/7202.SR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Shareholders’ Information (salida a bolsa el 16-feb-2022 a 128 SAR; PIF 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https://elm.sa/annualreport/2025/pdfs/en/Overview/Shareholders%20Information.pdf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Risk Management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https://elm.sa/annualreport/2025/pdfs/en/Strategic%20Review/Risk%20Management.pdf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Board of Directors (nueve consejeros: seis no ejecutivos y tres independientes; trayectorias)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https://elm.sa/annualreport/2025/pdfs/en/Governance/Board%20of%20Directors.pdf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Board Committees (comisión de auditoría de cinco miembros presidida por un externo)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https://elm.sa/annualreport/2025/pdfs/en/Governance/Board%20Committees.pdf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Compensation and Remuneration (consejo: 2,99 M SAR; cinco primeros directivos: 30,05 M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https://elm.sa/annualreport/2025/pdfs/en/Governance/Compensation%20and%20Remuneration.pdf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Competing Business and Related Party Transactions (Thiqah, Ministerio del Interior, SDAIA, Tawuniya, Mobily)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https://elm.sa/annualreport/2025/pdfs/en/Governance/Competing%20Business%20and%20Related%20Party%20Transactions.pdf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Share Ownership (acciones de consejeros y directivos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https://elm.sa/annualreport/2025/pdfs/en/Governance/Share%20Ownership.pdf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Shareholders (juntas del 17-mar y 11-may-2025; operaciones vinculadas aprobadas; nombramiento de BDO)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https://elm.sa/annualreport/2025/pdfs/en/Governance/Shareholders.pdf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Executive Management (consejero delegado Mohammad Alomair; VP de Finanzas Othman Altwaijri)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https://elm.sa/annualreport/2025/pdfs/en/Governance/Executive%20Management.pdf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Compliance with Corporate Governance Regulations (no detalla la remuneración individual de los cinco primeros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https://elm.sa/annualreport/2025/pdfs/en/Governance/Compliance%20with%20Corporate%20Governance.pdf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7203.SR, KSA (iShares MSCI Saudi Arabia, USD anclado al SAR) e IGV (software): precio, rango, rentabilidades, beta, volatilidad y cierres de ejercicio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https://finance.yahoo.com/quote/7203.SR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2026-2028 de Elm (ventas, EBITDA, EBIT, beneficio, BPA, dividendo, caja neta); 11 analistas, consenso «Outperform», objetivo medio de 748,77 SAR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https://www.marketscreener.com/quote/stock/ELM-COMPANY-133509697/finances/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Elm’s platform push meets market skepticism (seis de diez analistas en «Comprar»; UBS rebaja el objetivo el 16-oct manteniendo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https://www.marketscreener.com/news/elm-s-platform-push-meets-market-skepticism-ce7858d2de8cf125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capitalización, valor empresa, múltiplos y estimaciones de BPA y ventas de Elm y sus comparables,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https://finance.yahoo.com/quote/7203.SR/key-statistics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DGS10: bono del Tesoro de EE. UU. a 10 años (5,10 %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(Arabia Saudí: Aa3, diferencial soberano 0,51 %, prima de país 0,78 %)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en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SNB Capital issues Q3 2026 earnings estimates (Elm: 562 M SAR, +0,6 %)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https://www.argaam.com/en/article/articledetail/id/1942999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2026 earnings forecasts: Riyad Capital (Elm: 589 M SAR, +5 %)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https://www.argaam.com/en/article/articledetail/id/1943230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inks development, operation contract with SASO (cinco años, reparto de ingresos, ≈ 15 % de los ingresos de 2025 en total)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https://www.argaam.com/en/article/articledetail/id/1938360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subsidiary signs contract with Ministry of Commerce to digitize services (cinco años desde el 3-sep-2026, ≈ 19 % de los ingresos de 2025 en total)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https://www.argaam.com/en/article/articledetail/id/1934890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renews SAR 500M credit facility deal with Al Rajhi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https://www.argaam.com/en/article/articledetail/id/1941843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Elm’s board greenlights SAR 390m interim cash dividends for H1-26 (5 SAR por acción; derecho el 4-ago, pago desde el 16-ago-2026; 77,97 M de acciones con derecho)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Decypha (Mubasher)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https://www.decypha.com/en/news/details/Elm-s-board-greenlights-SAR-390m-interim-cash-dividends-for-H1-26/21565679?L=EN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Slower project awards weigh on growth, Thiqah turns profitable in Q2 (titular y entradilla; texto de pago)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https://www.argaam.com/en/article/articledetail/id/1925634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TASI falls 2.2% to 10,476 pts (primera sesión tras los ataques de EE. UU. e Israel contra Irán, 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Argaam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https://www.argaam.com/en/market-daily-report/3/56397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Elm Company (Tadawul:7203) analysts just trimmed their revenue forecasts (objetivo medio de 859 a 798 SAR, abril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https://simplywall.st/stocks/sa/software/sase-7203/elm-shares/news/elm-company-tadawul7203-analysts-just-trimmed-their-revenue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84,0 %</w:t>
      </w:r>
      <w:r>
        <w:t xml:space="preserve"> · Secciones con menos del 60 % de campos cubiertos: </w:t>
      </w:r>
      <w:r>
        <w:rPr>
          <w:b/>
          <w:bCs/>
        </w:rPr>
        <w:t xml:space="preserve">sentimiento, gobierno</w:t>
      </w:r>
      <w:r>
        <w:t xml:space="preserve"> · Generado el 19 oct 2026.</w:t>
      </w:r>
    </w:p>
    <w:p>
      <w:pPr>
        <w:pStyle w:val="Nota"/>
        <w:spacing w:after="100"/>
      </w:pPr>
      <w:r>
        <w:t xml:space="preserve">Cotiza solo en el mercado principal de Tadawul (7203), en SAR, de domingo a jueves; un inversor extranjero compra como inversor extranjero cualificado (QFI) o mediante swaps, y los extranjeros tienen el 9,37 % del capital [20]. Liquidez suficiente: ≈ 54 M SAR al día en tres meses [30]. Cuentas: sin XBRL accesible; las cuentas anuales auditadas (BDO desde 2023) y los intermedios revisados se descargaron de la web de inversores de Elm; algunas páginas (2024, 1T25, 2T25 y 3T24) son imágenes escaneadas y las de 2025 y del 2T26 tienen la fuente codificada, por lo que se leyeron como imágenes [1, 2, 3, 4, 5, 6, 7]. Cotiza desde el 16-feb-2022: la historia de múltiplos tiene cuatro años. Thiqah (comprada al PIF en abril de 2025) rompe la comparación de 2025 y 2026 con los años anteriores [1]. Índice: el TASI no tiene serie en Yahoo; las rentabilidades y la beta se miden contra el ETF iShares MSCI Saudi Arabia (KSA, en USD; el SAR está anclado a 3,75 por USD) y el sector contra el ETF de software de EE. UU. (IGV) [30]. Precio: cierre del 19-oct-2026 (548 SAR); la herramienta de movimiento aún leía 546 SAR, la última cotización antes de la subasta de cierre [30]. Sin foros ni redes con opiniones útiles: la sección de sentimiento no se imprime.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Elm Company (7203.SR)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548,00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(504,50 – 956,00)</c:v>
                </c:pt>
                <c:pt idx="1">
                  <c:v>Comparables: EV/EBITDA NTM (379,19 – 414,00)</c:v>
                </c:pt>
                <c:pt idx="2">
                  <c:v>Comparables: PER NTM (316,17 – 470,14)</c:v>
                </c:pt>
                <c:pt idx="3">
                  <c:v>DCF (WACC y g ± 0,5) (357,65 – 429,40)</c:v>
                </c:pt>
                <c:pt idx="4">
                  <c:v>Escenarios (bajista – alcista) (270,98 – 471,69)</c:v>
                </c:pt>
                <c:pt idx="5">
                  <c:v>DCF con la prima implícita del mercado (4,2 %)</c:v>
                </c:pt>
                <c:pt idx="6">
                  <c:v>Precio actual (548,00)</c:v>
                </c:pt>
              </c:strCache>
            </c:strRef>
          </c:cat>
          <c:val>
            <c:numRef>
              <c:f>Hoja1!$B$2:$B$8</c:f>
              <c:numCache>
                <c:formatCode>#,##0</c:formatCode>
                <c:ptCount val="7"/>
                <c:pt idx="0">
                  <c:v>504.5</c:v>
                </c:pt>
                <c:pt idx="1">
                  <c:v>379.19</c:v>
                </c:pt>
                <c:pt idx="2">
                  <c:v>316.17</c:v>
                </c:pt>
                <c:pt idx="3">
                  <c:v>357.65</c:v>
                </c:pt>
                <c:pt idx="4">
                  <c:v>270.98</c:v>
                </c:pt>
                <c:pt idx="5">
                  <c:v>426.91</c:v>
                </c:pt>
                <c:pt idx="6">
                  <c:v>545.26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(504,50 – 956,00)</c:v>
                </c:pt>
                <c:pt idx="1">
                  <c:v>Comparables: EV/EBITDA NTM (379,19 – 414,00)</c:v>
                </c:pt>
                <c:pt idx="2">
                  <c:v>Comparables: PER NTM (316,17 – 470,14)</c:v>
                </c:pt>
                <c:pt idx="3">
                  <c:v>DCF (WACC y g ± 0,5) (357,65 – 429,40)</c:v>
                </c:pt>
                <c:pt idx="4">
                  <c:v>Escenarios (bajista – alcista) (270,98 – 471,69)</c:v>
                </c:pt>
                <c:pt idx="5">
                  <c:v>DCF con la prima implícita del mercado (4,2 %)</c:v>
                </c:pt>
                <c:pt idx="6">
                  <c:v>Precio actual (548,00)</c:v>
                </c:pt>
              </c:strCache>
            </c:strRef>
          </c:cat>
          <c:val>
            <c:numRef>
              <c:f>Hoja1!$C$2:$C$8</c:f>
              <c:numCache>
                <c:formatCode>#,##0</c:formatCode>
                <c:ptCount val="7"/>
                <c:pt idx="0">
                  <c:v>451.5</c:v>
                </c:pt>
                <c:pt idx="1">
                  <c:v>34.81</c:v>
                </c:pt>
                <c:pt idx="2">
                  <c:v>153.96999999999997</c:v>
                </c:pt>
                <c:pt idx="3">
                  <c:v>71.75</c:v>
                </c:pt>
                <c:pt idx="4">
                  <c:v>200.70999999999998</c:v>
                </c:pt>
                <c:pt idx="5">
                  <c:v>59.02999999999997</c:v>
                </c:pt>
                <c:pt idx="6">
                  <c:v>5.480000000000018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(SAR, millones)</a:t>
            </a:r>
          </a:p>
        </c:rich>
      </c:tx>
      <c:overlay val="0"/>
    </c:title>
    <c:autoTitleDeleted val="0"/>
    <c:plotArea>
      <c:layout/>
      <c:barChart>
        <c:barDir val="col"/>
        <c:grouping val="stacked"/>
        <c:varyColors val="0"/>
        <c:ser>
          <c:idx val="0"/>
          <c:order val="0"/>
          <c:tx>
            <c:strRef>
              <c:f>Hoja1!$B$1</c:f>
              <c:strCache>
                <c:ptCount val="1"/>
                <c:pt idx="0">
                  <c:v>Negocio digital</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2102.37</c:v>
                </c:pt>
                <c:pt idx="1">
                  <c:v>3151.78</c:v>
                </c:pt>
                <c:pt idx="2">
                  <c:v>4254.97</c:v>
                </c:pt>
                <c:pt idx="3">
                  <c:v>5469.46</c:v>
                </c:pt>
                <c:pt idx="4">
                  <c:v>6724.58</c:v>
                </c:pt>
              </c:numCache>
            </c:numRef>
          </c:val>
        </c:ser>
        <c:ser>
          <c:idx val="1"/>
          <c:order val="1"/>
          <c:tx>
            <c:strRef>
              <c:f>Hoja1!$C$1</c:f>
              <c:strCache>
                <c:ptCount val="1"/>
                <c:pt idx="0">
                  <c:v>Externalización de procesos (BPO)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1635.18</c:v>
                </c:pt>
                <c:pt idx="1">
                  <c:v>1301.38</c:v>
                </c:pt>
                <c:pt idx="2">
                  <c:v>1478.99</c:v>
                </c:pt>
                <c:pt idx="3">
                  <c:v>1784.76</c:v>
                </c:pt>
                <c:pt idx="4">
                  <c:v>2557.94</c:v>
                </c:pt>
              </c:numCache>
            </c:numRef>
          </c:val>
        </c:ser>
        <c:ser>
          <c:idx val="2"/>
          <c:order val="2"/>
          <c:tx>
            <c:strRef>
              <c:f>Hoja1!$D$1</c:f>
              <c:strCache>
                <c:ptCount val="1"/>
                <c:pt idx="0">
                  <c:v>Servicios profesionales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90.1</c:v>
                </c:pt>
                <c:pt idx="1">
                  <c:v>152.94</c:v>
                </c:pt>
                <c:pt idx="2">
                  <c:v>164.4</c:v>
                </c:pt>
                <c:pt idx="3">
                  <c:v>152.57</c:v>
                </c:pt>
                <c:pt idx="4">
                  <c:v>182.36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Negocio digital</c:v>
                </c:pt>
                <c:pt idx="1">
                  <c:v>Externalización de procesos (BPO)</c:v>
                </c:pt>
                <c:pt idx="2">
                  <c:v>Servicios profesionales</c:v>
                </c:pt>
              </c:strCache>
            </c:strRef>
          </c:cat>
          <c:val>
            <c:numRef>
              <c:f>Hoja1!$B$2:$B$4</c:f>
              <c:numCache>
                <c:formatCode>General</c:formatCode>
                <c:ptCount val="3"/>
                <c:pt idx="0">
                  <c:v>71</c:v>
                </c:pt>
                <c:pt idx="1">
                  <c:v>27</c:v>
                </c:pt>
                <c:pt idx="2">
                  <c:v>1.9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Arabia Saudí</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SAR (servicios de TI, IMARC; 1 USD = 3,75 SAR))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45338</c:v>
                </c:pt>
                <c:pt idx="1">
                  <c:v>48471</c:v>
                </c:pt>
                <c:pt idx="2">
                  <c:v>51820</c:v>
                </c:pt>
                <c:pt idx="3">
                  <c:v>55402</c:v>
                </c:pt>
                <c:pt idx="4">
                  <c:v>59230</c:v>
                </c:pt>
                <c:pt idx="5">
                  <c:v>63323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Elm</c:v>
                </c:pt>
                <c:pt idx="1">
                  <c:v>Solutions by stc (Arabian Internet and Communications Services)</c:v>
                </c:pt>
                <c:pt idx="2">
                  <c:v>Perfect Presentation (2P)</c:v>
                </c:pt>
                <c:pt idx="3">
                  <c:v>Al Moammar Information Systems (MIS)</c:v>
                </c:pt>
                <c:pt idx="4">
                  <c:v>Tyler Technologies</c:v>
                </c:pt>
                <c:pt idx="5">
                  <c:v>Booz Allen Hamilton</c:v>
                </c:pt>
                <c:pt idx="6">
                  <c:v>Maximus</c:v>
                </c:pt>
              </c:strCache>
            </c:strRef>
          </c:cat>
          <c:val>
            <c:numRef>
              <c:f>Hoja1!$B$2:$B$8</c:f>
              <c:numCache>
                <c:formatCode>0.0"%"</c:formatCode>
                <c:ptCount val="7"/>
                <c:pt idx="0">
                  <c:v>21.4</c:v>
                </c:pt>
                <c:pt idx="1">
                  <c:v>15.6</c:v>
                </c:pt>
                <c:pt idx="2">
                  <c:v>15.9</c:v>
                </c:pt>
                <c:pt idx="3">
                  <c:v>8.8</c:v>
                </c:pt>
                <c:pt idx="4">
                  <c:v>14.7</c:v>
                </c:pt>
                <c:pt idx="5">
                  <c:v>10</c:v>
                </c:pt>
                <c:pt idx="6">
                  <c:v>12.6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(SAR,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3827.65</c:v>
                </c:pt>
                <c:pt idx="1">
                  <c:v>4606.1</c:v>
                </c:pt>
                <c:pt idx="2">
                  <c:v>5898.36</c:v>
                </c:pt>
                <c:pt idx="3">
                  <c:v>7406.79</c:v>
                </c:pt>
                <c:pt idx="4">
                  <c:v>9464.88</c:v>
                </c:pt>
                <c:pt idx="5">
                  <c:v>10885</c:v>
                </c:pt>
                <c:pt idx="6">
                  <c:v>11864</c:v>
                </c:pt>
                <c:pt idx="7">
                  <c:v>12873</c:v>
                </c:pt>
                <c:pt idx="8">
                  <c:v>13838</c:v>
                </c:pt>
                <c:pt idx="9">
                  <c:v>14738</c:v>
                </c:pt>
                <c:pt idx="10">
                  <c:v>15548</c:v>
                </c:pt>
                <c:pt idx="11">
                  <c:v>16248</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730.25</c:v>
                </c:pt>
                <c:pt idx="1">
                  <c:v>1092.44</c:v>
                </c:pt>
                <c:pt idx="2">
                  <c:v>1500.54</c:v>
                </c:pt>
                <c:pt idx="3">
                  <c:v>1899.29</c:v>
                </c:pt>
                <c:pt idx="4">
                  <c:v>2284.37</c:v>
                </c:pt>
                <c:pt idx="5">
                  <c:v>2667</c:v>
                </c:pt>
                <c:pt idx="6">
                  <c:v>2895</c:v>
                </c:pt>
                <c:pt idx="7">
                  <c:v>3128</c:v>
                </c:pt>
                <c:pt idx="8">
                  <c:v>3349</c:v>
                </c:pt>
                <c:pt idx="9">
                  <c:v>3537</c:v>
                </c:pt>
                <c:pt idx="10">
                  <c:v>3716</c:v>
                </c:pt>
                <c:pt idx="11">
                  <c:v>3867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31.2</c:v>
                </c:pt>
                <c:pt idx="1">
                  <c:v>40.9</c:v>
                </c:pt>
                <c:pt idx="2">
                  <c:v>39.9</c:v>
                </c:pt>
                <c:pt idx="3">
                  <c:v>40.9</c:v>
                </c:pt>
                <c:pt idx="4">
                  <c:v>38.9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19.1</c:v>
                </c:pt>
                <c:pt idx="1">
                  <c:v>23.7</c:v>
                </c:pt>
                <c:pt idx="2">
                  <c:v>25.4</c:v>
                </c:pt>
                <c:pt idx="3">
                  <c:v>25.6</c:v>
                </c:pt>
                <c:pt idx="4">
                  <c:v>24.1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16.1</c:v>
                </c:pt>
                <c:pt idx="1">
                  <c:v>21.1</c:v>
                </c:pt>
                <c:pt idx="2">
                  <c:v>22.9</c:v>
                </c:pt>
                <c:pt idx="3">
                  <c:v>23</c:v>
                </c:pt>
                <c:pt idx="4">
                  <c:v>21.4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14.8</c:v>
                </c:pt>
                <c:pt idx="1">
                  <c:v>20.2</c:v>
                </c:pt>
                <c:pt idx="2">
                  <c:v>23</c:v>
                </c:pt>
                <c:pt idx="3">
                  <c:v>24.7</c:v>
                </c:pt>
                <c:pt idx="4">
                  <c:v>22.1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35.4</c:v>
                </c:pt>
                <c:pt idx="5">
                  <c:v>31.9</c:v>
                </c:pt>
                <c:pt idx="6">
                  <c:v>31.7</c:v>
                </c:pt>
                <c:pt idx="7">
                  <c:v>12.5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158</c:v>
                </c:pt>
                <c:pt idx="1">
                  <c:v>116</c:v>
                </c:pt>
                <c:pt idx="2">
                  <c:v>144</c:v>
                </c:pt>
                <c:pt idx="3">
                  <c:v>143</c:v>
                </c:pt>
                <c:pt idx="4">
                  <c:v>139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150</c:v>
                </c:pt>
                <c:pt idx="1">
                  <c:v>202</c:v>
                </c:pt>
                <c:pt idx="2">
                  <c:v>236</c:v>
                </c:pt>
                <c:pt idx="3">
                  <c:v>157</c:v>
                </c:pt>
                <c:pt idx="4">
                  <c:v>173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(SAR,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444.0299999999999</c:v>
                </c:pt>
                <c:pt idx="1">
                  <c:v>1499.26</c:v>
                </c:pt>
                <c:pt idx="2">
                  <c:v>1283.86</c:v>
                </c:pt>
                <c:pt idx="3">
                  <c:v>1316.89</c:v>
                </c:pt>
                <c:pt idx="4">
                  <c:v>2248.63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566.89</c:v>
                </c:pt>
                <c:pt idx="1">
                  <c:v>930.19</c:v>
                </c:pt>
                <c:pt idx="2">
                  <c:v>1356.23</c:v>
                </c:pt>
                <c:pt idx="3">
                  <c:v>1826.87</c:v>
                </c:pt>
                <c:pt idx="4">
                  <c:v>2090.35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51.8</c:v>
                </c:pt>
                <c:pt idx="1">
                  <c:v>114.5</c:v>
                </c:pt>
                <c:pt idx="2">
                  <c:v>192.5</c:v>
                </c:pt>
                <c:pt idx="3">
                  <c:v>127.9</c:v>
                </c:pt>
                <c:pt idx="4">
                  <c:v>116.8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11.8</c:v>
                </c:pt>
                <c:pt idx="1">
                  <c:v>11.8</c:v>
                </c:pt>
                <c:pt idx="2">
                  <c:v>11.8</c:v>
                </c:pt>
                <c:pt idx="3">
                  <c:v>11.8</c:v>
                </c:pt>
                <c:pt idx="4">
                  <c:v>11.8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20.2</c:v>
                </c:pt>
                <c:pt idx="1">
                  <c:v>31.8</c:v>
                </c:pt>
                <c:pt idx="2">
                  <c:v>38.5</c:v>
                </c:pt>
                <c:pt idx="3">
                  <c:v>39.3</c:v>
                </c:pt>
                <c:pt idx="4">
                  <c:v>46.9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-2.43</c:v>
                </c:pt>
                <c:pt idx="1">
                  <c:v>-2.33</c:v>
                </c:pt>
                <c:pt idx="2">
                  <c:v>-2.14</c:v>
                </c:pt>
                <c:pt idx="3">
                  <c:v>-1.89</c:v>
                </c:pt>
                <c:pt idx="4">
                  <c:v>-0.84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(SAR,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2027</c:v>
                </c:pt>
                <c:pt idx="1">
                  <c:v>2028</c:v>
                </c:pt>
                <c:pt idx="2">
                  <c:v>2029</c:v>
                </c:pt>
                <c:pt idx="3">
                  <c:v>2030</c:v>
                </c:pt>
              </c:strCache>
            </c:strRef>
          </c:cat>
          <c:val>
            <c:numRef>
              <c:f>Hoja1!$B$2:$B$5</c:f>
              <c:numCache>
                <c:formatCode>#,##0</c:formatCode>
                <c:ptCount val="4"/>
                <c:pt idx="0">
                  <c:v>380</c:v>
                </c:pt>
                <c:pt idx="1">
                  <c:v>380</c:v>
                </c:pt>
                <c:pt idx="2">
                  <c:v>380</c:v>
                </c:pt>
                <c:pt idx="3">
                  <c:v>380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(SAR,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0.15</c:v>
                </c:pt>
                <c:pt idx="1">
                  <c:v>0</c:v>
                </c:pt>
                <c:pt idx="2">
                  <c:v>0</c:v>
                </c:pt>
                <c:pt idx="3">
                  <c:v>4.53</c:v>
                </c:pt>
                <c:pt idx="4">
                  <c:v>3160.67</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388</c:v>
                </c:pt>
                <c:pt idx="2">
                  <c:v>466.18</c:v>
                </c:pt>
                <c:pt idx="3">
                  <c:v>582.73</c:v>
                </c:pt>
                <c:pt idx="4">
                  <c:v>661.21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307.2</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6</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Public Investment Fund (PIF)</c:v>
                </c:pt>
                <c:pt idx="1">
                  <c:v>Autocartera (plan de acciones de empleados)</c:v>
                </c:pt>
                <c:pt idx="2">
                  <c:v>Inversores extranjeros</c:v>
                </c:pt>
              </c:strCache>
            </c:strRef>
          </c:cat>
          <c:val>
            <c:numRef>
              <c:f>Hoja1!$B$2:$B$4</c:f>
              <c:numCache>
                <c:formatCode>0.0"%"</c:formatCode>
                <c:ptCount val="3"/>
                <c:pt idx="0">
                  <c:v>67</c:v>
                </c:pt>
                <c:pt idx="1">
                  <c:v>2.67</c:v>
                </c:pt>
                <c:pt idx="2">
                  <c:v>9.37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148.3</c:v>
                </c:pt>
                <c:pt idx="1">
                  <c:v>37.9</c:v>
                </c:pt>
                <c:pt idx="2">
                  <c:v>-32.3</c:v>
                </c:pt>
              </c:numCache>
            </c:numRef>
          </c:val>
        </c:ser>
        <c:ser>
          <c:idx val="1"/>
          <c:order val="1"/>
          <c:tx>
            <c:strRef>
              <c:f>Hoja1!$C$1</c:f>
              <c:strCache>
                <c:ptCount val="1"/>
                <c:pt idx="0">
                  <c:v>Índice</c:v>
                </c:pt>
              </c:strCache>
            </c:strRef>
          </c:tx>
          <c:spPr>
            <a:solidFill>
              <a:srgbClr val="EB6834"/>
            </a:solidFill>
            <a:ln w="9525">
              <a:noFill/>
            </a:ln>
          </c:spPr>
          <c:invertIfNegative val="0"/>
          <c:cat>
            <c:strRef>
              <c:f>Hoja1!$A$2:$A$4</c:f>
              <c:strCache>
                <c:ptCount val="3"/>
                <c:pt idx="0">
                  <c:v>2023</c:v>
                </c:pt>
                <c:pt idx="1">
                  <c:v>2024</c:v>
                </c:pt>
                <c:pt idx="2">
                  <c:v>2025</c:v>
                </c:pt>
              </c:strCache>
            </c:strRef>
          </c:cat>
          <c:val>
            <c:numRef>
              <c:f>Hoja1!$C$2:$C$4</c:f>
              <c:numCache>
                <c:formatCode>0"%"</c:formatCode>
                <c:ptCount val="3"/>
                <c:pt idx="0">
                  <c:v>15</c:v>
                </c:pt>
                <c:pt idx="1">
                  <c:v>-0.2</c:v>
                </c:pt>
                <c:pt idx="2">
                  <c:v>-8.2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22</c:v>
                </c:pt>
                <c:pt idx="2">
                  <c:v>41.3</c:v>
                </c:pt>
                <c:pt idx="3">
                  <c:v>43.9</c:v>
                </c:pt>
                <c:pt idx="4">
                  <c:v>24.7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33</c:v>
                </c:pt>
                <c:pt idx="1">
                  <c:v>33</c:v>
                </c:pt>
                <c:pt idx="2">
                  <c:v>33</c:v>
                </c:pt>
                <c:pt idx="3">
                  <c:v>33</c:v>
                </c:pt>
                <c:pt idx="4">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Elm</c:v>
                </c:pt>
                <c:pt idx="1">
                  <c:v>Solutions by stc</c:v>
                </c:pt>
                <c:pt idx="2">
                  <c:v>Perfect Presentation (2P)</c:v>
                </c:pt>
                <c:pt idx="3">
                  <c:v>Tyler Technologies</c:v>
                </c:pt>
                <c:pt idx="4">
                  <c:v>Booz Allen Hamilton</c:v>
                </c:pt>
                <c:pt idx="5">
                  <c:v>Maximus</c:v>
                </c:pt>
                <c:pt idx="6">
                  <c:v>Infosys (ADR)</c:v>
                </c:pt>
              </c:strCache>
            </c:strRef>
          </c:cat>
          <c:val>
            <c:numRef>
              <c:f>Hoja1!$B$2:$B$8</c:f>
              <c:numCache>
                <c:formatCode>0.0"x"</c:formatCode>
                <c:ptCount val="7"/>
                <c:pt idx="0">
                  <c:v>13.9</c:v>
                </c:pt>
                <c:pt idx="1">
                  <c:v>10.4</c:v>
                </c:pt>
                <c:pt idx="2">
                  <c:v>9.9</c:v>
                </c:pt>
                <c:pt idx="3">
                  <c:v>29.3</c:v>
                </c:pt>
                <c:pt idx="4">
                  <c:v>9.5</c:v>
                </c:pt>
                <c:pt idx="5">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Elm</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14.5</c:v>
                </c:pt>
              </c:numCache>
            </c:numRef>
          </c:xVal>
          <c:yVal>
            <c:numRef>
              <c:f>Hoja1!$C$2</c:f>
              <c:numCache>
                <c:formatCode>0.0"x"</c:formatCode>
                <c:ptCount val="1"/>
                <c:pt idx="0">
                  <c:v>13.9</c:v>
                </c:pt>
              </c:numCache>
            </c:numRef>
          </c:yVal>
          <c:smooth val="0"/>
        </c:ser>
        <c:ser>
          <c:idx val="1"/>
          <c:order val="1"/>
          <c:tx>
            <c:strRef>
              <c:f>Hoja1!$A$3</c:f>
              <c:strCache>
                <c:ptCount val="1"/>
                <c:pt idx="0">
                  <c:v>Solutions by stc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10.5</c:v>
                </c:pt>
              </c:numCache>
            </c:numRef>
          </c:xVal>
          <c:yVal>
            <c:numRef>
              <c:f>Hoja1!$C$3</c:f>
              <c:numCache>
                <c:formatCode>0.0"x"</c:formatCode>
                <c:ptCount val="1"/>
                <c:pt idx="0">
                  <c:v>10.4</c:v>
                </c:pt>
              </c:numCache>
            </c:numRef>
          </c:yVal>
          <c:smooth val="0"/>
        </c:ser>
        <c:ser>
          <c:idx val="2"/>
          <c:order val="2"/>
          <c:tx>
            <c:strRef>
              <c:f>Hoja1!$A$4</c:f>
              <c:strCache>
                <c:ptCount val="1"/>
                <c:pt idx="0">
                  <c:v>Perfect Presentation (2P)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14.3</c:v>
                </c:pt>
              </c:numCache>
            </c:numRef>
          </c:xVal>
          <c:yVal>
            <c:numRef>
              <c:f>Hoja1!$C$4</c:f>
              <c:numCache>
                <c:formatCode>0.0"x"</c:formatCode>
                <c:ptCount val="1"/>
                <c:pt idx="0">
                  <c:v>9.9</c:v>
                </c:pt>
              </c:numCache>
            </c:numRef>
          </c:yVal>
          <c:smooth val="0"/>
        </c:ser>
        <c:ser>
          <c:idx val="3"/>
          <c:order val="3"/>
          <c:tx>
            <c:strRef>
              <c:f>Hoja1!$A$5</c:f>
              <c:strCache>
                <c:ptCount val="1"/>
                <c:pt idx="0">
                  <c:v>Tyler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13.5</c:v>
                </c:pt>
              </c:numCache>
            </c:numRef>
          </c:xVal>
          <c:yVal>
            <c:numRef>
              <c:f>Hoja1!$C$5</c:f>
              <c:numCache>
                <c:formatCode>0.0"x"</c:formatCode>
                <c:ptCount val="1"/>
                <c:pt idx="0">
                  <c:v>29.3</c:v>
                </c:pt>
              </c:numCache>
            </c:numRef>
          </c:yVal>
          <c:smooth val="0"/>
        </c:ser>
        <c:ser>
          <c:idx val="4"/>
          <c:order val="4"/>
          <c:tx>
            <c:strRef>
              <c:f>Hoja1!$A$6</c:f>
              <c:strCache>
                <c:ptCount val="1"/>
                <c:pt idx="0">
                  <c:v>Booz Allen Hamilton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4.9</c:v>
                </c:pt>
              </c:numCache>
            </c:numRef>
          </c:xVal>
          <c:yVal>
            <c:numRef>
              <c:f>Hoja1!$C$6</c:f>
              <c:numCache>
                <c:formatCode>0.0"x"</c:formatCode>
                <c:ptCount val="1"/>
                <c:pt idx="0">
                  <c:v>9.5</c:v>
                </c:pt>
              </c:numCache>
            </c:numRef>
          </c:yVal>
          <c:smooth val="0"/>
        </c:ser>
        <c:ser>
          <c:idx val="5"/>
          <c:order val="5"/>
          <c:tx>
            <c:strRef>
              <c:f>Hoja1!$A$7</c:f>
              <c:strCache>
                <c:ptCount val="1"/>
                <c:pt idx="0">
                  <c:v>Maximus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2.3</c:v>
                </c:pt>
              </c:numCache>
            </c:numRef>
          </c:xVal>
          <c:yVal>
            <c:numRef>
              <c:f>Hoja1!$C$7</c:f>
              <c:numCache>
                <c:formatCode>0.0"x"</c:formatCode>
                <c:ptCount val="1"/>
                <c:pt idx="0">
                  <c:v>6.9</c:v>
                </c:pt>
              </c:numCache>
            </c:numRef>
          </c:yVal>
          <c:smooth val="0"/>
        </c:ser>
        <c:axId val="10"/>
        <c:axId val="20"/>
      </c:scatterChart>
      <c:valAx>
        <c:axId val="10"/>
        <c:scaling>
          <c:orientation val="minMax"/>
          <c:max val="1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(SAR,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1801</c:v>
                </c:pt>
                <c:pt idx="1">
                  <c:v>2241</c:v>
                </c:pt>
                <c:pt idx="2">
                  <c:v>2437</c:v>
                </c:pt>
                <c:pt idx="3">
                  <c:v>2617</c:v>
                </c:pt>
                <c:pt idx="4">
                  <c:v>2786</c:v>
                </c:pt>
                <c:pt idx="5">
                  <c:v>2937</c:v>
                </c:pt>
                <c:pt idx="6">
                  <c:v>3067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(SAR,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11572</c:v>
                </c:pt>
                <c:pt idx="1">
                  <c:v>17886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(SAR) · precio actual 548,00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270.98</c:v>
                </c:pt>
                <c:pt idx="1">
                  <c:v>389.53</c:v>
                </c:pt>
                <c:pt idx="2">
                  <c:v>471.69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(SAR) · precio actual 548,00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(504,50 – 956,00)</c:v>
                </c:pt>
                <c:pt idx="1">
                  <c:v>Comparables: EV/EBITDA NTM (379,19 – 414,00)</c:v>
                </c:pt>
                <c:pt idx="2">
                  <c:v>Comparables: PER NTM (316,17 – 470,14)</c:v>
                </c:pt>
                <c:pt idx="3">
                  <c:v>DCF (WACC y g ± 0,5) (357,65 – 429,40)</c:v>
                </c:pt>
                <c:pt idx="4">
                  <c:v>Escenarios (bajista – alcista) (270,98 – 471,69)</c:v>
                </c:pt>
                <c:pt idx="5">
                  <c:v>DCF con la prima implícita del mercado (4,2 %)</c:v>
                </c:pt>
                <c:pt idx="6">
                  <c:v>Precio actual (548,00)</c:v>
                </c:pt>
              </c:strCache>
            </c:strRef>
          </c:cat>
          <c:val>
            <c:numRef>
              <c:f>Hoja1!$B$2:$B$8</c:f>
              <c:numCache>
                <c:formatCode>#,##0</c:formatCode>
                <c:ptCount val="7"/>
                <c:pt idx="0">
                  <c:v>504.5</c:v>
                </c:pt>
                <c:pt idx="1">
                  <c:v>379.19</c:v>
                </c:pt>
                <c:pt idx="2">
                  <c:v>316.17</c:v>
                </c:pt>
                <c:pt idx="3">
                  <c:v>357.65</c:v>
                </c:pt>
                <c:pt idx="4">
                  <c:v>270.98</c:v>
                </c:pt>
                <c:pt idx="5">
                  <c:v>426.91</c:v>
                </c:pt>
                <c:pt idx="6">
                  <c:v>545.26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(504,50 – 956,00)</c:v>
                </c:pt>
                <c:pt idx="1">
                  <c:v>Comparables: EV/EBITDA NTM (379,19 – 414,00)</c:v>
                </c:pt>
                <c:pt idx="2">
                  <c:v>Comparables: PER NTM (316,17 – 470,14)</c:v>
                </c:pt>
                <c:pt idx="3">
                  <c:v>DCF (WACC y g ± 0,5) (357,65 – 429,40)</c:v>
                </c:pt>
                <c:pt idx="4">
                  <c:v>Escenarios (bajista – alcista) (270,98 – 471,69)</c:v>
                </c:pt>
                <c:pt idx="5">
                  <c:v>DCF con la prima implícita del mercado (4,2 %)</c:v>
                </c:pt>
                <c:pt idx="6">
                  <c:v>Precio actual (548,00)</c:v>
                </c:pt>
              </c:strCache>
            </c:strRef>
          </c:cat>
          <c:val>
            <c:numRef>
              <c:f>Hoja1!$C$2:$C$8</c:f>
              <c:numCache>
                <c:formatCode>#,##0</c:formatCode>
                <c:ptCount val="7"/>
                <c:pt idx="0">
                  <c:v>451.5</c:v>
                </c:pt>
                <c:pt idx="1">
                  <c:v>34.81</c:v>
                </c:pt>
                <c:pt idx="2">
                  <c:v>153.96999999999997</c:v>
                </c:pt>
                <c:pt idx="3">
                  <c:v>71.75</c:v>
                </c:pt>
                <c:pt idx="4">
                  <c:v>200.70999999999998</c:v>
                </c:pt>
                <c:pt idx="5">
                  <c:v>59.02999999999997</c:v>
                </c:pt>
                <c:pt idx="6">
                  <c:v>5.480000000000018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