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McKesson Corporation</w:t>
      </w:r>
    </w:p>
    <w:p>
      <w:pPr>
        <w:spacing w:after="60"/>
        <w:rPr>
          <w:color w:val="52514E"/>
          <w:sz w:val="22"/>
          <w:szCs w:val="22"/>
        </w:rPr>
      </w:pPr>
      <w:r>
        <w:rPr>
          <w:color w:val="52514E"/>
          <w:sz w:val="22"/>
          <w:szCs w:val="22"/>
        </w:rPr>
        <w:t xml:space="preserve">MCK · Bolsa de Nueva York (NYSE) · ISIN US58155Q1031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1.004,84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903,59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-9,8 % (base -0,4 %)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860,55 USD · mercado 990,80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117.868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McKesson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MCK / US58155Q1031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Distribuidores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Irving (Texas) · 1833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https://www.mckesson.com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1.004,84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723,68 – 1.014,99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117.868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129.842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793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903,59 USD</w:t>
      </w:r>
      <w:r>
        <w:t xml:space="preserve"> frente a 1.004,84 · Rentabilidad a 12 meses </w:t>
      </w:r>
      <w:r>
        <w:rPr>
          <w:b/>
          <w:bCs/>
        </w:rPr>
        <w:t xml:space="preserve">-9,8 % (base -0,4 %)</w:t>
      </w:r>
      <w:r>
        <w:t xml:space="preserve"> · Valor intrínseco 860,55 USD · con la prima implícita del mercado: 990,80 (-1,4 %) · Alcista / bajista +0,5 % / -39,1 %</w:t>
      </w:r>
    </w:p>
    <w:p>
      <w:pPr>
        <w:spacing w:after="100"/>
      </w:pPr>
      <w:r>
        <w:rPr>
          <w:b/>
        </w:rPr>
        <w:t xml:space="preserve">La recomendación y por qué.</w:t>
      </w:r>
      <w:r>
        <w:t xml:space="preserve"> Mantener, con convicción baja y en el filo de Vender. El objetivo a 12 meses es de 903,59 USD (nuestro BPA ajustado de FY2029e × el PER de la regla común), un −9,8 % de rentabilidad ponderada con el dividendo y un −0,4 % en el caso base, frente a un precio de 1.004,84 USD (cierre del 16-oct-2026). El valor intrínseco (860,55 USD) queda un 14,4 % por debajo del precio y el objetivo medio de los analistas (1.001,43) está en el precio. La razón principal: McKesson es el mejor negocio del oligopolio de distribución farmacéutica de EE. UU., pero cotiza a 20,3 veces el BPA ajustado del próximo ejercicio, por encima de su mediana de cinco años (16,2) y en máximos históricos, y el precio ya está en nuestro escenario alcista. La convicción es baja porque las reglas discrepan (Vender con nuestro WACC, Mantener con la prima del mercado); compraríamos por debajo de 788,58 USD.</w:t>
      </w:r>
    </w:p>
    <w:p>
      <w:pPr>
        <w:spacing w:after="100"/>
      </w:pPr>
      <w:r>
        <w:rPr>
          <w:b/>
        </w:rPr>
        <w:t xml:space="preserve">El negocio.</w:t>
      </w:r>
      <w:r>
        <w:t xml:space="preserve"> Primer distribuidor farmacéutico de EE. UU. (≈ 39 % del volumen de los tres grandes [20]), con 403.430 M USD de ventas, un margen operativo ajustado del 1,5 % y circulante negativo. Suma oncología y retina (Florida Cancer Specialists, US Oncology Network, PRISM), software de acceso a medicamentos (CoverMyMeds) y material médico (Medical-Surgical, que se separará como Wellverse) [1, 2]. El ROIC exigente (sin el circulante negativo) es del 27,9 %, ≈ 19 puntos sobre el WACC: calidad «Sí». La sostenibilidad del crecimiento es «Sí»: proyectamos un 5,0 % anual, la mitad del histórico, sin necesidad de capital. CVS, el 24 % de las ventas, ha renovado hasta 2032 [23].</w:t>
      </w:r>
    </w:p>
    <w:p>
      <w:pPr>
        <w:spacing w:after="100"/>
      </w:pPr>
      <w:r>
        <w:rPr>
          <w:b/>
        </w:rPr>
        <w:t xml:space="preserve">Finanzas.</w:t>
      </w:r>
      <w:r>
        <w:t xml:space="preserve"> El BPA ajustado creció un 17,8 % anual de FY2021 a FY2026 (de 17,21 a 39,11 USD) con ventas al 11,1 % y recompras que bajaron las acciones de 161 M a 124 M [2, 9]. En el 1T27 el BPA ajustado sube un 20 % y la guía de FY2027 es de 44,20-45,00 USD [3]. La deuda financiera (9.729 M) menos la caja (5.164) deja 4.565 M de deuda neta, 0,7 veces el EBITDA; con los opioides después de impuestos (4.470 M) sigue siendo baja [4]. El flujo libre fue de 5.410 M USD en FY2026.</w:t>
      </w:r>
    </w:p>
    <w:p>
      <w:pPr>
        <w:spacing w:after="100"/>
      </w:pPr>
      <w:r>
        <w:rPr>
          <w:b/>
        </w:rPr>
        <w:t xml:space="preserve">Equipo y gobierno.</w:t>
      </w:r>
      <w:r>
        <w:t xml:space="preserve"> Brian Tyler, consejero delegado desde 2019 y presidente desde mayo de 2026, ha cumplido o superado la guía de BPA cada año desde FY2020 y ha deshecho la diversificación de la década pasada [2]. Debilidades: concentración de poder en una persona, un director financiero nuevo (Kenny Cheung, de Sysco) y ventas de directivos por 28,3 M USD en 12 meses sin ninguna compra [27, 29].</w:t>
      </w:r>
    </w:p>
    <w:p>
      <w:pPr>
        <w:spacing w:after="100"/>
      </w:pPr>
      <w:r>
        <w:rPr>
          <w:b/>
        </w:rPr>
        <w:t xml:space="preserve">Valoración.</w:t>
      </w:r>
      <w:r>
        <w:t xml:space="preserve"> El DCF da 901,71 USD (−10,3 %) y el DCF inverso descuenta un 6,4 % de crecimiento anual frente al 5,0 % de nuestro base. Con la prima del mercado (4,2 %) el DCF sube a 1.060,52 USD: la diferencia es la tasa. La regla a 12 meses lleva el PER de 20,3 a 18,5 veces; con la regla v2 de control (historia al cierre, mediana de 19,6) la ponderada mejora pero sigue sin llegar al 15 %.</w:t>
      </w:r>
    </w:p>
    <w:p>
      <w:pPr>
        <w:spacing w:after="100"/>
      </w:pPr>
      <w:r>
        <w:rPr>
          <w:b/>
        </w:rPr>
        <w:t xml:space="preserve">Riesgos y catalizadores.</w:t>
      </w:r>
      <w:r>
        <w:t xml:space="preserve"> El mayor riesgo es el múltiplo: volver a la mediana (16 veces) costaría un 20 %. Después, la política de precios de los medicamentos (nación más favorecida, venta directa, regla de comisiones de la CMS), los reembolsos de la oncología y la ciberseguridad (incidente de agosto de 2026). El riesgo de la IA es medio y mixto (±3 %): no toca la logística y sí la parte de software de autorizaciones previas. Catalizador: resultados del 2T27 el 4-nov-2026. Sentimiento positivo y mejorando, en línea con los analistas.</w:t>
      </w:r>
    </w:p>
    <w:p>
      <w:pPr>
        <w:spacing w:after="100"/>
      </w:pPr>
      <w:r>
        <w:rPr>
          <w:b/>
        </w:rPr>
        <w:t xml:space="preserve">Qué cambiaría la decisión.</w:t>
      </w:r>
      <w:r>
        <w:t xml:space="preserve"> Comprar por debajo de 788,58 USD; vender por encima de 1.007,63 (a un 0,3 % del cierre usado). Una guía de FY2028 por encima de 53 USD sin recompras o un recorte del precio por debajo de 800 USD cambiarían la recomendación a mejor; un margen de North American Pharmaceutical por debajo del 1,0 % o cargos por las comisiones de servicio, a peor.</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903,59 USD</w:t>
      </w:r>
      <w:r>
        <w:t xml:space="preserve"> (rentabilidad -9,8 % (base -0,4 %)) · Valor intrínseco: 860,55 USD (-14,4 % sobre 1.004,84) · con la prima implícita del mercado: 990,80 (-1,4 %)</w:t>
      </w:r>
    </w:p>
    <w:p>
      <w:pPr>
        <w:spacing w:after="100"/>
      </w:pPr>
      <w:r>
        <w:t xml:space="preserve">McKesson distribuye uno de cada tres medicamentos con receta de EE. UU. dentro de un oligopolio de tres que no ha cambiado en dos décadas. Gana un 1,5 % de margen operativo ajustado sobre 403.430 M USD con circulante negativo: crecer genera caja, y el capital invertido real (18.063 M) rinde un 28 % después de impuestos. Desde 2019 ha vendido lo que no encajaba (Europa, Change Healthcare, Rexall) y ha comprado oncología, retina y software de acceso, que dejan más margen [1, 2].</w:t>
      </w:r>
    </w:p>
    <w:p>
      <w:pPr>
        <w:spacing w:after="100"/>
      </w:pPr>
      <w:r>
        <w:t xml:space="preserve">El precio descuenta más que nuestro caso base: un 6,4 % de crecimiento anual frente a nuestro 5,0 %, según el DCF inverso, y cotiza a 20,3 veces el BPA ajustado del próximo ejercicio, por encima de la mediana de cinco años (16,2) y de la media de ocho (12,7). En cinco años el múltiplo se ha más que duplicado (8,2 veces en marzo de 2021).</w:t>
      </w:r>
    </w:p>
    <w:p>
      <w:pPr>
        <w:spacing w:after="100"/>
      </w:pPr>
      <w:r>
        <w:t xml:space="preserve">El mercado acierta al pagar más por un negocio con menos riesgo de opioides, mejor mezcla y CVS renovado hasta 2032, pero no deja margen de error: con la regla común, el base apenas da el dividendo y el ponderado pierde un 10 %. Para invertir hay que creer que el PER se queda en 20 veces durante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47,74 = 563,33 · 18,5x × 53,90 = 997,15 · 18,5x × 57,12 = 1.056,72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 -0,4 %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1.001,43 (nuestro base -0,4 %)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860,55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 / -39,1 %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8,4 %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990,80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788,58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788,58 y 1.007,63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1.007,63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788,58 USD: Comprar (ponderada ≥ 15 % y valor intrínseco por encima).</w:t>
      </w:r>
    </w:p>
    <w:p>
      <w:pPr>
        <w:pStyle w:val="ListParagraph"/>
        <w:numPr>
          <w:ilvl w:val="0"/>
          <w:numId w:val="2"/>
        </w:numPr>
        <w:spacing w:after="60"/>
      </w:pPr>
      <w:r>
        <w:t xml:space="preserve">Precio por encima de 1.007,63 USD: Vender (ponderada ≤ −10 %).</w:t>
      </w:r>
    </w:p>
    <w:p>
      <w:pPr>
        <w:pStyle w:val="ListParagraph"/>
        <w:numPr>
          <w:ilvl w:val="0"/>
          <w:numId w:val="2"/>
        </w:numPr>
        <w:spacing w:after="60"/>
      </w:pPr>
      <w:r>
        <w:t xml:space="preserve">Guía de BPA ajustado de FY2028 (mayo de 2027) por encima de 53 USD sin recompras: revisar al alza.</w:t>
      </w:r>
    </w:p>
    <w:p>
      <w:pPr>
        <w:pStyle w:val="ListParagraph"/>
        <w:numPr>
          <w:ilvl w:val="0"/>
          <w:numId w:val="2"/>
        </w:numPr>
        <w:spacing w:after="60"/>
      </w:pPr>
      <w:r>
        <w:t xml:space="preserve">Margen operativo ajustado de North American Pharmaceutical por debajo del 1,0 % en dos trimestres: pasar a Vender.</w:t>
      </w:r>
    </w:p>
    <w:p>
      <w:pPr>
        <w:pStyle w:val="ListParagraph"/>
        <w:numPr>
          <w:ilvl w:val="0"/>
          <w:numId w:val="2"/>
        </w:numPr>
        <w:spacing w:after="60"/>
      </w:pPr>
      <w:r>
        <w:t xml:space="preserve">Recorte de las comisiones de servicio por la regla de la CMS o por acuerdos de nación más favorecida: pasar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crece un 13-16 % al año durante años (oncología, servicios a laboratorios, recompras) y que el PER de ≈ 20 veces es el nuevo normal; los analistas esperan ≈ 1.000 USD, el precio de hoy.</w:t>
      </w:r>
    </w:p>
    <w:p>
      <w:pPr>
        <w:keepNext/>
        <w:spacing w:after="100"/>
      </w:pPr>
      <w:r>
        <w:rPr>
          <w:b/>
          <w:bCs/>
        </w:rPr>
        <w:t xml:space="preserve">Lo que creemos nosotros.</w:t>
      </w:r>
    </w:p>
    <w:p>
      <w:pPr>
        <w:spacing w:after="100"/>
      </w:pPr>
      <w:r>
        <w:t xml:space="preserve">Coincidimos en el BPA de FY2027 (44,72 frente a 44,66) y discrepamos en el múltiplo: la empresa es mejor que nunca, pero la mejora ya está pagada. La política de precios de los medicamentos de 2026-2027 cae dentro de la vida del múltiplo que hoy se paga.</w:t>
      </w:r>
    </w:p>
    <w:p>
      <w:pPr>
        <w:keepNext/>
        <w:spacing w:after="100"/>
      </w:pPr>
      <w:r>
        <w:rPr>
          <w:b/>
          <w:bCs/>
        </w:rPr>
        <w:t xml:space="preserve">Por qué podemos tener razón.</w:t>
      </w:r>
    </w:p>
    <w:p>
      <w:pPr>
        <w:spacing w:after="100"/>
      </w:pPr>
      <w:r>
        <w:t xml:space="preserve">La historia adelantada muestra que el sector cotizó a 8-13 veces cuando los clientes, los opioides y la regulación presionaban (2019-2023). El margen del 1,5 % convierte cualquier cesión de comisión en una caída de beneficio de dos dígitos.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004,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Oligopolio estable</w:t>
      </w:r>
      <w:r>
        <w:t xml:space="preserve">: tres empresas mueven más del 90 % del volumen de EE. UU.; McKesson es la mayor.</w:t>
      </w:r>
    </w:p>
    <w:p>
      <w:pPr>
        <w:pStyle w:val="ListParagraph"/>
        <w:numPr>
          <w:ilvl w:val="0"/>
          <w:numId w:val="2"/>
        </w:numPr>
        <w:spacing w:after="60"/>
      </w:pPr>
      <w:r>
        <w:rPr>
          <w:b/>
        </w:rPr>
        <w:t xml:space="preserve">ROIC exigente del 28 %</w:t>
      </w:r>
      <w:r>
        <w:t xml:space="preserve">: ≈ 19 puntos sobre el WACC, con circulante negativo.</w:t>
      </w:r>
    </w:p>
    <w:p>
      <w:pPr>
        <w:pStyle w:val="ListParagraph"/>
        <w:numPr>
          <w:ilvl w:val="0"/>
          <w:numId w:val="2"/>
        </w:numPr>
        <w:spacing w:after="60"/>
      </w:pPr>
      <w:r>
        <w:rPr>
          <w:b/>
        </w:rPr>
        <w:t xml:space="preserve">Guía cumplida</w:t>
      </w:r>
      <w:r>
        <w:t xml:space="preserve">: BPA ajustado de 39,11 USD en FY2026 (+18 %) y guía de FY2027 subida a 44,20-45,00.</w:t>
      </w:r>
    </w:p>
    <w:p>
      <w:pPr>
        <w:pStyle w:val="ListParagraph"/>
        <w:numPr>
          <w:ilvl w:val="0"/>
          <w:numId w:val="2"/>
        </w:numPr>
        <w:spacing w:after="60"/>
      </w:pPr>
      <w:r>
        <w:rPr>
          <w:b/>
        </w:rPr>
        <w:t xml:space="preserve">CVS hasta 2032</w:t>
      </w:r>
      <w:r>
        <w:t xml:space="preserve">: el mayor cliente (24 % de las ventas) renovado cinco años antes.</w:t>
      </w:r>
    </w:p>
    <w:p>
      <w:pPr>
        <w:pStyle w:val="ListParagraph"/>
        <w:numPr>
          <w:ilvl w:val="0"/>
          <w:numId w:val="2"/>
        </w:numPr>
        <w:spacing w:after="60"/>
      </w:pPr>
      <w:r>
        <w:rPr>
          <w:b/>
        </w:rPr>
        <w:t xml:space="preserve">Recompras</w:t>
      </w:r>
      <w:r>
        <w:t xml:space="preserve">: las acciones bajan un 5 % al año; ≈ 5.000 M USD en FY2027.</w:t>
      </w:r>
    </w:p>
    <w:p>
      <w:pPr>
        <w:pStyle w:val="Heading2"/>
      </w:pPr>
      <w:r>
        <w:t xml:space="preserve">En contra</w:t>
      </w:r>
    </w:p>
    <w:p>
      <w:pPr>
        <w:pStyle w:val="ListParagraph"/>
        <w:numPr>
          <w:ilvl w:val="0"/>
          <w:numId w:val="2"/>
        </w:numPr>
        <w:spacing w:after="60"/>
      </w:pPr>
      <w:r>
        <w:rPr>
          <w:b/>
        </w:rPr>
        <w:t xml:space="preserve">Caro frente a su historia</w:t>
      </w:r>
      <w:r>
        <w:t xml:space="preserve">: 20,3 veces el BPA adelantado frente a una mediana de 16,2; en máximos históricos.</w:t>
      </w:r>
    </w:p>
    <w:p>
      <w:pPr>
        <w:pStyle w:val="ListParagraph"/>
        <w:numPr>
          <w:ilvl w:val="0"/>
          <w:numId w:val="2"/>
        </w:numPr>
        <w:spacing w:after="60"/>
      </w:pPr>
      <w:r>
        <w:rPr>
          <w:b/>
        </w:rPr>
        <w:t xml:space="preserve">Margen mínimo</w:t>
      </w:r>
      <w:r>
        <w:t xml:space="preserve">: 12 puntos básicos de margen son el 7 % del EBITDA; el bajista vale −39 %.</w:t>
      </w:r>
    </w:p>
    <w:p>
      <w:pPr>
        <w:pStyle w:val="ListParagraph"/>
        <w:numPr>
          <w:ilvl w:val="0"/>
          <w:numId w:val="2"/>
        </w:numPr>
        <w:spacing w:after="60"/>
      </w:pPr>
      <w:r>
        <w:rPr>
          <w:b/>
        </w:rPr>
        <w:t xml:space="preserve">Política de precios</w:t>
      </w:r>
      <w:r>
        <w:t xml:space="preserve">: nación más favorecida, venta directa y regla de comisiones de la CMS en 2026-2027.</w:t>
      </w:r>
    </w:p>
    <w:p>
      <w:pPr>
        <w:pStyle w:val="ListParagraph"/>
        <w:numPr>
          <w:ilvl w:val="0"/>
          <w:numId w:val="2"/>
        </w:numPr>
        <w:spacing w:after="60"/>
      </w:pPr>
      <w:r>
        <w:rPr>
          <w:b/>
        </w:rPr>
        <w:t xml:space="preserve">Compras más caras y arriesgadas</w:t>
      </w:r>
      <w:r>
        <w:t xml:space="preserve">: 3.650 M USD comprometidos en 2026 y 2.563 M de rescatables.</w:t>
      </w:r>
    </w:p>
    <w:p>
      <w:pPr>
        <w:pStyle w:val="ListParagraph"/>
        <w:numPr>
          <w:ilvl w:val="0"/>
          <w:numId w:val="2"/>
        </w:numPr>
        <w:spacing w:after="60"/>
      </w:pPr>
      <w:r>
        <w:rPr>
          <w:b/>
        </w:rPr>
        <w:t xml:space="preserve">Directivos vendedores</w:t>
      </w:r>
      <w:r>
        <w:t xml:space="preserve">: 28,3 M USD vendidos en 12 meses, ninguna compra.</w:t>
      </w:r>
    </w:p>
    <w:p>
      <w:pPr>
        <w:pStyle w:val="Heading2"/>
      </w:pPr>
      <w:r>
        <w:t xml:space="preserve">Qué tiene que pasar para que la tesis funcione</w:t>
      </w:r>
    </w:p>
    <w:p>
      <w:pPr>
        <w:spacing w:after="100"/>
      </w:pPr>
      <w:r>
        <w:t xml:space="preserve">La tesis depende de que la oncología y la tecnología sigan subiendo el margen mientras la distribución mantiene su comisión pese a la política de precios. La señal en contra sería un margen de North American Pharmaceutical por debajo del 1,0 %, una guía de FY2028 por debajo de los 50,63 USD del consenso o cargos ligados al incidente de ciberseguridad.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44,20-45,00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44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North American Pharmaceutical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 (FY2026 y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comisión que deja la distribución.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Oncology &amp; Multispecialty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en FY2026 (con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 orgánico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motor del crecimiento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Prescription Technology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Exposición a la IA y a la competencia en autorizaciones previas.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5.410 M USD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Paga recompras y 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27,0x / 20,9x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McKesson nace en 1833 en Nueva York como importador y mayorista de medicamentos y es una de las empresas más antiguas de EE. UU. [1]. En el siglo XX pasó por dos escándalos contables que hicieron historia (McKesson &amp; Robbins en 1938, que cambió las normas de auditoría de existencias, y la fusión con HBOC en 1999) y se convirtió en el mayor distribuidor farmacéutico del país. Con John Hammergren (2001-2019) se diversificó en Europa (Celesio, 2014) y en tecnología sanitaria (Change Healthcare); con Brian Tyler, consejero delegado desde 2019, deshizo esa diversificación: salió de Change Healthcare (2020), de Europa (2022-2026) y de Rexall en Canadá (FY2025), cerró el litigio nacional de opioides (2022) y reinvirtió en oncología, retina, servicios a laboratorios y software de acceso a medicamentos [1, 9]. En 2025-2026 compró Core Ventures (Florida Cancer Specialists) y PRISM Vision, anunció la separación de Medical-Surgical (Wellverse) y extendió hasta 2032 el contrato con CVS [4,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McKesson y Charles Olcott abren en Nueva York un negocio de importación y venta mayorista de medicamentos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Escándalo de McKesson &amp; Robbins: existencias ficticias que llevan a la SEC a exigir la verificación física de inventarios en las auditorías.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HBOC (software sanitario) y reexpresión de cuentas por fraude contable en la empresa comprada.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Celesio (Alemania): entrada en la distribución y farmacias de Europa, que acabaría vendiéndose con pérdidas.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Tyler, consejero delegado; sede trasladada a Irving (Texas).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Change Healthcare mediante canje de acciones (split-off).</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 de 8.100 M USD por el acuerdo nacional de opioides con estados y municipios (firmado en 2022): pérdida de 28,26 USD por acción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negocios europeos (el último, Noruega, en enero de 2026) y de Rexall y Well.ca en Canadá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80 % de PRISM Vision y del 70 % de Core Ventures (Florida Cancer Specialists) por 3.375 M USD; día del inversor con objetivo de BPA ajustado +13-16 % anual; separación de Medical-Surgical anunciada [4,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Apollo compra ≈ 13 % de Medical-Surgical (Wellverse); acuerdo con CVS hasta 2032; compra de Precision Medicine Group y del 49 % de Option Care Health (pendientes) [4, 23, 37, 38].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McKesson es el mayor distribuidor de medicamentos de EE. UU. y uno de los mayores de Canadá: compra a los laboratorios medicamentos de marca, genéricos y de especialidad y los entrega cada día a farmacias, hospitales, consultas y gestores de farmacia, con 43.000 empleados [1]. Desde septiembre de 2025 reporta cuatro segmentos: North American Pharmaceutical (83 % de las ventas), Oncology &amp; Multispecialty (12 %: distribución de especialidad, la red US Oncology, Florida Cancer Specialists y PRISM Vision), Prescription Technology Solutions (1,4 %: CoverMyMeds, programas de acceso y logística para laboratorios) y Medical-Surgical Solutions (2,9 %: material médico, en proceso de separación como Wellverse) [1, 2]. Vendió todos sus negocios europeos entre 2021 y enero de 2026 [2].</w:t>
      </w:r>
    </w:p>
    <w:p>
      <w:pPr>
        <w:pStyle w:val="Heading2"/>
      </w:pPr>
      <w:r>
        <w:t xml:space="preserve">Cómo gana dinero</w:t>
      </w:r>
    </w:p>
    <w:p>
      <w:pPr>
        <w:spacing w:after="100"/>
      </w:pPr>
      <w:r>
        <w:t xml:space="preserve">Gana poco por unidad y mucho por volumen: 403.430 M USD de ventas con un margen bruto del 3,6 % y un resultado operativo ajustado del 1,5 % [2]. En medicamentos de marca cobra una comisión por servicio pactada con el laboratorio sobre el precio de lista (más del 95 % del negocio de marcas), así que el beneficio depende del volumen y no del precio [24]. En genéricos gana el diferencial de compra (ClarusONE) y es donde está el margen. Oncología y especialidades ganan el 2,96 % y los servicios tecnológicos el 19,45 % sobre ventas, y ya dan el 36 % del resultado ajustado de los segmentos con el 13 % de las ventas [2]. El circulante es negativo: los proveedores financian existencias y cobros. Apalancamiento operativo alto: los gastos crecen menos que las ventas.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American Pharmaceutical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336.652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Oncology &amp; Multispecialty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Prescription Technology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Medical-Surgical Solutions (Wellverse, en separación)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(Noruega, vendida) y gastos corporativos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American Pharmaceutical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336.652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Oncology &amp; Multispecialty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Prescription Technology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Medical-Surgical Solutions (Wellverse, en separación)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(Noruega, vendida) y gastos corporativos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los diez primeros clientes (incluidas centrales de compra) son el 73 % de las ventas de FY2026 y el primero, CVS Health, el 24 % (21 % de las cuentas a cobrar); el segundo y el tercero, el 11 % y el 10 % [1]. El contrato con CVS vencía en junio de 2027; el 1-oct-2026 se firmó un acuerdo de principio para extenderlo hasta junio de 2032 (pendiente del contrato definitivo). El poder de precios es limitado y está pactado: en marcas, más del 95 % es comisión por servicio sobre el precio de lista, así que una bajada de precio resta ventas y apenas margen [3]. En genéricos el margen depende del abastecimiento propio (ClarusONE) y de la inflación o deflación (crédito LIFO de 210 M en FY2026) [2]. El mayor proveedor es el 11 % de las compras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44,20-45,00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Oncology &amp; Multispecialty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Core Ventures y PRISM; margen ajustado del 2,54 % al 2,96 %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North American Pharmaceutical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pese a los GLP-1; 1T27 1,03 %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Prescription Technology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demanda de soluciones de acceso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4.500-4.900 [2,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 medias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119,2 en el 1T27; 116,6 M en circulación el 31-jul-2026 [2, 3,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la distribución mayorista de medicamentos con receta en EE. UU. (marca, genéricos, especialidad y biosimilares) a farmacias, hospitales, consultas y gestores de farmacia, que da ≈ 83 % de las ventas de McKesson (North American Pharmaceutical, con Canadá dentro) más la distribución de especialidad de Oncology &amp; Multispecialty [1, 2]. Se mide con las ventas de los segmentos farmacéuticos de EE. UU. de los tres grandes (McKesson, Cencora y Cardinal), que mueven más del 90 % del volumen: ≈ 866.000 M USD en los últimos ejercicios (estimación propia de la ficha sectorial; ejercicios a marzo, junio y septiembre) [20]. IQVIA, citado por Cencora, mide gasto neto, no ventas mayoristas; su previsión de crecimiento se usa como segunda referencia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866.000 M USD de ventas de distribución farmacéutica en EE. UU. de los tres grandes (último ejercicio de cada uno)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de los segmentos de EE. UU. de los tres grandes; estimación propia de la ficha sector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recetas y envejecimiento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de 65 años o más llegará a ≈ 71 millones en 2029 [21]; el volumen de recetas impulsó el +11 % de North American Pharmaceutical en FY2026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 (diabetes y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15.000 M USD de ventas de GLP-1 en el 1T27 (+24 %), con margen casi nulo: suben ventas, apenas beneficio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Especialidad y oncología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Oncology &amp; Multispecialty +31 % en ventas y +53 % en resultado ajustado en FY2026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lista de las marcas (IRA, nación más favorecida, TrumpRx)</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bajadas de precio de enero de 2026 restaron ventas a North American Pharmaceutical; &gt; 95 % de la distribución de marcas cobra comisión por servicio, así que el margen apenas cambia [3,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Genéricos y biosimilares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conversión a genéricos baja ventas y sube margen; crédito LIFO de 210 M USD en FY2026 por deflación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estable de tres que compiten por contratos de grandes cuentas: márgenes operativos ajustados del 1,0-1,2 % en EE. UU.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es el 24 % de las ventas de McKesson y los diez primeros el 73 %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laboratorio es el 11 % de las compras de McKesson; la comisión por servicio está pactada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licencias por estado y de la DEA, red de almacenes y el sistema de control de opioides común del acuerdo de 2022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del laboratorio al paciente (TrumpRx) y gestores de farmacia integrados afectan a nichos; el grueso pasa por el mayorista [1, 20].</w:t>
            </w:r>
          </w:p>
        </w:tc>
      </w:tr>
    </w:tbl>
    <w:p>
      <w:pPr>
        <w:spacing w:after="160" w:before="0"/>
      </w:pPr>
    </w:p>
    <w:p>
      <w:pPr>
        <w:pStyle w:val="Heading2"/>
      </w:pPr>
      <w:r>
        <w:t xml:space="preserve">Ciclo</w:t>
      </w:r>
    </w:p>
    <w:p>
      <w:pPr>
        <w:spacing w:after="100"/>
      </w:pPr>
      <w:r>
        <w:t xml:space="preserve">La demanda de medicamentos no depende del ciclo económico: las ventas de los tres grandes crecieron en 2009, 2020 y 2022 [20]. Lo que se mueve es la inflación o deflación de precios (crédito o cargo LIFO) y el volumen de GLP-1 y especialidad. Hoy el volumen crece (+5 % en North American Pharmaceutical en el 1T27) y la deflación de genéricos da crédito LIFO [2, 3].</w:t>
      </w:r>
    </w:p>
    <w:p>
      <w:pPr>
        <w:pStyle w:val="Heading2"/>
      </w:pPr>
      <w:r>
        <w:t xml:space="preserve">Regulación</w:t>
      </w:r>
    </w:p>
    <w:p>
      <w:pPr>
        <w:spacing w:after="100"/>
      </w:pPr>
      <w:r>
        <w:t xml:space="preserve">La Ley de Reducción de la Inflación fija precios negociados en Medicare para diez fármacos desde enero de 2026 y quince más desde 2027. En diciembre de 2025 los CMS propusieron modelos obligatorios de reembolso de los laboratorios ligados a precios internacionales en las partes B y D de Medicare [1]. La política de «nación más favorecida» y los acuerdos directos (TrumpRx) presionan los precios de lista, que restan ventas pero poco margen por la comisión por servicio [3]. El programa 340B está en revisión. El acuerdo de opioides de 2022 obliga a pagos hasta 2038 y a un sistema común de control de pedidos [1].</w:t>
      </w:r>
    </w:p>
    <w:p>
      <w:pPr>
        <w:pStyle w:val="Heading2"/>
      </w:pPr>
      <w:r>
        <w:t xml:space="preserve">Tendencias y disrupción</w:t>
      </w:r>
    </w:p>
    <w:p>
      <w:pPr>
        <w:spacing w:after="100"/>
      </w:pPr>
      <w:r>
        <w:t xml:space="preserve">La especialidad crece más que la distribución general: los tres grandes compran consultas de oncología, retina, urología y digestivo (McKesson: Core Ventures y PRISM en 2025; Option Care Health y Precision Medicine anunciadas en 2026) para asegurar el volumen de fármacos caros y vender servicios a laboratorios [1]. Los GLP-1 y los biosimilares suben el volumen. La venta directa del laboratorio al paciente es una amenaza aún pequeña. La IA se aplica a autorizaciones previas (CoverMyMeds) y a la previsión de demanda en almacenes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distribución farmacéutica en EE. UU. (≈ 39 % del volumen de los tres grandes, estimación con las ventas de segmento); líder en distribución a oncología comunitaria con US Oncology Network y Florida Cancer Specialists [1,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Cencora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Walgreens es el 25 % de sus ventas; compra consultas de retina y oncología (RCA, OneOncology) [20, 21,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Cardinal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Tercero; CVS es el 28 % de sus ventas (extendido a 2032); también productos médicos [20, 22,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Schein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HSIC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a dentistas y médicos; compite con Medical-Surgical, no en la mayorista farmacéutica [20,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Medipal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7459.T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mayorista japonés; mercado regulado aparte [20,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Galenica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GALE.SW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Farmacias y mayorista en Suiza [20,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CoverMyMeds conecta médicos, farmacias, aseguradoras y laboratorios en autorizaciones previas: el segmento gana un 19,45 % de margen ajustado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5 años con integración de sistemas; CVS renovó con McKesson hasta 2032 y es cliente desde hace décadas [1,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la DEA y de cada estado; sin patentes relevantes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del 2,0 % de las ventas en FY2026 frente a ventas que crecen el 12 % [2,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distribuidores con &gt; 90 % del mercado y márgenes del 1 %: no cabe un cuarto [2].</w:t>
            </w:r>
          </w:p>
        </w:tc>
      </w:tr>
    </w:tbl>
    <w:p>
      <w:pPr>
        <w:spacing w:after="160" w:before="0"/>
      </w:pPr>
    </w:p>
    <w:p>
      <w:pPr>
        <w:pStyle w:val="Heading2"/>
      </w:pPr>
      <w:r>
        <w:t xml:space="preserve">Amenazas</w:t>
      </w:r>
    </w:p>
    <w:p>
      <w:pPr>
        <w:spacing w:after="100"/>
      </w:pPr>
      <w:r>
        <w:t xml:space="preserve">Lo que más puede erosionar el foso es la concentración de clientes: si CVS (24 % de las ventas) no firma el contrato definitivo o lo firma con peores condiciones, el resultado de North American Pharmaceutical caería con fuerza; la probabilidad es baja tras el acuerdo de principio del 1-oct-2026 [1, 23]. Segundo, la regulación de precios (reembolsos ligados a precios internacionales, nación más favorecida) si pasa de restar ventas a restar comisiones. Tercero, la venta directa de laboratorios al paciente y la integración vertical de los gestores de farmacia. Cuarto, en oncología, cambios en el reembolso de la parte B de Medicare a las consultas compradas.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403.430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FY2021-FY2026: ingresos </w:t>
      </w:r>
      <w:r>
        <w:rPr>
          <w:b/>
          <w:bCs/>
        </w:rPr>
        <w:t xml:space="preserve">11,1 %</w:t>
      </w:r>
      <w:r>
        <w:t xml:space="preserve">, EBITDA </w:t>
      </w:r>
      <w:r>
        <w:rPr>
          <w:b/>
          <w:bCs/>
        </w:rPr>
        <w:t xml:space="preserve">10,1 %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238.228 M USD en FY2021 a 403.430 M en FY2026 (TCAC del 11,1 %) [1, 9], pese a vender casi toda Europa: el motor es el volumen de recetas de EE. UU., los fármacos de especialidad y los GLP-1, y desde FY2026 las consultas de oncología y retina compradas (Core Ventures y PRISM) [1, 2]. El margen bruto es mínimo (3,61 % GAAP en FY2026) porque el grueso son medicamentos de marca revendidos con una comisión pactada [2]. El resultado operativo ajustado creció de 3.665 M en FY2021 a 6.229 M en FY2026 (TCAC del 11,2 %), y el margen ajustado sobre ventas se mantuvo en el 1,5-1,8 % [2, 9]: lo que sube la mezcla de oncología (margen ajustado del 2,96 %) y de soluciones tecnológicas de recetas (19,45 %) lo compensa la dilución de los GLP-1, de margen casi nulo [2]. Años no comparables: FY2021 (cargo de opioides de 8.100 M) y FY2022 (salida de Europa) [8, 9].</w:t>
      </w:r>
    </w:p>
    <w:p>
      <w:pPr>
        <w:pStyle w:val="Heading2"/>
      </w:pPr>
      <w:r>
        <w:t xml:space="preserve">Ajustes y partidas no recurrentes</w:t>
      </w:r>
    </w:p>
    <w:p>
      <w:pPr>
        <w:spacing w:after="100"/>
      </w:pPr>
      <w:r>
        <w:t xml:space="preserve">La empresa publica un BPA ajustado que excluye la amortización de intangibles comprados (276 M USD en FY2026), los costes de transacciones y su revalorización de minoritarios (−251 M netos en FY2026 por plusvalías de ventas), el crédito o cargo LIFO (crédito de 210 M en FY2026, cargo de 82 M en FY2025), las ganancias de demandas antimonopolio (23 M; 444 M en FY2025), la reestructuración y deterioros (245 M; 344 M) y los cargos de litigios de opioides (108 M en FY2025) [2, 5]. En FY2026 el BPA GAAP (38,38 USD) y el ajustado (39,11) casi coinciden porque las plusvalías y el crédito LIFO compensaron la reestructuración [2]. La reestructuración se repite todos los años (245-344 M): el DCF resta 0,05 puntos de margen por ella.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fiscales (el 1T27 es abr-jun 2026). EBITDA ajustado = resultado operativo ajustado + depreciación y amortización de software (estimación propia: el reparto trimestral de la amortización es la media del año) y BPA ajustado de la empresa [2, 3, 5, 15, 16, 17]. En la presentación de FY2026 (7-may-2026) la dirección guió para FY2027 ingresos +5-9 %, resultado operativo ajustado +8-12 %, flujo libre de 4.500-4.900 M, recompras de ≈ 5.000 M, 116-118 M de acciones, intereses de 380-420 M, minoritarios de 295-325 M y un tipo del 17-19 % [18]. Las preguntas de los analistas se centraron en el frenazo de ingresos de soluciones tecnológicas (logística para laboratorios, ≈ 55 % del segmento), en cuánto del crecimiento de oncología es orgánico y en GLP-1 y biosimilares; la dirección no cuantificó el efecto de los biosimilares ni el de los GLP-1 en el negocio de autorizaciones previas, ni desglosó la caída del flujo libre [18]. En el 1T27 (5-ago-2026) batió (BPA ajustado 9,93 USD, +20 %), subió la guía a 44,20-45,00 USD y la del resultado operativo a +9-13 % [3]. Las bajadas de precio de lista de marcas de enero de 2026 restaron ventas pero, según la dirección, no margen, porque más del 95 % de la distribución de marcas cobra una comisión por servicio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Core Ventures (Florida Cancer Specialists, 70 % por 2.500 M USD) desde el 2-jun-2025 y PRISM Vision (80 % por 875 M) desde el 1-abr-2025: diez y doce meses en la cuenta; venta de Noruega (ene-2026), último negocio europeo.; FY2023: Venta de los negocios europeos (Alemania, Austria, Bélgica, Francia, Italia, Irlanda, Portugal, Reino Unido) entre 2021 y 2023: ingresos y balance de FY2021-FY2022 los incluyen.).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es negativo y crece en valor absoluto: existencias + clientes − proveedores = −7.781 M USD en FY2026 (−1,9 % de las ventas) [1]; los proveedores (59.973 M) financian existencias y cobros, así que crecer libera caja. El patrimonio es negativo (−2.172 M) por las recompras: 32.005 M de autocartera acumulada [2]. La deuda bruta subió de 6.526 M en marzo a 9.729 M en junio de 2026 por los préstamos de Medical-Surgical (1.000 M de tramo A y 2.250 M de tramo B), destinados a recompras y a la futura sociedad separada [4]. Con la caja, la deuda neta es de 4.565 M, ≈ 0,6 veces el EBITDA ajustado; con el pasivo de opioides después de impuestos, ≈ 1,2 veces.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26.451</w:t>
      </w:r>
      <w:r>
        <w:t xml:space="preserve">, conversión </w:t>
      </w:r>
      <w:r>
        <w:rPr>
          <w:b/>
          <w:bCs/>
        </w:rPr>
        <w:t xml:space="preserve">236 %</w:t>
      </w:r>
      <w:r>
        <w:t xml:space="preserve"> del beneficio neto; adquisiciones 4.620, dividendos 1.885, recompras 18.817.</w:t>
      </w:r>
    </w:p>
    <w:p>
      <w:pPr>
        <w:spacing w:after="100"/>
      </w:pPr>
      <w:r>
        <w:t xml:space="preserve">El flujo operativo depende del calendario de cobros y pagos: 6.085 M USD en FY2025 y 6.155 M en FY2026 frente a un beneficio ajustado de 4.853 M en FY2026 [1, 2]. El flujo libre de la empresa (operativo − inmovilizado − software) fue de 5.410 M en FY2026 [2]; la guía de FY2027 es menor, 4.500-4.900 M, por el calendario del circulante y más inversión [18]. En el 1T27 fue de −372 M, estacional [3]. La inversión es mínima: 745 M en FY2026 (0,18 % de las ventas), algo más de la mitad en software [1]. Los pagos de opioides (≈ 500 M al año) van en el flujo operativo. La caja se ha ido a recompras (4.750 M en FY2026 y 2.530 M en el 1T27) y a compras de consultas (3.416 M en FY2026) [1,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FY2026,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pero el BPA publicado ha sido muy ruidoso: pérdida de 28,26 USD por acción en FY2021 por el cargo de opioides de 8.100 M, plusvalías y deterioros por la salida de Europa y de Change Healthcare, y la venta de Rexall en Canadá con una pérdida de 667 M en FY2025 [1, 9]. El ajustado excluye partidas que se repiten (reestructuración de 245-344 M al año, amortización de compras) y otras que no (LIFO, demandas antimonopolio) [2, 5]. Señal reciente: la revalorización de los minoritarios rescatables (293 M de Medical-Surgical y 81 M de Core Ventures en el 1T27) va contra el beneficio atribuido GAAP y fuera del ajustado [3]. Asunto crítico de auditoría: la posición fiscal incierta de los pagos de opioides [1]. Los indicadores del motor (Altman, Beneish) pierden sentido con patrimonio negativo y circulante negativo; se leen con cuidado.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frente a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FY2025 el ajustado (33,05 USD) superó al GAAP (25,72) en 7,33 USD; en FY2026 casi coinciden por plusvalías y el crédito LIFO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245 M USD en FY2026 y 344 M en FY2025, fuera del ajustado [2]; el DCF la resta.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Revalorización de minoritarios rescatables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374 M USD en el 1T27 fuera del ajustado: el coste real de las compras con socios médicos y de Apollo sube con el valor de esos negocios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−2.172 M USD en FY2026 por recompras acumuladas de 32.005 M; no es un problema de solvencia (flujo libre de 5.410 M) pero invalida ROE y Altman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-3.095,95x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11.316 M en FY2026; ha subido más de un 5 % en 2 de 5 años: compras pequeñas.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8,4 %.</w:t>
      </w:r>
    </w:p>
    <w:p>
      <w:pPr>
        <w:spacing w:after="100"/>
      </w:pPr>
      <w:r>
        <w:t xml:space="preserve">El ROIC del motor no sirve: el capital invertido contable es negativo desde FY2023 (patrimonio de −2.172 M USD por 32.005 M de recompras acumuladas, y circulante comercial de −7.781 M: los proveedores financian existencias y cobros) y el ROIC «operativo» del 55,7 % en FY2026 lo infla ese circulante [1, 2]. La medida exigente, sin el circulante negativo (inmovilizado + fondo de comercio + intangibles = 18.063 M en FY2026) y con el resultado operativo ajustado después de impuestos (6.229 × 0,81 = 5.045 M), da un 27,9 %, frente a un WACC del 8,43 %: ≈ +19 puntos, muy por encima de Cencora (15-17 % con la misma medida [45]). Lo mueve la rotación (4,9 veces el activo) y no el margen (1,5 % operativo ajustado). Tendencia: el resultado operativo ajustado subió de 3.665 M en FY2021 a 6.229 M en FY2026 (+11,2 % anual) mientras el capital tangible y comprado apenas creció hasta FY2025; las compras de Core Ventures y PRISM (3.375 M) bajaron el ROIC exigente del 30,6 % de FY2025 al 27,9 % y los 3.650 M comprometidos en 2026 (Precision Medicine y Option Care) lo bajarán a ≈ 23-24 % hasta que aporten [4]. Sigue creando valor con margen amplio.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5.164 M USD a 30-jun-2026; línea sindicada no dispuesta de 5.000 M (abril de 2026, cinco años) que respalda los pagarés; Medical-Surgical tiene su propia línea de 1.000 M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(nota de S&amp;P, Moody's y Fitch sin comprobar en fuente primaria)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por opioides (acuerdo nacional de 2022 con 48 estados y acuerdos con Alabama, subdivisiones de Virginia Occidental y tribus) era de 5.692 M USD a 31-mar-2026 (601 M a corto) y 5.658 M a 30-jun-2026, a pagar hasta 2038 (512 M pagados en FY2026) [1, 4]. Siguen abiertos el caso de Baltimore (sentencia de 109 M anulada por el Supremo de Maryland el 24-abr-2026 y devuelta al tribunal), el de Cabell County y Huntington (reabierto en apelación el 28-oct-2025) y demandas de subdivisiones y privados no incluidas en el acuerdo [1]. Minoritarios rescatables de 2.563 M a 30-jun-2026: Apollo (≈ 13 % de Medical-Surgical por 1.250 M), Core Ventures (30 %) y PRISM (20 %), con opciones de venta [4]. Operaciones pendientes: Precision Medicine Group (≈ 2.250 M en caja) y 49 % de Option Care Health (≈ 1.400 M).</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oncología, especialidades y servicios a laboratorios, recompras con el exceso de caja y un dividendo que crece (+15 % en julio de 2026, a 0,94 USD trimestrales, décimo año seguido de subidas) [2, 3]. En abril de 2026 el consejo amplió el programa de recompras en 5.000 M, hasta 7.700 M disponibles; en el 1T27 recompró 2.530 M (2.250 M con una recompra acelerada) y guía ≈ 5.000 M para FY2027 [2, 3, 18]. El objetivo a largo plazo es un BPA ajustado que crezca un 13-16 % al año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Rx Savings Solutions (software de ahorro en recetas)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soluciones tecnológicas de recetas; el segmento sube su margen ajustado del 17,6 % al 19,5 % entre FY2024 y FY2026 [2,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PRISM Vision (80 %; oftalmología y retina)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1-abr-2025; 510 M de intangibles y 437 M de fondo de comercio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Ventures (70 %; Florida Cancer Specialists)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 de mayo de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2-jun-2025; 2.300 M de intangibles y 752 M de fondo de comercio; oncología +53 % de resultado ajustado en FY2026 [2,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 13 % de Medical-Surgical a Apollo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en caja (preferentes convertibles)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1-jun-2026; valora el negocio en ≈ 13.000 M de valor empresa según la dirección [4,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Precision Medicine Group (servicios clínicos y de comercialización para laboratorios)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autorizaciones (anunciada en agosto de 2026).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Care Health (49 %, con CD&amp;R)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en el primer semestre de 2027); puesta en equivalencia, con marco para comprar el 51 % de CD&amp;R más adelante.</w:t>
            </w:r>
          </w:p>
        </w:tc>
      </w:tr>
    </w:tbl>
    <w:p>
      <w:pPr>
        <w:spacing w:after="160" w:before="0"/>
      </w:pPr>
    </w:p>
    <w:p>
      <w:pPr>
        <w:spacing w:after="100"/>
      </w:pPr>
      <w:r>
        <w:t xml:space="preserve">La dirección asigna bien el capital en el negocio central: el resultado operativo ajustado sube de 3.665 M USD en FY2021 a 6.229 M en FY2026 con una inversión fija del 0,2 % de las ventas y circulante negativo [2, 9], y las acciones diluidas bajan de 161 M a 124 M (−5 % al año) [1]. Las compras recientes cambian el perfil: 3.375 M en consultas de oncología y retina con socios médicos que conservan el 20-30 % y opciones de venta, y en 2026 otros 3.650 M comprometidos (Precision Medicine y Option Care) [4]. Son negocios de más margen pero con más riesgo de ejecución y de regulación (reembolsos de Medicare). La venta de Europa y de Rexall, con pérdidas contables, cerró apuestas de diversificación de la década pasada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S. Tyler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McKesson desde 1997; consejero delegado desde abril de 2019 y presidente desde mayo de 2026. Con él, el BPA ajustado pasó de 14,95 USD (FY2020) a 39,11 (FY2026), salió de Europa y de Change Healthcare y giró hacia oncología [2,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Kenny Cheung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Sysco; sustituye a Britt Vitalone (ocho años en el cargo) desde el 29-may-2026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Michele Lau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jurídica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los litigios de opioides y la separación de Medical-Surgical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Ramesh Srinivasan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a Thomas Rodgers (retirado el 1-ago-2026)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Britt J. Vitalone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Asesor estratégico (ex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 2018 a mayo de 2026; sigue como asesor para la separación de Medical-Surgical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13,85-14,45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13,95-14,75 USD (con la 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18,85-19,45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22,90-23,60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25,94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26,10-26,90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31,25-32,05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36,75-37,55 USD (subida tres veces)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creíble: siete años seguidos batiendo la guía inicial de BPA ajustado, en cuatro de ellos por más de un 5 % [2]. La estabilidad baja algo en 2026: cambia el director financiero (Vitalone, que sigue de asesor) y el de estrategia, y el consejero delegado pasa a ser también presidente, con un consejero independiente coordinador (Dominic Caruso) [25, 27, 28]. La sucesión del consejero delegado no está anunciada; Tyler tiene 59 años.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S. Tyler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Dominic J. Caruso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Lynne M. Doughtie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 Roy Dunbar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Dunsire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L. Gerberding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H. Hinton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Bradley E. Lerman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N. Martinez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M. Ozan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Kathleen Wilson-Thompson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Gobierno y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FY2026,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27,15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(13G/A de abr-2025)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netas con planes 10b5-1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(sobre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164 M de 280 M emitidas a 30-jun-2026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S. Tyler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Michele Lau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L. Rodgers (estrategia)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LeAnn B. Smith (recursos humanos)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Bradley E. Lerman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24,2 M USD en FY2026 (20,2 M en FY2025): 1,6 M de fijo, 4,5 M de variable anual (149 % del objetivo) y 17,2 M en acciones [25]. El variable a largo plazo es en un 60 % acciones por objetivos ligadas al BPA ajustado acumulado a tres años y al ROIC medio de tres años, con un modificador de ±20 % por rentabilidad para el accionista frente a sus comparables (nuevo en FY2026); el resto, acciones restringidas [25]. Premia el BPA ajustado, que excluye la reestructuración que se repite y la revalorización de minoritarios: es el punto débil. Ratio frente al empleado mediano: 357 veces [25]. En la junta de 2026 el voto consultivo sobre la remuneración tuvo un 91,4 % a favor y un 8,2 % en contra (91 % a favor en 2025) [25, 26].</w:t>
      </w:r>
    </w:p>
    <w:p>
      <w:pPr>
        <w:pStyle w:val="Heading2"/>
      </w:pPr>
      <w:r>
        <w:t xml:space="preserve">Operaciones vinculadas, estructura de control y defensas</w:t>
      </w:r>
    </w:p>
    <w:p>
      <w:pPr>
        <w:spacing w:after="100"/>
      </w:pPr>
      <w:r>
        <w:t xml:space="preserve">Sin accionista de control: los dos mayores son gestoras indexadas (BlackRock 7,9 % y Vanguard 7,8 %) [25]. Una acción, un voto; consejo elegido cada año por mayoría. El consejero delegado preside el consejo desde mayo de 2026, con un consejero independiente coordinador con funciones definidas; 10 de 11 consejeros son independientes [25]. Los estatutos fijan tribunales exclusivos para pleitos de accionistas [1]. Sin operaciones vinculadas relevantes [25].</w:t>
      </w:r>
    </w:p>
    <w:p>
      <w:pPr>
        <w:pStyle w:val="Heading2"/>
      </w:pPr>
      <w:r>
        <w:t xml:space="preserve">Señales de alerta</w:t>
      </w:r>
    </w:p>
    <w:p>
      <w:pPr>
        <w:pStyle w:val="ListParagraph"/>
        <w:numPr>
          <w:ilvl w:val="0"/>
          <w:numId w:val="2"/>
        </w:numPr>
        <w:spacing w:after="60"/>
      </w:pPr>
      <w:r>
        <w:t xml:space="preserve">Concentración de poder: el consejero delegado es también presidente desde el 1-may-2026 [25].</w:t>
      </w:r>
    </w:p>
    <w:p>
      <w:pPr>
        <w:pStyle w:val="ListParagraph"/>
        <w:numPr>
          <w:ilvl w:val="0"/>
          <w:numId w:val="2"/>
        </w:numPr>
        <w:spacing w:after="60"/>
      </w:pPr>
      <w:r>
        <w:t xml:space="preserve">Incidente de ciberseguridad descubierto el 25-ago-2026, sin efecto material determinado [30].</w:t>
      </w:r>
    </w:p>
    <w:p>
      <w:pPr>
        <w:pStyle w:val="ListParagraph"/>
        <w:numPr>
          <w:ilvl w:val="0"/>
          <w:numId w:val="2"/>
        </w:numPr>
        <w:spacing w:after="60"/>
      </w:pPr>
      <w:r>
        <w:t xml:space="preserve">Investigaciones civiles del Departamento de Justicia (programas de copago, ciberseguridad de NDCHealth) y demandas qui tam abiertas [1].</w:t>
      </w:r>
    </w:p>
    <w:p>
      <w:pPr>
        <w:pStyle w:val="ListParagraph"/>
        <w:numPr>
          <w:ilvl w:val="0"/>
          <w:numId w:val="2"/>
        </w:numPr>
        <w:spacing w:after="60"/>
      </w:pPr>
      <w:r>
        <w:t xml:space="preserve">Ventas de directivos con planes 10b5-1 por 27,7 M USD en 12 meses y ninguna compra en mercado [29].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(a 31-mar-2027), subida el 5-ago-2026: BPA ajustado de 44,20-45,00 USD (+13-15 %), ingresos +5-9 % y resultado operativo ajustado +9-13 % [3]. Detalle de mayo: flujo libre de 4.500-4.900 M, recompras de ≈ 5.000 M, 116-118 M de acciones, intereses de 380-420 M, minoritarios de 295-325 M y tipo del 17-19 % [2]. Objetivo a largo plazo (sept-2025, reafirmado en mayo de 2026): BPA ajustado +13-16 % anual; resultado de segmento North American Pharmaceutical +5-8 %, Oncology &amp; Multispecialty +13-16 %, Prescription Technology Solutions +10-13 % [2]. Reafirmada el 1-oct-2026 con el acuerdo de CVS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16 analistas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461.421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16 analistas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459.729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461.421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845,00 – 1.200,00</w:t>
            </w:r>
          </w:p>
        </w:tc>
      </w:tr>
    </w:tbl>
    <w:p>
      <w:pPr>
        <w:spacing w:after="160" w:before="0"/>
      </w:pPr>
    </w:p>
    <w:p>
      <w:pPr>
        <w:pStyle w:val="Heading2"/>
      </w:pPr>
      <w:r>
        <w:t xml:space="preserve">Revisiones de estimaciones</w:t>
      </w:r>
    </w:p>
    <w:p>
      <w:pPr>
        <w:spacing w:after="100"/>
      </w:pPr>
      <w:r>
        <w:t xml:space="preserve">El BPA de FY2027 del consenso subió de 44,27 USD hace 90 días a 44,66 hoy y el de FY2028 de 50,34 a 50,63 (+0,6 %), tras la subida de la guía del 5-ago [3, 32]. Los objetivos de precio suben: Leerink 1.030 → 1.070 USD el 7-oct, Citigroup 945 → 1.000 en julio, Argus 850 → 970 en septiembre; Evercore lo bajó de 1.000 a 950 en agosto [33]. Contraste: MarketBeat da 19 analistas (15 comprar, 4 mantener) con un objetivo medio de 983,29 USD y un consenso de FY2027 de 44,73 [33]; Yahoo, 14 objetivos con media 1001,43 USD [32]. Sin consenso gratuito de FY2029.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bl>
    <w:p>
      <w:pPr>
        <w:spacing w:after="160" w:before="0"/>
      </w:pPr>
    </w:p>
    <w:p>
      <w:pPr>
        <w:spacing w:after="100"/>
      </w:pPr>
      <w:r>
        <w:t xml:space="preserve">La acción ha batido con holgura al índice: +38,5 % anual en cinco años frente al +12,6 % del S&amp;P 500 y al +8,3 % del sector sanitario (rentabilidad total) [31]. Lo explica el BPA ajustado (+21 % anual entre FY2021 y FY2026) más la subida del múltiplo, del ≈ 8x adelantado en 2021 a ≈ 20x hoy [2, 31]. Beta muy baja (0,29 mensual a cinco años; 0,52 ajustada) y volatilidad del 30 % en el último año, alta para un distribuidor por los saltos en resultados (+16,5 % el 5-feb-2026) y la caída de marzo-mayo de 2026 (−27 % desde el máximo) [31, 39].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 / +20,9 % / +16,0 % / +26,9 %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+38,6 %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(23-sep: objetivo de BPA a largo plazo subido al 13-16 %, +6,4 % ese día) y resultados del 2T26 con subida de guía (5-nov)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(4-feb): BPA ajustado +16 %, guía subida a 38,80-39,20 USD; +16,5 % el 5-feb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del retiro del director financiero (−4,8 % el 5-mar), corrección tras la subida de febrero, caída del sector el 6-may (−7,2 %; Cencora rebajó su guía de ingresos por bajadas de precio de marcas y pérdida de clientes) y guía de FY2027 (+12-14 %) por debajo del objetivo a largo plazo; mínimo de 723,68 USD el 11-may [2, 27,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dividendo (+15 %), resultados del 1T27 con BPA +20 % y guía subida (+5,6 % el 5-ago) [3,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principio con CVS hasta 2032 (1-oct, +5,3 %: quita el mayor riesgo de cliente), compra del 49 % de Option Care Health (6-oct) y subidas de objetivos (Leerink 1.070 USD); máximo histórico de 1.004,84 USD el 16-oct [23, 33,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49 % de Option Care Health con CD&amp;R (≈ 1.400 M USD; valor empresa total ≈ 5.800 M, 14,3 veces el EBITDA de 12 meses), con marco para comprar después el 51 % de CD&amp;R; cierre en el primer semestre de 2027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principio para extender la distribución a CVS (24 % de las ventas) hasta junio de 2032; contrato definitivo pendiente; guía de FY2027 reafirmada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Precision Medicine Group por ≈ 2.250 M USD en caja (servicios clínicos y de comercialización para laboratorios), pendiente de autorizaciones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 de ciberseguridad descubierto; la empresa no lo considera material a la fecha del 8-K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Leerink sube el objetivo de 1.030 a 1.070 USD; objetivo medio de los analistas ≈ 983-1.001 USD, ya en el precio [32,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Apollo compra ≈ 13 % de Medical-Surgical por 1.250 M USD; la separación (Wellverse, escisión o canje sin impuestos) sigue sin fecha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con planes 10b5-1 por 27,7 M USD en 12 meses (17,0 M del consejero delegado), ninguna compra; ventas programadas ligadas a la entrega de acciones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FY2027 el 4-nov-2026 (fecha según la nota de CVS)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máximos históricos (1.004,84 USD) tras subir un 21 % en tres meses (aviso P2): la subida tiene causa en hechos de la empresa (resultados que baten, guía subida, CVS hasta 2032), no en especulación [3, 23]. No hay colocaciones, ampliaciones ni decisiones judiciales con fecha que puedan mover el precio más de un 5 % en contra; la separación de Medical-Surgical no tiene fecha y las compras pendientes (Option Care, Precision Medicine) son pequeñas frente a una capitalización de 117.000 M USD. Los resultados del 4-nov no retrasan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ejercicio (31 de marzo) de Yahoo [31]. El PER de los últimos 12 meses con el BPA GAAP no sirve en FY2021 (pérdida por el cargo de opioides): se excluye. En base ajustada adelantada (la de la regla a 12 meses), el múltiplo pasó de 8,2x en marzo de 2021 a 19,3x en marzo de 2026 y ≈ 20x hoy: el mercado ha revalorizado el negocio por el giro a oncología y servicios, la salida de Europa, la desaparición de la incertidumbre de opioides (acuerdo de 2022) y la mejora del crecimiento (BPA +13-16 % anual previsto frente a +8-10 % antes).</w:t>
      </w:r>
    </w:p>
    <w:p>
      <w:pPr>
        <w:pStyle w:val="Heading1"/>
      </w:pPr>
      <w:r>
        <w:t xml:space="preserve">18. Comparables cotizados</w:t>
      </w:r>
    </w:p>
    <w:p>
      <w:pPr>
        <w:pStyle w:val="Confianza"/>
        <w:spacing w:after="100"/>
      </w:pPr>
      <w:r>
        <w:t xml:space="preserve">Confianza: Media</w:t>
      </w:r>
    </w:p>
    <w:p>
      <w:pPr>
        <w:spacing w:after="100"/>
      </w:pPr>
      <w:r>
        <w:t xml:space="preserve">Los otros dos grandes distribuidores de EE. UU. (Cencora y Cardinal), un distribuidor sanitario de EE. UU. con más margen (Henry Schein), tres mayoristas japoneses (Medipal, Alfresa, Suzuken), uno suizo (Galenica) y uno australiano (EBOS) [36]. Solo Cencora y Cardinal son comparables de verdad (mismo mercado, mismos clientes, mismo circulante negativo); los japoneses y europeos operan en mercados de precios regulados con más caja y menos crecimiento, y Henry Schein en dental. No se incluye Option Care (infusión, en proceso de compra) ni Sinopharm (otro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McKesson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Cencora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Cardinal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Schein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Medipal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Alfresa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Suzuken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Galenica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EBOS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10,5x / 14,4x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15,6x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410.983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 / 0,2x / 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1.798,67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McKesson cotiza a ≈ 20x el BPA ajustado de los próximos 12 meses, por encima de Cencora (17,2x) y de Cardinal (19,6x) [32, 36]. La prima frente a ellos (≈ 10-15 %) se justifica en parte por más crecimiento previsto del BPA (guía +13-15 % frente a +11-13 % de Cencora) y menos dependencia de un solo cliente desde la renovación de CVS; la de Cardinal es menor por su mezcla con productos médicos. Frente a los mayoristas japoneses (13-18x con caja neta), la prima refleja el ROIC y el crecimiento. Múltiplo de referencia: la mediana de los comparables (15,6x), que el motor usa en el alcista; el EV/EBITDA se mira con cuidado porque el de Cencora no está en la misma base.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Option Care Health (infusión a domicilio)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(51 %) y McKesson (49 %)</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sobre las ventas y el EBITDA de 12 meses de Yahoo [32,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13 % de Medical-Surgical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Apollo Funds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implícito según la dirección; preferentes convertibles [2,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Ventures (70 %; Florida Cancer Specialists)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McKesson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2.500 M USD por el 70 %; valor del 100 % por extrapolación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PRISM Vision (80 %; retina)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McKesson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875 M USD por el 80 %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Precision Medicine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en caja; pendiente de cierre [38].</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pagan por encima del múltiplo de McKesson en servicios de infusión (14,3x el EBITDA de Option Care) y por debajo en distribución de material médico (≈ 1,1 veces ventas por Medical-Surgical) [2, 37]. Casi ninguna publica EBITDA: sirven para saber a qué precio compra McKesson, no para valorarla. Con 117.000 M USD de capitalización y sin accionista de control, McKesson no es objetivo de una compra; su valor de control no es relevante.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(+7,0 %, fijo) es el centro de la guía de ingresos del 5-9 %, con el 1T27 al +13 % por los GLP-1 y la oncología comprada [3]; el consenso espera un 7,05 % [32]. Después, 6,5 % en FY2028e y descenso hasta el 3,5 % en FY2034e: por debajo del 11,1 % anual de FY2021-FY2026 y del 8,4 % que IQVIA prevé para el gasto farmacéutico de EE. UU. en 2024-2029 [21], porque los precios negociados de Medicare, la política de nación más favorecida y la bajada de precio de los GLP-1 restan ventas facturadas aunque no tanto margen (en marcas, más del 95 % de la retribución es comisión de servicio) [3, 20].</w:t>
      </w:r>
    </w:p>
    <w:p>
      <w:pPr>
        <w:keepNext/>
        <w:spacing w:after="100"/>
      </w:pPr>
      <w:r>
        <w:rPr>
          <w:b/>
          <w:bCs/>
        </w:rPr>
        <w:t xml:space="preserve">Márgenes.</w:t>
      </w:r>
    </w:p>
    <w:p>
      <w:pPr>
        <w:spacing w:after="100"/>
      </w:pPr>
      <w:r>
        <w:t xml:space="preserve">Margen EBITDA = EBITDA ajustado de la empresa menos 0,05 puntos de costes recurrentes que excluye: 1,67 % en FY2027e, calibrado con la guía de resultado operativo ajustado (+9-13 %) [3], hasta el 1,79 % en FY2032e. La subida (13 puntos básicos en cinco años) es la mezcla: oncología (2,96 % de margen de segmento) y soluciones tecnológicas de recetas (19,45 %) crecen el doble que la distribución (1,03 %), como guía la dirección a largo plazo (13-16 % y 10-13 % frente al 5-8 % de North American Pharmaceutical) [2]; es menos de lo que subió el EBITDA ajustado en FY2021-FY2026 (de 1,7 % a 1,66 % con los GLP-1 restando y la oncología sumando) [2].</w:t>
      </w:r>
    </w:p>
    <w:p>
      <w:pPr>
        <w:keepNext/>
        <w:spacing w:after="100"/>
      </w:pPr>
      <w:r>
        <w:rPr>
          <w:b/>
          <w:bCs/>
        </w:rPr>
        <w:t xml:space="preserve">Inversión y circulante.</w:t>
      </w:r>
    </w:p>
    <w:p>
      <w:pPr>
        <w:spacing w:after="100"/>
      </w:pPr>
      <w:r>
        <w:t xml:space="preserve">Inversión del 0,19 % de las ventas (inmovilizado y software, ≈ 770 M USD en FY2026 [1]) y amortización del 0,18 % (729 M en FY2026, con la de los intangibles de Core Ventures y PRISM). Circulante comercial del −1,9 % de las ventas, igual que en FY2026: crecer genera caja. No se proyectan compras: Precision Medicine y Option Care, pendientes, se tratan como neutras (valen lo que cuestan) y quedan fuera de la proyección y del puente.</w:t>
      </w:r>
    </w:p>
    <w:p>
      <w:pPr>
        <w:keepNext/>
        <w:spacing w:after="100"/>
      </w:pPr>
      <w:r>
        <w:rPr>
          <w:b/>
          <w:bCs/>
        </w:rPr>
        <w:t xml:space="preserve">Coste del capital.</w:t>
      </w:r>
    </w:p>
    <w:p>
      <w:pPr>
        <w:spacing w:after="100"/>
      </w:pPr>
      <w:r>
        <w:t xml:space="preserve">Tasa libre del 5,09 % (bono del Tesoro a 10 años, 16-oct-2026 [34]); beta de 0,70, por encima de la ajustada mensual a 5 años (0,52) y cerca de la de los rivales con deuda asimilada (opioides) [31]; prima del 5,5 %; coste de la deuda del 5,3 % antes de impuestos (emisiones de 2025-2026); peso de la deuda del 11 % a valor de mercado con los opioides. WACC del 8,43 %. Con la prima implícita del mercado (4,2 % [35]) el WACC baja al 7,62 % y el DCF sube a 1.060,52 USD: la diferencia entre comprar caro y pagar lo justo es la tasa.</w:t>
      </w:r>
    </w:p>
    <w:p>
      <w:pPr>
        <w:keepNext/>
        <w:spacing w:after="100"/>
      </w:pPr>
      <w:r>
        <w:rPr>
          <w:b/>
          <w:bCs/>
        </w:rPr>
        <w:t xml:space="preserve">Valor terminal.</w:t>
      </w:r>
    </w:p>
    <w:p>
      <w:pPr>
        <w:spacing w:after="100"/>
      </w:pPr>
      <w:r>
        <w:t xml:space="preserve">Crecimiento a perpetuidad del 2,5 %, entre la inflación esperada de EE. UU. y la tasa libre menos dos puntos y medio: el gasto en medicamentos crece con la población mayor. El múltiplo de salida implícito (≈ 13-14 veces el EBITDA) queda por debajo de los 15-19 a los que cotizan hoy McKesson y Cardinal [36]. El valor terminal pesa un 66 %.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607.210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852,88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2.210,85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2.358,24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frente al 5,3 %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-3.336 M, con un capex bruto medio del 0,2 % de las ventas). En un negocio de activos ligeros, el crecimiento medio del 5,3 %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ingresos +5-9 % [3]: volumen de GLP-1 (≈ 15.000 M USD en el 1T27, +24 % [24]) y de oncología (dos meses más de Core Ventures), menos bajadas de precio de marcas y la venta de Noruega.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(población mayor, especialidad, biosimilares, GLP-1 orales) y precio del 1,5 % (inflación de marcas por debajo de la histórica por Medicare y nación más favorecida) [1,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y precio del 1,5 %; CVS renovado hasta 2032, sin pérdida de volumen en el caso base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y precio del 1,5 %: converge hacia el crecimiento del gasto farmacéutico real.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3,5 % y precio del 1,5 %.</w:t>
            </w:r>
          </w:p>
        </w:tc>
      </w:tr>
    </w:tbl>
    <w:p>
      <w:pPr>
        <w:spacing w:after="160" w:before="0"/>
      </w:pPr>
    </w:p>
    <w:p>
      <w:pPr>
        <w:spacing w:after="100"/>
      </w:pPr>
      <w:r>
        <w:t xml:space="preserve">El crecimiento proyectado (5,0 % medio en FY2027e-FY2034e) está por debajo del histórico (11,1 % anual en FY2021-FY2026) y del mercado (8,4 % previsto por IQVIA hasta 2029) [21], y no necesita capital: el circulante es negativo y la inversión es del 0,19 % de las ventas. El motor da también «Sí». La cuota (≈ 39 % del volumen de los tres grandes de EE. UU. [20]) se mantiene en el caso base, con el mayor cliente (CVS, 24 % de las ventas) renovado hasta 2032 [23]. El riesgo no está en el volumen sino en el precio: si las comisiones se recortan con los precios de lista, la ventas crecen y el margen no;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(base: 1,8 %)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8,4 %)</w:t>
            </w:r>
          </w:p>
        </w:tc>
      </w:tr>
    </w:tbl>
    <w:p>
      <w:pPr>
        <w:spacing w:after="160" w:before="0"/>
      </w:pPr>
    </w:p>
    <w:p>
      <w:pPr>
        <w:spacing w:after="100"/>
      </w:pPr>
      <w:r>
        <w:t xml:space="preserve">El DCF da 901,71 USD por acción, un 10,3 % bajo el precio, con un WACC del 8,43 % y un valor terminal que pesa el 66 %. El DCF inverso dice que el precio descuenta un crecimiento del 6,4 % anual con nuestro margen, frente al 5,0 % de nuestro caso base: el mercado paga que la oncología y los servicios a laboratorios mantengan el crecimiento de los últimos años durante más tiempo. No es imposible (el histórico es del 11,1 %), pero no deja margen: con nuestra prima de riesgo (5,5 %) la acción está cara un 10 %, y con la que hoy pide el mercado (4,2 %) vale 1.060,52 USD (+5,5 %). La diferencia entre las dos es la tasa, no las cifras. El bajista (crecimiento −2 puntos y margen −0,12 puntos: comisiones recortadas por la política de precios) vale 612,32 USD (−39 %): el margen tan fino amplifica cualquier cesión.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política de nación más favorecida y la venta directa de laboratorios al paciente (TrumpRx) bajan el precio de lista de las marcas y, con él, las comisiones; los GLP-1 abaratados y los precios negociados de Medicare restan ventas; la oncología pierde reembolsos de la parte B de Medicare. Crecimiento 2 puntos menor y margen 12 puntos básicos menor (≈ −7 % del EBITDA).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5-7 % con oncología, GLP-1 y soluciones tecnológicas, y margen que sube 13 puntos básicos en cinco años por la mezcla; CVS hasta 2032 sin cambios.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1.009,67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oncología y los servicios a laboratorios (Precision Medicine, Option Care) crecen más rápido y el apalancamiento operativo lleva el margen 6 puntos básicos por encima del base, con un punto más de crecimiento.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004,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856,35 USD (-14,8 %).</w:t>
      </w:r>
    </w:p>
    <w:p>
      <w:pPr>
        <w:spacing w:after="100"/>
      </w:pPr>
      <w:r>
        <w:t xml:space="preserve">La asimetría es desfavorable: el alcista vale 1.009,67 USD (+0,5 %) y el bajista 612,32 (−39,1 %). El margen del 1,7 % multiplica cualquier cambio: 12 puntos básicos de margen son el 7 % del EBITDA, y el valor terminal pesa el 66 %. El precio ya está en nuestro alcista: el mercado descuenta que todo salga bien. Con estos pesos, el valor ponderado de los escenarios (856,35 USD) queda un 15 % por debajo del precio.</w:t>
      </w:r>
    </w:p>
    <w:p>
      <w:pPr>
        <w:pStyle w:val="Heading1"/>
      </w:pPr>
      <w:r>
        <w:t xml:space="preserve">22. Suma de partes</w:t>
      </w:r>
    </w:p>
    <w:p>
      <w:pPr>
        <w:pStyle w:val="Confianza"/>
        <w:spacing w:after="100"/>
      </w:pPr>
      <w:r>
        <w:t xml:space="preserve">Confianza: Media</w:t>
      </w:r>
    </w:p>
    <w:p>
      <w:pPr>
        <w:spacing w:after="100"/>
      </w:pPr>
      <w:r>
        <w:t xml:space="preserve">No aplica como método de valoración: la distribución de North American Pharmaceutical da el 49 % del resultado de segmento y los cuatro negocios comparten clientes y logística. Medical-Surgical (≈ 15 % del resultado de segmento), que se separará como Wellverse, se valoró en junio de 2026 en ≈ 13.000 M USD de valor empresa con la entrada de Apollo (≈ 12,6 veces su resultado de segmento de FY2026), en línea con lo que el DCF le atribuye por su peso; la separación no cambia el valor para el accionista, que recibirá las acciones [4, 18].</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004,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860,55 USD (-14,4 % sobre 1.004,84).</w:t>
      </w:r>
    </w:p>
    <w:p>
      <w:pPr>
        <w:spacing w:after="100"/>
      </w:pPr>
      <w:r>
        <w:t xml:space="preserve">Pesos: DCF 45 %, escenarios 40 % y comparables 15 %. El DCF es el método más fiable para un negocio estable con circulante negativo, pero depende de la tasa: con la prima del mercado, +5,5 %. Los escenarios recogen la asimetría (bajista −39 %, alcista +0,5 %). Los comparables pesan poco: la mediana la bajan los japoneses, que cotizan a 4-6 veces el EBITDA con caja neta y un mercado de precios regulados; frente a Cencora (17,2 veces) y Cardinal (19,6) McKesson cotiza a 20,3 [36]. Las transacciones no pesan (Option Care a 14,3 veces el EBITDA es infusión a domicilio, otro negocio). El valor objetivo de la síntesis es de 860,55 USD (−14,4 %); el rango del DCF con ± 0,5 puntos (778-1.074) muestra que el precio está en la parte alta. El puente resta 4.470 M USD de opioides después de impuestos y 2.939 M de minoritarios (socios médicos y preferentes de Apollo); sin los opioides, el valor por acción subiría ≈ 38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(20.3x) ÷ 1.1 (tope: la mediana de 5 años, 16.2x,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spacing w:after="100"/>
      </w:pPr>
      <w:r>
        <w:rPr>
          <w:b/>
          <w:bCs/>
        </w:rPr>
        <w:t xml:space="preserve">Objetivo a 12 meses (ponderado):</w:t>
      </w:r>
      <w:r>
        <w:t xml:space="preserve"> 903,59 USD · rentabilidad -9,8 % (base -0,4 %) · señal Mantener.</w:t>
      </w:r>
    </w:p>
    <w:p>
      <w:pPr>
        <w:spacing w:after="100"/>
      </w:pPr>
      <w:r>
        <w:t xml:space="preserve">Para comparar, con la regla v2 (historia al cierre, mismo precio): 12,9x / 19,6x / 19,6x, -3,9 % Mantener; con el tope anterior del base (×1,3, 14-oct mediodía): -11,4 %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FY2027e (44,72 USD) coincide con el del consenso (44,66) y con el centro de la guía (44,20-45,00) [3, 32]; el de FY2028e (49,61) queda un 2,0 % por debajo del consenso (50,63) porque no incluye recompras no anunciadas: la empresa recompra ≈ 5.000 M USD al año (≈ 4 % del capital), lo que añadiría ≈ 3-4 puntos al año al BPA [3]. Con esas recompras, el BPA de FY2029e subiría a ≈ 58 USD y el base a 12 meses sería de ≈ +7 %; ni así llega al 12 % que pide la regla. La distancia con el objetivo medio de los analistas (1.001,43 USD) está en el múltiplo: ellos mantienen ≈ 20 veces y la regla común lleva el PER a 18,5 veces, a mitad de camino hacia la mediana de cinco años (16,2) con el tope de ÷1,1.</w:t>
      </w:r>
    </w:p>
    <w:p>
      <w:pPr>
        <w:keepNext/>
        <w:spacing w:after="100"/>
      </w:pPr>
      <w:r>
        <w:rPr>
          <w:b/>
          <w:bCs/>
        </w:rPr>
        <w:t xml:space="preserve">Del valor intrínseco al objetivo a 12 meses.</w:t>
      </w:r>
    </w:p>
    <w:p>
      <w:pPr>
        <w:spacing w:after="100"/>
      </w:pPr>
      <w:r>
        <w:t xml:space="preserve">El objetivo a 12 meses (903,59 USD, ponderado) queda un 10 % bajo el precio y el valor intrínseco (860,55) un 14 %: las dos cifras dicen lo mismo, el precio ya descuenta el crecimiento de la oncología y la renovación de CVS. El base (997,15 USD, −0,4 % con dividendo) supone que el BPA crece un 11 % y el múltiplo baja de 20,3 a 18,5 veces; el bajista (563,33) es el PER de 2022 sobre un BPA un 11 % menor. Para comprar haría falta un precio de 788,58 USD (−21,5 %). Para vender (ponderada ≤ −10 %), uno de 1.007,63 USD: a 0,3 % del cierre del 16-oct, la acción está en el filo entre Mantener y Vender.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guía de BPA (44,20-45,00 USD) y efecto del incidente de ciberseguridad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Precision Medicine Group y del 49 % de Option Care Health</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servicios a laboratorios e infusión a domicilio; más intereses o menos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definitivo con CVS hasta junio de 2032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Quita el mayor riesgo de cliente (24 %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tanda de precios negociados de Medicare y nuevos acuerdos de nación más favorecida; regla de comisiones de servicio (BFSF)</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ventas facturadas; efecto en margen limitado si las comisiones se mantienen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FY2028 frente a los 50,63 USD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Medical-Surgical (Wellverse)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Neutra en valor; simplifica la historia hacia oncología y tecnología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 5.000 M USD en FY2027; 2.530 M en 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 de BPA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la acción cotiza a 20,3 veces el BPA ajustado del próximo ejercicio frente a una mediana adelantada de cinco años de 16,2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vuelve a 16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11-15 % al año, que absorbe parte de la bajada del múltiplo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FY2028 por debajo del consenso o rotación del mercado fuera de defensivas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los medicamentos (nación más favorecida, venta directa del laboratorio, Medicare negociado, regla de comisiones de servicio)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95 % de la retribución en marcas es comisión pactada; genéricos y especialidad compensan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North American Pharmaceutical por debajo del 4 % sin pérdida de clientes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Oncología y retina: reembolsos de la parte B de Medicare y revalorización de los minoritarios rescatables de los socios médicos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 y 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entre consultas y distribución de especialidad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Oncology &amp; Multispecialty por debajo del 2,5 % o cargos por revalorización de rescatables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CVS 24 % de las ventas, diez primeros 73 %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si se pierde un cliente grande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extendido hasta 2032; integración logística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 de un gran cliente (OptumRx, Kroger) o retraso del contrato definitivo de CVS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Ciberseguridad (incidente de agosto de 2026) e investigaciones del Departamento de Justicia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lo considera material a la fecha del 8-K [30]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Interrupciones de suministro, demandas colectivas o cargos en el 2T27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Opioides fuera del acuerdo (subdivisiones no adheridas, Canadá)</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nacional cerrado; Baltimore retiró la demanda en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en Columbia Británica (2028) o cargos nuevos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 volumen sin margen y bajadas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casi nulo: pesa en ventas, poco en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North American Pharmaceutical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(automatización de autorizaciones previas y venta directa digital)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CoverMyMeds está integrada con farmacias y aseguradoras; la logística física con licencia no se sustituye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Prescription Technology Solutions a la baja con ingresos al alza</w:t>
            </w:r>
          </w:p>
        </w:tc>
      </w:tr>
    </w:tbl>
    <w:p>
      <w:pPr>
        <w:spacing w:after="160" w:before="0"/>
      </w:pPr>
    </w:p>
    <w:p>
      <w:pPr>
        <w:pStyle w:val="Heading2"/>
      </w:pPr>
      <w:r>
        <w:t xml:space="preserve">Pre-mortem</w:t>
      </w:r>
    </w:p>
    <w:p>
      <w:pPr>
        <w:spacing w:after="100"/>
      </w:pPr>
      <w:r>
        <w:t xml:space="preserve">Octubre de 2028: la acción ha perdido un 35 %. No fue la empresa, fue el precio: los acuerdos de nación más favorecida y la venta directa al paciente bajaron el precio de lista de las marcas, la CMS recortó las comisiones de servicio con su regla de 2026 y las ventas de North American Pharmaceutical crecieron un 2 % con el margen estancado. La oncología, que debía compensar, sufrió el recorte de reembolsos de la parte B de Medicare y los socios médicos ejercieron sus opciones de venta a valores altos. Precision Medicine y Option Care, compradas en el pico, no aportaron lo previsto y frenaron las recompras. El BPA creció un 7 % en vez del 13-16 % prometido y el mercado volvió a pagar 14-15 veces, como en 2022-2023. La señal temprana: una guía de FY2028 por debajo del consenso y la rotación fuera de las defensivas que habían cotizado a máximos.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3-5 años</w:t>
      </w:r>
    </w:p>
    <w:p>
      <w:pPr>
        <w:spacing w:after="100"/>
      </w:pPr>
      <w:r>
        <w:t xml:space="preserve">La IA no sustituye lo que hace la distribución, el 49 % del resultado de segmento: mover medicamentos físicos con licencia de la DEA, cadena de frío y crédito a miles de farmacias; ahí la IA baja costes (previsión de demanda, almacenes automatizados, atención al cliente). La exposición real está en Prescription Technology Solutions (CoverMyMeds, RxSS; ≈ 16 % del resultado de segmento con un margen del 19,45 % [2]): las autorizaciones previas y los programas de copago son trabajo administrativo que la IA puede automatizar. Si lo hace McKesson, gana margen; si lo hacen aseguradoras, PBM o empresas nuevas con agentes, pierde precio. En oncología y servicios a laboratorios (Precision Medicine) la IA en ensayos clínicos y datos de consultas es una oportunidad. Amenaza indirecta: plataformas digitales de venta directa del laboratorio al paciente [1]. Señal: margen de Prescription Technology Solutions a la baja con ingresos al alza.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McKesson es la seguridad del suministro y el control de sustancias reguladas (licencias de la DEA, sistemas de vigilancia de pedidos sospechosos tras los opioides), la ciberseguridad de una red que mueve un tercio de los medicamentos de EE. UU. y el acceso y precio de los medicamentos (Medicare, 340B, programas de copago) [1]. Las emisiones propias son pequeñas frente al tamaño (flota y almacenes); lo relevante en lo social es la cadena de suministro y la gestión de datos de pacientes en oncología y en las soluciones tecnológicas de recetas.</w:t>
      </w:r>
    </w:p>
    <w:p>
      <w:pPr>
        <w:pStyle w:val="Heading2"/>
      </w:pPr>
      <w:r>
        <w:t xml:space="preserve">Controversias</w:t>
      </w:r>
    </w:p>
    <w:p>
      <w:pPr>
        <w:spacing w:after="100"/>
      </w:pPr>
      <w:r>
        <w:t xml:space="preserve">Opioides: acuerdo nacional de 2022 con pagos anuales durante muchos años (pasivo de 5.658 M USD a 30-jun-2026), casos abiertos de subdivisiones que no se adhirieron y cuatro demandas en Canadá (juicio en Columbia Británica en febrero de 2028); Baltimore retiró su demanda en 2026 [4]. Investigaciones civiles del Departamento de Justicia sobre programas de copago y sobre la ciberseguridad de NDCHealth, y demandas qui tam [1]. Incidente de ciberseguridad descubierto el 25-ago-2026, sin efecto material determinado a la fecha [30]. Remuneración del consejero delegado de 24,21 M USD (ratio de 357 veces el empleado mediano) con un 91 % de apoyo en la junta [25, 26]. Calificaciones de MSCI, Sustainalytics o CDP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marcas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retribución en marcas está ligada al precio de lista y cómo cambia con los acuerdos de nación más favorecida y la regla de comisiones de servicio de la CMS?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(−39 %): si las comisiones caen con el precio, el margen cae con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frente a 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 5.000 M USD anuales de recompras se mantiene tras comprometer 3.650 M en Precision Medicine y Option Care?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dan 3-4 puntos de crecimiento del BPA, la diferencia entre nuestro FY2028e y 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Option 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y cuándo se compraría el 51 % de CD&amp;R y qué rentabilidad se espera sobre el capital total?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segunda compra de ≈ 1.500 M USD cambiaría la asignación de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Rescatables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calendario y la fórmula de las opciones de venta de los socios médicos de Core Ventures y PRISM y de los preferentes de Apollo?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2.563 M USD en el balance que se revalorizan contra el beneficio GAAP.</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Ciberseguridad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sistemas afectó el incidente del 25-ago-2026 y hubo datos de pacientes o interrupciones de suministro?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ataque a Change Healthcare en 2024 paralizó durante semanas las farmacias y las autorizaciones de EE. UU.: el mismo tipo de clientes que McKesson.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Wellverse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cómo se separa Medical-Surgical (escisión o canje) y con cuánta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perímetro del BPA y de la guía.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Oncología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y crecimiento orgánico tiene Florida Cancer Specialists sin el efecto de la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oncología debe crecer un 13-16 % al año para cumplir el objetivo a largo plazo.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($MCK)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Celebran el máximo histórico cerca de 1.000 USD y el acuerdo con CVS; alguno vende para pasar a tecnología y otro avisa del hueco en el gráfico de octubre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alcista (foso, oncología, recompras; subidas de recomendación tras el 1T27), con una nota de «mantener» en mayo y otra que pide cautela por la valoración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Benzinga / Stocktwits sobre Option Care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el diferencial de la oferta por Option Care y sobre si McKesson paga caro por entrar en infusión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de máximos y subidas de objetivo; las ventas de directivos aparecen sin debate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y foso («Big Moat», «impervious to inflation»)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siete años batiendo la guía y ROIC muy por encima del WACC; pero el precio ya lo descuenta (≈ 20x el BPA adelantado frente a una mediana de 16x) [41, 42].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hasta 2032 como «evento que despeja»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lo esencial, pero el contrato definitivo aún no está firmado y las condiciones no se conocen [41].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(Option Care, Precision Medicine): más riesgo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pequeñas frente a la empresa (≈ 3.650 M USD, 3 % de la capitalización) pero alejan a McKesson de la distribución pura; lo recoge el informe en capital y riesgos [42, 43].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subir un 32 % desde mayo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punto clave del informe: la regla a 12 meses da rentabilidad negativa por el múltiplo, no por el negocio [41].</w:t>
            </w:r>
          </w:p>
        </w:tc>
      </w:tr>
    </w:tbl>
    <w:p>
      <w:pPr>
        <w:spacing w:after="160" w:before="0"/>
      </w:pPr>
    </w:p>
    <w:p>
      <w:pPr>
        <w:spacing w:after="100"/>
      </w:pPr>
      <w:r>
        <w:t xml:space="preserve">El sentimiento es claramente positivo y mejora: los particulares ven a McKesson como valor defensivo de calidad en máximos, y los análisis de Seeking Alpha hablan de «re-rating» y de foso infravalorado [41, 42]. No hay capitulación ni miedo que aprovechar; al contrario, el entusiasmo va con el consenso de analistas (13 de 16 comprar). No anticipa ningún riesgo que el informe no tenga; lo que señala es que la valoración ya no es el argumento de compra.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45 (27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-1,9 % frente a -1,9 % real: genera una variación de circulante de -421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(27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(informe del auditor): no da el año de inicio; 2) proxy 2026, propuesta de ratificación de Deloitte: sin año; 3) búsqueda del año de inicio en EDGAR: no encontrado sin abrir proxies antiguos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BPA de FY2029e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quoteSummary (solo dos ejercicios); 2) MarketBeat (solo el año en curso);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FY2026 (cerrado el 31-mar-2026): cuentas, segmentos, clientes, deuda, opioides,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McKesson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https://www.sec.gov/Archives/edgar/data/927653/000092765326000069/mck-20260331.htm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McKesson Reports Fiscal 2026 Fourth Quarter and Full Year Results (conciliación GAAP-ajustado, guía FY2027 y objetivos a largo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https://www.sec.gov/Archives/edgar/data/927653/000092765326000066/mck_exhibit991x3312026.htm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2027 First Quarter Results and Raises Full Year Adjusted EPS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https://www.sec.gov/Archives/edgar/data/927653/000092765326000232/mck_exhibit991x6302026.htm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1T FY2027 (30-jun-2026): balance, deuda, Apollo en Medical-Surgical, minoritarios rescatables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https://www.sec.gov/Archives/edgar/data/927653/000092765326000234/mck-20260630.htm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2025 Fourth Quarter and Full Year Results (BPA ajustado 33,05 USD; guía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https://www.sec.gov/Archives/edgar/data/927653/000092765325000034/mck_exhibit991x3312025.htm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2024 Fourth Quarter and Full Year Results (BPA ajustado 27,44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https://www.sec.gov/Archives/edgar/data/927653/000092765324000033/mck_exhibit991x3312024.htm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2023 Fourth Quarter and Full Year Results (BPA ajustado 25,94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https://www.sec.gov/Archives/edgar/data/927653/000092765323000036/mck_exhibit991x3312023.htm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2022 Fourth Quarter and Full Year Results (BPA ajustado 23,69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https://www.sec.gov/Archives/edgar/data/927653/000092765322000047/mck_exhibit991x3312022.htm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2021 Fourth Quarter and Full Year Results (cargo de opioides de 8.100 M; BPA ajustado 17,21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https://www.sec.gov/Archives/edgar/data/927653/000092765321000033/mck_exhibit991x3312021.htm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2020 Fourth Quarter and Full Year Results (BPA ajustado 14,95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https://www.sec.gov/Archives/edgar/data/927653/000092765320000028/mckexhibit9913312020.htm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2019 Fourth Quarter and Full Year Results (BPA ajustado 13,57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https://www.sec.gov/Archives/edgar/data/927653/000119312519140444/d743681dex991.htm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2018 Fourth Quarter and Full Year Results (BPA ajustado 12,62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https://www.sec.gov/Archives/edgar/data/927653/000119312518172737/d576052dex991.htm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Supplemental historical segment financial information (nuevos segmentos, FY2024-FY2025 y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https://www.sec.gov/Archives/edgar/data/927653/000092765325000121/mck_ex991resegementation.htm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McKesson (amortizaciones, software capitalizado, deuda, minoritarios rescatables)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https://data.sec.gov/api/xbrl/companyfacts/CIK0000927653.json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2026 Second Quarter Results (guía 38,35-38,85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https://www.sec.gov/Archives/edgar/data/927653/000092765325000138/mck_exhibit991x9302025.htm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2026 Third Quarter Results (guía 38,80-39,20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https://www.sec.gov/Archives/edgar/data/927653/000092765326000015/mck_exhibit991x12312025.htm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Reports Fiscal 2026 First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https://www.sec.gov/Archives/edgar/data/927653/000092765325000105/mck_exhibit991x6302025.htm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(MCK) Q4 2026 Earnings Call Transcript (guía detallada de FY2027 por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https://fool.com/earnings/call-transcripts/2026/05/08/mckesson-mck-q4-2026-earnings-transcript/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Highlights Strategic Growth Strategies and Unveils Updated Long-Term Financial Targets at Investor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https://www.sec.gov/Archives/edgar/data/927653/000092765325000125/mck_ex991investordaypressr.htm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farmacéutica mayorista: ficha sectorial corta (tamaño, cuotas, márgenes,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(sectores/distribucion-farmaceutica-2026-10-15.md)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sectores/distribucion-farmaceutica-2026-10-15.md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FY2025 de Cencora (cuota, clientes, previsión de IQVIA del gasto farmacéutico)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https://www.sec.gov/Archives/edgar/data/1140859/000114085925000131/cor-20250930.htm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competidores (ventas, EBIT y márgenes del último ejercicio)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McKesson extend CVS distribution deals to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Commerce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https://www.pharmaceuticalcommerce.com/view/cardinal-health-mckesson-extend-cvs-distribution-deals-to-2032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Q1 earnings call highlights (GLP-1 de 15.000 M USD en el trimestre, +24 %; comisión por servicio &gt; 95 % en marcas)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MarketBeat (resumen de la conferencia)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https://www.nasdaq.com/articles/mckesson-q1-earnings-call-highlights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https://www.sec.gov/Archives/edgar/data/927653/000092765326000169/mck-20260612.htm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22-jul-2026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https://www.sec.gov/Archives/edgar/data/927653/000092765326000215/mck-20260722.htm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Announces Planned CFO Transition (Kenny Cheung, de Sysco, sustituye a Britt Vitalone)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https://www.sec.gov/Archives/edgar/data/927653/000092765326000035/ex991-502newsreleaseissued.htm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retiro de Thomas Rodgers; Ramesh Srinivasan, director de estrategia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https://www.sec.gov/Archives/edgar/data/927653/000092765326000185/mck-20260629.htm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McKesson (19-oct-2025 a 19-oct-2026),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https://www.sec.gov/cgi-bin/browse-edgar?action=getcompany&amp;CIK=0000927653&amp;type=4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incidente de ciberseguridad descubierto el 25-ago-2026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https://www.sec.gov/Archives/edgar/data/927653/000092765326000247/mck-20260825.htm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MCK, SPY y XLV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MCK y comparables (estimaciones de BPA y ventas, objetivos, recomendaciones):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sets new 1-year high (objetivo medio de 19 analistas 983,29 USD; Leerink 1.070; PER; consenso FY2027 44,73)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https://www.marketbeat.com/instant-alerts/price-mckesson-nyse-mck-sets-new-1-year-high-heres-why-2026-10-15/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distribución farmacéutica (14/15-oct-2026), llevados al cierre del 16-oct con el precio de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(sectores/distribucion-farmaceutica-2026-10-15-comparables.json) y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sectores/distribucion-farmaceutica-2026-10-15-comparables.json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CD&amp;R and McKesson Corporation Sign Agreement to Acquire Option Care Health (valor empresa ≈ 5.800 M USD, prima del 37 %)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https://www.sec.gov/Archives/edgar/data/927653/000092765326000253/ex991pressreleaseoctober62.htm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makes major $2.25B oncology drug development acquisition (Precision Medicine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HealthExec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https://healthexec.com/topics/healthcare-management/mergers-and-acquisitions/mckesson-makes-major-225b-oncology-drug-development-acquisition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Corp stock rises 16 % (5-feb-2026, tras el 3T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 /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https://script.finanzen.ch/nachrichten/aktien/mckesson-corp-stock-rises-16percent-1035790615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MCK (RSS,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https://seekingalpha.com/api/sa/combined/MCK.xml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$MCK (sept-oct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https://api.stocktwits.com/api/2/streams/symbol/MCK.json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de análisis sobre MCK (jul-oct 2026: «Re-Rated Again Amidst Increased M&amp;A Efforts», «Underestimating The Moat», «Checks All The Boxes… But There's A Big Catch»)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https://seekingalpha.com/symbol/MCK/analysis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Care Stock Trades Below McKesson's Deal Price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https://www.benzinga.com/trading-ideas/movers/26/10/62203209/option-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alertas y comentarios sobre McKesson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https://www.marketbeat.com/stocks/NYSE/MCK/news/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análisis value del 15-oct-2026 (mismo sector; referencia de comparables y de riesgos comunes)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(informes/cencora-2026-10-15)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informes/cencora-2026-10-15/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88,8 %</w:t>
      </w:r>
      <w:r>
        <w:t xml:space="preserve"> · Secciones con menos del 60 % de campos cubiertos: </w:t>
      </w:r>
      <w:r>
        <w:rPr>
          <w:b/>
          <w:bCs/>
        </w:rPr>
        <w:t xml:space="preserve">ninguna</w:t>
      </w:r>
      <w:r>
        <w:t xml:space="preserve"> · Generado el 19 oct 2026.</w:t>
      </w:r>
    </w:p>
    <w:p>
      <w:pPr>
        <w:pStyle w:val="Nota"/>
        <w:spacing w:after="100"/>
      </w:pPr>
      <w:r>
        <w:t xml:space="preserve">Cifras en millones de USD, ejercicio a 31 de marzo etiquetado por el año en que termina (FY2026 = abr-25 a mar-26). El último ejercicio real es FY2026 y el LTM llega a jun-2026 (1T FY2027). Precio: cierre del 16-oct-2026 (1.004,84 USD); la sesión del 19-oct no había cerrado al hacer el análisis. Segmentos con la estructura vigente desde FY2026 (cuatro segmentos más «Otros»), reexpresada por la empresa solo para FY2024 y FY2025. El BPA de la regla a 12 meses y su historia están en la base AJUSTADA de la empresa (sin amortización de intangibles comprados, opioides, LIFO, litigios, reestructuración, costes de separación ni plusvalías), la misma que el consenso; el DCF resta 0,05 puntos de margen por los costes que se repiten y el ajustado excluye. Medical-Surgical (Wellverse), cuya separación está anunciada sin fecha, sigue dentro de la proyección: la separación no cambia el valor para el accionista. Precision Medicine Group y el 49 % de Option Care, pendientes de cierre, se tratan como neutras (fuera de la proyección y del puente). Rating de S&amp;P y Moody's sin comprobar. Precio de una acción en EUR: ≈ 895,2 EUR (1,1225 USD por EUR [32]), un 3,0 %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McKesson Corporation (MCK)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1.004,84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(723,68 – 1.014,99)</c:v>
                </c:pt>
                <c:pt idx="1">
                  <c:v>Precio objetivo de los analistas (845,00 – 1.200,00)</c:v>
                </c:pt>
                <c:pt idx="2">
                  <c:v>Comparables: PER NTM (690,71 – 853,79)</c:v>
                </c:pt>
                <c:pt idx="3">
                  <c:v>DCF (WACC y g ± 0,5) (778,28 – 1.074,46)</c:v>
                </c:pt>
                <c:pt idx="4">
                  <c:v>Escenarios (bajista – alcista) (612,32 – 1.009,67)</c:v>
                </c:pt>
                <c:pt idx="5">
                  <c:v>DCF con la prima implícita del mercado (4,2 %)</c:v>
                </c:pt>
                <c:pt idx="6">
                  <c:v>Precio actual (1.004,84)</c:v>
                </c:pt>
              </c:strCache>
            </c:strRef>
          </c:cat>
          <c:val>
            <c:numRef>
              <c:f>Hoja1!$B$2:$B$8</c:f>
              <c:numCache>
                <c:formatCode>#,##0</c:formatCode>
                <c:ptCount val="7"/>
                <c:pt idx="0">
                  <c:v>723.68</c:v>
                </c:pt>
                <c:pt idx="1">
                  <c:v>845</c:v>
                </c:pt>
                <c:pt idx="2">
                  <c:v>690.71</c:v>
                </c:pt>
                <c:pt idx="3">
                  <c:v>778.28</c:v>
                </c:pt>
                <c:pt idx="4">
                  <c:v>612.32</c:v>
                </c:pt>
                <c:pt idx="5">
                  <c:v>957.04</c:v>
                </c:pt>
                <c:pt idx="6">
                  <c:v>999.82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(723,68 – 1.014,99)</c:v>
                </c:pt>
                <c:pt idx="1">
                  <c:v>Precio objetivo de los analistas (845,00 – 1.200,00)</c:v>
                </c:pt>
                <c:pt idx="2">
                  <c:v>Comparables: PER NTM (690,71 – 853,79)</c:v>
                </c:pt>
                <c:pt idx="3">
                  <c:v>DCF (WACC y g ± 0,5) (778,28 – 1.074,46)</c:v>
                </c:pt>
                <c:pt idx="4">
                  <c:v>Escenarios (bajista – alcista) (612,32 – 1.009,67)</c:v>
                </c:pt>
                <c:pt idx="5">
                  <c:v>DCF con la prima implícita del mercado (4,2 %)</c:v>
                </c:pt>
                <c:pt idx="6">
                  <c:v>Precio actual (1.004,84)</c:v>
                </c:pt>
              </c:strCache>
            </c:strRef>
          </c:cat>
          <c:val>
            <c:numRef>
              <c:f>Hoja1!$C$2:$C$8</c:f>
              <c:numCache>
                <c:formatCode>#,##0</c:formatCode>
                <c:ptCount val="7"/>
                <c:pt idx="0">
                  <c:v>291.31000000000006</c:v>
                </c:pt>
                <c:pt idx="1">
                  <c:v>355</c:v>
                </c:pt>
                <c:pt idx="2">
                  <c:v>163.07999999999993</c:v>
                </c:pt>
                <c:pt idx="3">
                  <c:v>296.18000000000006</c:v>
                </c:pt>
                <c:pt idx="4">
                  <c:v>397.3499999999999</c:v>
                </c:pt>
                <c:pt idx="5">
                  <c:v>229.51</c:v>
                </c:pt>
                <c:pt idx="6">
                  <c:v>10.039999999999964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North American Pharmaceutical</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261368</c:v>
                </c:pt>
                <c:pt idx="1">
                  <c:v>304507</c:v>
                </c:pt>
                <c:pt idx="2">
                  <c:v>336652</c:v>
                </c:pt>
              </c:numCache>
            </c:numRef>
          </c:val>
        </c:ser>
        <c:ser>
          <c:idx val="1"/>
          <c:order val="1"/>
          <c:tx>
            <c:strRef>
              <c:f>Hoja1!$C$1</c:f>
              <c:strCache>
                <c:ptCount val="1"/>
                <c:pt idx="0">
                  <c:v>Oncology &amp; Multispecialty</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30490</c:v>
                </c:pt>
                <c:pt idx="1">
                  <c:v>36862</c:v>
                </c:pt>
                <c:pt idx="2">
                  <c:v>48423</c:v>
                </c:pt>
              </c:numCache>
            </c:numRef>
          </c:val>
        </c:ser>
        <c:ser>
          <c:idx val="2"/>
          <c:order val="2"/>
          <c:tx>
            <c:strRef>
              <c:f>Hoja1!$D$1</c:f>
              <c:strCache>
                <c:ptCount val="1"/>
                <c:pt idx="0">
                  <c:v>Prescription Technology Solutions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4769</c:v>
                </c:pt>
                <c:pt idx="1">
                  <c:v>5216</c:v>
                </c:pt>
                <c:pt idx="2">
                  <c:v>5805</c:v>
                </c:pt>
              </c:numCache>
            </c:numRef>
          </c:val>
        </c:ser>
        <c:ser>
          <c:idx val="3"/>
          <c:order val="3"/>
          <c:tx>
            <c:strRef>
              <c:f>Hoja1!$E$1</c:f>
              <c:strCache>
                <c:ptCount val="1"/>
                <c:pt idx="0">
                  <c:v>Medical-Surgical Solutions (Wellverse, en separación)</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11309</c:v>
                </c:pt>
                <c:pt idx="1">
                  <c:v>11380</c:v>
                </c:pt>
                <c:pt idx="2">
                  <c:v>11507</c:v>
                </c:pt>
              </c:numCache>
            </c:numRef>
          </c:val>
        </c:ser>
        <c:ser>
          <c:idx val="4"/>
          <c:order val="4"/>
          <c:tx>
            <c:strRef>
              <c:f>Hoja1!$F$1</c:f>
              <c:strCache>
                <c:ptCount val="1"/>
                <c:pt idx="0">
                  <c:v>Otros (Noruega, vendida) y gastos corporativos</c:v>
                </c:pt>
              </c:strCache>
            </c:strRef>
          </c:tx>
          <c:spPr>
            <a:solidFill>
              <a:srgbClr val="E87BA4"/>
            </a:solidFill>
            <a:ln w="12700">
              <a:solidFill>
                <a:srgbClr val="FFFFFF"/>
              </a:solidFill>
            </a:ln>
          </c:spPr>
          <c:invertIfNegative val="0"/>
          <c:cat>
            <c:strRef>
              <c:f>Hoja1!$A$2:$A$4</c:f>
              <c:strCache>
                <c:ptCount val="3"/>
                <c:pt idx="0">
                  <c:v>FY2024</c:v>
                </c:pt>
                <c:pt idx="1">
                  <c:v>FY2025</c:v>
                </c:pt>
                <c:pt idx="2">
                  <c:v>FY2026</c:v>
                </c:pt>
              </c:strCache>
            </c:strRef>
          </c:cat>
          <c:val>
            <c:numRef>
              <c:f>Hoja1!$F$2:$F$4</c:f>
              <c:numCache>
                <c:formatCode>#,##0</c:formatCode>
                <c:ptCount val="3"/>
                <c:pt idx="0">
                  <c:v>1015</c:v>
                </c:pt>
                <c:pt idx="1">
                  <c:v>1086</c:v>
                </c:pt>
                <c:pt idx="2">
                  <c:v>1043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North American Pharmaceutical</c:v>
                </c:pt>
                <c:pt idx="1">
                  <c:v>Oncology &amp; Multispecialty</c:v>
                </c:pt>
                <c:pt idx="2">
                  <c:v>Prescription Technology Solutions</c:v>
                </c:pt>
                <c:pt idx="3">
                  <c:v>Medical-Surgical Solutions (Wellverse, en separación)</c:v>
                </c:pt>
                <c:pt idx="4">
                  <c:v>Otros (Noruega, vendida) y gastos corporativos</c:v>
                </c:pt>
              </c:strCache>
            </c:strRef>
          </c:cat>
          <c:val>
            <c:numRef>
              <c:f>Hoja1!$B$2:$B$6</c:f>
              <c:numCache>
                <c:formatCode>General</c:formatCode>
                <c:ptCount val="5"/>
                <c:pt idx="0">
                  <c:v>83.4</c:v>
                </c:pt>
                <c:pt idx="1">
                  <c:v>12</c:v>
                </c:pt>
                <c:pt idx="2">
                  <c:v>1.4</c:v>
                </c:pt>
                <c:pt idx="3">
                  <c:v>2.9</c:v>
                </c:pt>
                <c:pt idx="4">
                  <c:v>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Canadá y resto</c:v>
                </c:pt>
              </c:strCache>
            </c:strRef>
          </c:cat>
          <c:val>
            <c:numRef>
              <c:f>Hoja1!$B$2:$B$3</c:f>
              <c:numCache>
                <c:formatCode>0"%"</c:formatCode>
                <c:ptCount val="2"/>
                <c:pt idx="0">
                  <c:v>96</c:v>
                </c:pt>
                <c:pt idx="1">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de los segmentos de EE. UU. de los tres grandes; estimación propia de la ficha sectorial))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2024</c:v>
                </c:pt>
                <c:pt idx="1">
                  <c:v>2025</c:v>
                </c:pt>
                <c:pt idx="2">
                  <c:v>2026e</c:v>
                </c:pt>
                <c:pt idx="3">
                  <c:v>2027e</c:v>
                </c:pt>
                <c:pt idx="4">
                  <c:v>2028e</c:v>
                </c:pt>
              </c:strCache>
            </c:strRef>
          </c:cat>
          <c:val>
            <c:numRef>
              <c:f>Hoja1!$B$2:$B$6</c:f>
              <c:numCache>
                <c:formatCode>#,##0</c:formatCode>
                <c:ptCount val="5"/>
                <c:pt idx="0">
                  <c:v>769000</c:v>
                </c:pt>
                <c:pt idx="1">
                  <c:v>856000</c:v>
                </c:pt>
                <c:pt idx="2">
                  <c:v>905000</c:v>
                </c:pt>
                <c:pt idx="3">
                  <c:v>950000</c:v>
                </c:pt>
                <c:pt idx="4">
                  <c:v>1000000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5</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McKesson</c:v>
                </c:pt>
                <c:pt idx="1">
                  <c:v>Cencora</c:v>
                </c:pt>
                <c:pt idx="2">
                  <c:v>Cardinal Health</c:v>
                </c:pt>
                <c:pt idx="3">
                  <c:v>Henry Schein</c:v>
                </c:pt>
                <c:pt idx="4">
                  <c:v>Medipal Holdings</c:v>
                </c:pt>
                <c:pt idx="5">
                  <c:v>Galenica</c:v>
                </c:pt>
              </c:strCache>
            </c:strRef>
          </c:cat>
          <c:val>
            <c:numRef>
              <c:f>Hoja1!$B$2:$B$7</c:f>
              <c:numCache>
                <c:formatCode>0.0"%"</c:formatCode>
                <c:ptCount val="6"/>
                <c:pt idx="0">
                  <c:v>1.5</c:v>
                </c:pt>
                <c:pt idx="1">
                  <c:v>0.83</c:v>
                </c:pt>
                <c:pt idx="2">
                  <c:v>0.99</c:v>
                </c:pt>
                <c:pt idx="3">
                  <c:v>5.18</c:v>
                </c:pt>
                <c:pt idx="4">
                  <c:v>2.14</c:v>
                </c:pt>
                <c:pt idx="5">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2</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Hoja1!$B$2:$B$15</c:f>
              <c:numCache>
                <c:formatCode>#,##0</c:formatCode>
                <c:ptCount val="14"/>
                <c:pt idx="0">
                  <c:v>238228</c:v>
                </c:pt>
                <c:pt idx="1">
                  <c:v>263966</c:v>
                </c:pt>
                <c:pt idx="2">
                  <c:v>276711</c:v>
                </c:pt>
                <c:pt idx="3">
                  <c:v>308951</c:v>
                </c:pt>
                <c:pt idx="4">
                  <c:v>359051</c:v>
                </c:pt>
                <c:pt idx="5">
                  <c:v>403430</c:v>
                </c:pt>
                <c:pt idx="6">
                  <c:v>431670</c:v>
                </c:pt>
                <c:pt idx="7">
                  <c:v>459729</c:v>
                </c:pt>
                <c:pt idx="8">
                  <c:v>487312</c:v>
                </c:pt>
                <c:pt idx="9">
                  <c:v>514115</c:v>
                </c:pt>
                <c:pt idx="10">
                  <c:v>539820</c:v>
                </c:pt>
                <c:pt idx="11">
                  <c:v>564112</c:v>
                </c:pt>
                <c:pt idx="12">
                  <c:v>586677</c:v>
                </c:pt>
                <c:pt idx="13">
                  <c:v>607210</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Hoja1!$C$2:$C$15</c:f>
              <c:numCache>
                <c:formatCode>#,##0</c:formatCode>
                <c:ptCount val="14"/>
                <c:pt idx="0">
                  <c:v>4130</c:v>
                </c:pt>
                <c:pt idx="1">
                  <c:v>5059</c:v>
                </c:pt>
                <c:pt idx="2">
                  <c:v>5098</c:v>
                </c:pt>
                <c:pt idx="3">
                  <c:v>5155</c:v>
                </c:pt>
                <c:pt idx="4">
                  <c:v>5697</c:v>
                </c:pt>
                <c:pt idx="5">
                  <c:v>6682</c:v>
                </c:pt>
                <c:pt idx="6">
                  <c:v>7209</c:v>
                </c:pt>
                <c:pt idx="7">
                  <c:v>7861</c:v>
                </c:pt>
                <c:pt idx="8">
                  <c:v>8528</c:v>
                </c:pt>
                <c:pt idx="9">
                  <c:v>9100</c:v>
                </c:pt>
                <c:pt idx="10">
                  <c:v>9609</c:v>
                </c:pt>
                <c:pt idx="11">
                  <c:v>10098</c:v>
                </c:pt>
                <c:pt idx="12">
                  <c:v>10502</c:v>
                </c:pt>
                <c:pt idx="13">
                  <c:v>10869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5.1</c:v>
                </c:pt>
                <c:pt idx="1">
                  <c:v>5</c:v>
                </c:pt>
                <c:pt idx="2">
                  <c:v>4.5</c:v>
                </c:pt>
                <c:pt idx="3">
                  <c:v>4.2</c:v>
                </c:pt>
                <c:pt idx="4">
                  <c:v>3.7</c:v>
                </c:pt>
                <c:pt idx="5">
                  <c:v>3.6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1.7</c:v>
                </c:pt>
                <c:pt idx="1">
                  <c:v>1.9</c:v>
                </c:pt>
                <c:pt idx="2">
                  <c:v>1.8</c:v>
                </c:pt>
                <c:pt idx="3">
                  <c:v>1.7</c:v>
                </c:pt>
                <c:pt idx="4">
                  <c:v>1.6</c:v>
                </c:pt>
                <c:pt idx="5">
                  <c:v>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1.4</c:v>
                </c:pt>
                <c:pt idx="1">
                  <c:v>1.6</c:v>
                </c:pt>
                <c:pt idx="2">
                  <c:v>1.6</c:v>
                </c:pt>
                <c:pt idx="3">
                  <c:v>1.5</c:v>
                </c:pt>
                <c:pt idx="4">
                  <c:v>1.4</c:v>
                </c:pt>
                <c:pt idx="5">
                  <c:v>1.5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-1.9</c:v>
                </c:pt>
                <c:pt idx="1">
                  <c:v>0.4</c:v>
                </c:pt>
                <c:pt idx="2">
                  <c:v>1.3</c:v>
                </c:pt>
                <c:pt idx="3">
                  <c:v>1</c:v>
                </c:pt>
                <c:pt idx="4">
                  <c:v>0.9</c:v>
                </c:pt>
                <c:pt idx="5">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2">
                  <c:v>19</c:v>
                </c:pt>
                <c:pt idx="3">
                  <c:v>23.4</c:v>
                </c:pt>
                <c:pt idx="4">
                  <c:v>10.1</c:v>
                </c:pt>
                <c:pt idx="5">
                  <c:v>11.4</c:v>
                </c:pt>
                <c:pt idx="6">
                  <c:v>6</c:v>
                </c:pt>
                <c:pt idx="7">
                  <c:v>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29</c:v>
                </c:pt>
                <c:pt idx="1">
                  <c:v>26</c:v>
                </c:pt>
                <c:pt idx="2">
                  <c:v>26</c:v>
                </c:pt>
                <c:pt idx="3">
                  <c:v>26</c:v>
                </c:pt>
                <c:pt idx="4">
                  <c:v>26</c:v>
                </c:pt>
                <c:pt idx="5">
                  <c:v>25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31</c:v>
                </c:pt>
                <c:pt idx="1">
                  <c:v>27</c:v>
                </c:pt>
                <c:pt idx="2">
                  <c:v>27</c:v>
                </c:pt>
                <c:pt idx="3">
                  <c:v>26</c:v>
                </c:pt>
                <c:pt idx="4">
                  <c:v>24</c:v>
                </c:pt>
                <c:pt idx="5">
                  <c:v>23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63</c:v>
                </c:pt>
                <c:pt idx="1">
                  <c:v>55</c:v>
                </c:pt>
                <c:pt idx="2">
                  <c:v>59</c:v>
                </c:pt>
                <c:pt idx="3">
                  <c:v>58</c:v>
                </c:pt>
                <c:pt idx="4">
                  <c:v>58</c:v>
                </c:pt>
                <c:pt idx="5">
                  <c:v>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3870</c:v>
                </c:pt>
                <c:pt idx="1">
                  <c:v>3868</c:v>
                </c:pt>
                <c:pt idx="2">
                  <c:v>4572</c:v>
                </c:pt>
                <c:pt idx="3">
                  <c:v>3580</c:v>
                </c:pt>
                <c:pt idx="4">
                  <c:v>5187</c:v>
                </c:pt>
                <c:pt idx="5">
                  <c:v>5374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-4539</c:v>
                </c:pt>
                <c:pt idx="1">
                  <c:v>1114</c:v>
                </c:pt>
                <c:pt idx="2">
                  <c:v>3560</c:v>
                </c:pt>
                <c:pt idx="3">
                  <c:v>3002</c:v>
                </c:pt>
                <c:pt idx="4">
                  <c:v>3295</c:v>
                </c:pt>
                <c:pt idx="5">
                  <c:v>4762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105</c:v>
                </c:pt>
                <c:pt idx="1">
                  <c:v>200.7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8.4</c:v>
                </c:pt>
                <c:pt idx="1">
                  <c:v>8.4</c:v>
                </c:pt>
                <c:pt idx="2">
                  <c:v>8.4</c:v>
                </c:pt>
                <c:pt idx="3">
                  <c:v>8.4</c:v>
                </c:pt>
                <c:pt idx="4">
                  <c:v>8.4</c:v>
                </c:pt>
                <c:pt idx="5">
                  <c:v>8.4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21614.3</c:v>
                </c:pt>
                <c:pt idx="1">
                  <c:v>-97.2</c:v>
                </c:pt>
                <c:pt idx="2">
                  <c:v>-172.4</c:v>
                </c:pt>
                <c:pt idx="3">
                  <c:v>-156.8</c:v>
                </c:pt>
                <c:pt idx="4">
                  <c:v>-162.9</c:v>
                </c:pt>
                <c:pt idx="5">
                  <c:v>-224.3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0.21</c:v>
                </c:pt>
                <c:pt idx="1">
                  <c:v>0.46</c:v>
                </c:pt>
                <c:pt idx="2">
                  <c:v>0.18</c:v>
                </c:pt>
                <c:pt idx="3">
                  <c:v>0.2</c:v>
                </c:pt>
                <c:pt idx="4">
                  <c:v>-0.01</c:v>
                </c:pt>
                <c:pt idx="5">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FY2027</c:v>
                </c:pt>
                <c:pt idx="1">
                  <c:v>FY2028</c:v>
                </c:pt>
                <c:pt idx="2">
                  <c:v>FY2029</c:v>
                </c:pt>
                <c:pt idx="3">
                  <c:v>FY2030</c:v>
                </c:pt>
                <c:pt idx="4">
                  <c:v>FY2031</c:v>
                </c:pt>
                <c:pt idx="5">
                  <c:v>FY2032+</c:v>
                </c:pt>
              </c:strCache>
            </c:strRef>
          </c:cat>
          <c:val>
            <c:numRef>
              <c:f>Hoja1!$B$2:$B$7</c:f>
              <c:numCache>
                <c:formatCode>#,##0</c:formatCode>
                <c:ptCount val="6"/>
                <c:pt idx="0">
                  <c:v>1267</c:v>
                </c:pt>
                <c:pt idx="1">
                  <c:v>390</c:v>
                </c:pt>
                <c:pt idx="2">
                  <c:v>1030</c:v>
                </c:pt>
                <c:pt idx="3">
                  <c:v>723</c:v>
                </c:pt>
                <c:pt idx="4">
                  <c:v>676</c:v>
                </c:pt>
                <c:pt idx="5">
                  <c:v>2440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35</c:v>
                </c:pt>
                <c:pt idx="1">
                  <c:v>6</c:v>
                </c:pt>
                <c:pt idx="2">
                  <c:v>867</c:v>
                </c:pt>
                <c:pt idx="3">
                  <c:v>272</c:v>
                </c:pt>
                <c:pt idx="4">
                  <c:v>24</c:v>
                </c:pt>
                <c:pt idx="5">
                  <c:v>3416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276</c:v>
                </c:pt>
                <c:pt idx="1">
                  <c:v>277</c:v>
                </c:pt>
                <c:pt idx="2">
                  <c:v>292</c:v>
                </c:pt>
                <c:pt idx="3">
                  <c:v>314</c:v>
                </c:pt>
                <c:pt idx="4">
                  <c:v>345</c:v>
                </c:pt>
                <c:pt idx="5">
                  <c:v>381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742</c:v>
                </c:pt>
                <c:pt idx="1">
                  <c:v>3516</c:v>
                </c:pt>
                <c:pt idx="2">
                  <c:v>3638</c:v>
                </c:pt>
                <c:pt idx="3">
                  <c:v>3025</c:v>
                </c:pt>
                <c:pt idx="4">
                  <c:v>3146</c:v>
                </c:pt>
                <c:pt idx="5">
                  <c:v>4750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c:v>
                </c:pt>
                <c:pt idx="1">
                  <c:v>Vanguard Capital Management</c:v>
                </c:pt>
                <c:pt idx="2">
                  <c:v>Consejeros y directivos</c:v>
                </c:pt>
                <c:pt idx="3">
                  <c:v>Autocartera</c:v>
                </c:pt>
              </c:strCache>
            </c:strRef>
          </c:cat>
          <c:val>
            <c:numRef>
              <c:f>Hoja1!$B$2:$B$5</c:f>
              <c:numCache>
                <c:formatCode>0.0"%"</c:formatCode>
                <c:ptCount val="4"/>
                <c:pt idx="0">
                  <c:v>7.9</c:v>
                </c:pt>
                <c:pt idx="1">
                  <c:v>7.8</c:v>
                </c:pt>
                <c:pt idx="2">
                  <c:v>0.1</c:v>
                </c:pt>
                <c:pt idx="3">
                  <c:v>58.6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-28.3</c:v>
                </c:pt>
                <c:pt idx="1">
                  <c:v>11.9</c:v>
                </c:pt>
                <c:pt idx="2">
                  <c:v>-28.4</c:v>
                </c:pt>
                <c:pt idx="3">
                  <c:v>26.7</c:v>
                </c:pt>
                <c:pt idx="4">
                  <c:v>27.1</c:v>
                </c:pt>
                <c:pt idx="5">
                  <c:v>44.2</c:v>
                </c:pt>
                <c:pt idx="6">
                  <c:v>51.8</c:v>
                </c:pt>
                <c:pt idx="7">
                  <c:v>24.1</c:v>
                </c:pt>
                <c:pt idx="8">
                  <c:v>23.7</c:v>
                </c:pt>
                <c:pt idx="9">
                  <c:v>44.5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8.2</c:v>
                </c:pt>
                <c:pt idx="1">
                  <c:v>9.9</c:v>
                </c:pt>
                <c:pt idx="2">
                  <c:v>10.2</c:v>
                </c:pt>
                <c:pt idx="3">
                  <c:v>14.2</c:v>
                </c:pt>
                <c:pt idx="4">
                  <c:v>15.2</c:v>
                </c:pt>
                <c:pt idx="5">
                  <c:v>16.7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14.2</c:v>
                </c:pt>
                <c:pt idx="1">
                  <c:v>14.2</c:v>
                </c:pt>
                <c:pt idx="2">
                  <c:v>14.2</c:v>
                </c:pt>
                <c:pt idx="3">
                  <c:v>14.2</c:v>
                </c:pt>
                <c:pt idx="4">
                  <c:v>14.2</c:v>
                </c:pt>
                <c:pt idx="5">
                  <c:v>14.2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McKesson</c:v>
                </c:pt>
                <c:pt idx="1">
                  <c:v>Cencora</c:v>
                </c:pt>
                <c:pt idx="2">
                  <c:v>Cardinal Health</c:v>
                </c:pt>
                <c:pt idx="3">
                  <c:v>Henry Schein</c:v>
                </c:pt>
                <c:pt idx="4">
                  <c:v>Medipal Holdings</c:v>
                </c:pt>
                <c:pt idx="5">
                  <c:v>Alfresa Holdings</c:v>
                </c:pt>
                <c:pt idx="6">
                  <c:v>Suzuken</c:v>
                </c:pt>
                <c:pt idx="7">
                  <c:v>Galenica</c:v>
                </c:pt>
                <c:pt idx="8">
                  <c:v>EBOS Group</c:v>
                </c:pt>
              </c:strCache>
            </c:strRef>
          </c:cat>
          <c:val>
            <c:numRef>
              <c:f>Hoja1!$B$2:$B$10</c:f>
              <c:numCache>
                <c:formatCode>0.0"x"</c:formatCode>
                <c:ptCount val="9"/>
                <c:pt idx="2">
                  <c:v>14.2</c:v>
                </c:pt>
                <c:pt idx="3">
                  <c:v>13.1</c:v>
                </c:pt>
                <c:pt idx="4">
                  <c:v>5.6</c:v>
                </c:pt>
                <c:pt idx="5">
                  <c:v>4.7</c:v>
                </c:pt>
                <c:pt idx="6">
                  <c:v>4.5</c:v>
                </c:pt>
                <c:pt idx="7">
                  <c:v>20.2</c:v>
                </c:pt>
                <c:pt idx="8">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Cardinal Health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6.4</c:v>
                </c:pt>
              </c:numCache>
            </c:numRef>
          </c:xVal>
          <c:yVal>
            <c:numRef>
              <c:f>Hoja1!$C$2</c:f>
              <c:numCache>
                <c:formatCode>0.0"x"</c:formatCode>
                <c:ptCount val="1"/>
                <c:pt idx="0">
                  <c:v>14.2</c:v>
                </c:pt>
              </c:numCache>
            </c:numRef>
          </c:yVal>
          <c:smooth val="0"/>
        </c:ser>
        <c:ser>
          <c:idx val="1"/>
          <c:order val="1"/>
          <c:tx>
            <c:strRef>
              <c:f>Hoja1!$A$3</c:f>
              <c:strCache>
                <c:ptCount val="1"/>
                <c:pt idx="0">
                  <c:v>Henry Schein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5.2</c:v>
                </c:pt>
              </c:numCache>
            </c:numRef>
          </c:xVal>
          <c:yVal>
            <c:numRef>
              <c:f>Hoja1!$C$3</c:f>
              <c:numCache>
                <c:formatCode>0.0"x"</c:formatCode>
                <c:ptCount val="1"/>
                <c:pt idx="0">
                  <c:v>13.1</c:v>
                </c:pt>
              </c:numCache>
            </c:numRef>
          </c:yVal>
          <c:smooth val="0"/>
        </c:ser>
        <c:ser>
          <c:idx val="2"/>
          <c:order val="2"/>
          <c:tx>
            <c:strRef>
              <c:f>Hoja1!$A$4</c:f>
              <c:strCache>
                <c:ptCount val="1"/>
                <c:pt idx="0">
                  <c:v>Medipal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3.7</c:v>
                </c:pt>
              </c:numCache>
            </c:numRef>
          </c:xVal>
          <c:yVal>
            <c:numRef>
              <c:f>Hoja1!$C$4</c:f>
              <c:numCache>
                <c:formatCode>0.0"x"</c:formatCode>
                <c:ptCount val="1"/>
                <c:pt idx="0">
                  <c:v>5.6</c:v>
                </c:pt>
              </c:numCache>
            </c:numRef>
          </c:yVal>
          <c:smooth val="0"/>
        </c:ser>
        <c:ser>
          <c:idx val="3"/>
          <c:order val="3"/>
          <c:tx>
            <c:strRef>
              <c:f>Hoja1!$A$5</c:f>
              <c:strCache>
                <c:ptCount val="1"/>
                <c:pt idx="0">
                  <c:v>Alfresa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3.5</c:v>
                </c:pt>
              </c:numCache>
            </c:numRef>
          </c:xVal>
          <c:yVal>
            <c:numRef>
              <c:f>Hoja1!$C$5</c:f>
              <c:numCache>
                <c:formatCode>0.0"x"</c:formatCode>
                <c:ptCount val="1"/>
                <c:pt idx="0">
                  <c:v>4.7</c:v>
                </c:pt>
              </c:numCache>
            </c:numRef>
          </c:yVal>
          <c:smooth val="0"/>
        </c:ser>
        <c:ser>
          <c:idx val="4"/>
          <c:order val="4"/>
          <c:tx>
            <c:strRef>
              <c:f>Hoja1!$A$6</c:f>
              <c:strCache>
                <c:ptCount val="1"/>
                <c:pt idx="0">
                  <c:v>Suzuken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3.6</c:v>
                </c:pt>
              </c:numCache>
            </c:numRef>
          </c:xVal>
          <c:yVal>
            <c:numRef>
              <c:f>Hoja1!$C$6</c:f>
              <c:numCache>
                <c:formatCode>0.0"x"</c:formatCode>
                <c:ptCount val="1"/>
                <c:pt idx="0">
                  <c:v>4.5</c:v>
                </c:pt>
              </c:numCache>
            </c:numRef>
          </c:yVal>
          <c:smooth val="0"/>
        </c:ser>
        <c:ser>
          <c:idx val="5"/>
          <c:order val="5"/>
          <c:tx>
            <c:strRef>
              <c:f>Hoja1!$A$7</c:f>
              <c:strCache>
                <c:ptCount val="1"/>
                <c:pt idx="0">
                  <c:v>Galenica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c:v>
                </c:pt>
              </c:numCache>
            </c:numRef>
          </c:xVal>
          <c:yVal>
            <c:numRef>
              <c:f>Hoja1!$C$7</c:f>
              <c:numCache>
                <c:formatCode>0.0"x"</c:formatCode>
                <c:ptCount val="1"/>
                <c:pt idx="0">
                  <c:v>20.2</c:v>
                </c:pt>
              </c:numCache>
            </c:numRef>
          </c:yVal>
          <c:smooth val="0"/>
        </c:ser>
        <c:ser>
          <c:idx val="6"/>
          <c:order val="6"/>
          <c:tx>
            <c:strRef>
              <c:f>Hoja1!$A$8</c:f>
              <c:strCache>
                <c:ptCount val="1"/>
                <c:pt idx="0">
                  <c:v>EBOS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5.4</c:v>
                </c:pt>
              </c:numCache>
            </c:numRef>
          </c:xVal>
          <c:yVal>
            <c:numRef>
              <c:f>Hoja1!$C$8</c:f>
              <c:numCache>
                <c:formatCode>0.0"x"</c:formatCode>
                <c:ptCount val="1"/>
                <c:pt idx="0">
                  <c:v>10</c:v>
                </c:pt>
              </c:numCache>
            </c:numRef>
          </c:yVal>
          <c:smooth val="0"/>
        </c:ser>
        <c:axId val="10"/>
        <c:axId val="20"/>
      </c:scatterChart>
      <c:valAx>
        <c:axId val="10"/>
        <c:scaling>
          <c:orientation val="minMax"/>
          <c:max val="8"/>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Option Care Health (infusión a domicilio)</c:v>
                </c:pt>
                <c:pt idx="1">
                  <c:v>≈ 13 % de Medical-Surgical Solutions</c:v>
                </c:pt>
                <c:pt idx="2">
                  <c:v>Core Ventures (70 %; Florida Cancer Specialists)</c:v>
                </c:pt>
                <c:pt idx="3">
                  <c:v>PRISM Vision (80 %; retina)</c:v>
                </c:pt>
                <c:pt idx="4">
                  <c:v>Precision Medicine Group</c:v>
                </c:pt>
              </c:strCache>
            </c:strRef>
          </c:cat>
          <c:val>
            <c:numRef>
              <c:f>Hoja1!$B$2:$B$6</c:f>
              <c:numCache>
                <c:formatCode>0.0"x"</c:formatCode>
                <c:ptCount val="5"/>
                <c:pt idx="0">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5587</c:v>
                </c:pt>
                <c:pt idx="1">
                  <c:v>6185</c:v>
                </c:pt>
                <c:pt idx="2">
                  <c:v>6673</c:v>
                </c:pt>
                <c:pt idx="3">
                  <c:v>7079</c:v>
                </c:pt>
                <c:pt idx="4">
                  <c:v>7430</c:v>
                </c:pt>
                <c:pt idx="5">
                  <c:v>7762</c:v>
                </c:pt>
                <c:pt idx="6">
                  <c:v>8021</c:v>
                </c:pt>
                <c:pt idx="7">
                  <c:v>8248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39692</c:v>
                </c:pt>
                <c:pt idx="1">
                  <c:v>78052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1.004,84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612.32</c:v>
                </c:pt>
                <c:pt idx="1">
                  <c:v>901.71</c:v>
                </c:pt>
                <c:pt idx="2">
                  <c:v>1009.67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1.004,84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(723,68 – 1.014,99)</c:v>
                </c:pt>
                <c:pt idx="1">
                  <c:v>Precio objetivo de los analistas (845,00 – 1.200,00)</c:v>
                </c:pt>
                <c:pt idx="2">
                  <c:v>Comparables: PER NTM (690,71 – 853,79)</c:v>
                </c:pt>
                <c:pt idx="3">
                  <c:v>DCF (WACC y g ± 0,5) (778,28 – 1.074,46)</c:v>
                </c:pt>
                <c:pt idx="4">
                  <c:v>Escenarios (bajista – alcista) (612,32 – 1.009,67)</c:v>
                </c:pt>
                <c:pt idx="5">
                  <c:v>DCF con la prima implícita del mercado (4,2 %)</c:v>
                </c:pt>
                <c:pt idx="6">
                  <c:v>Precio actual (1.004,84)</c:v>
                </c:pt>
              </c:strCache>
            </c:strRef>
          </c:cat>
          <c:val>
            <c:numRef>
              <c:f>Hoja1!$B$2:$B$8</c:f>
              <c:numCache>
                <c:formatCode>#,##0</c:formatCode>
                <c:ptCount val="7"/>
                <c:pt idx="0">
                  <c:v>723.68</c:v>
                </c:pt>
                <c:pt idx="1">
                  <c:v>845</c:v>
                </c:pt>
                <c:pt idx="2">
                  <c:v>690.71</c:v>
                </c:pt>
                <c:pt idx="3">
                  <c:v>778.28</c:v>
                </c:pt>
                <c:pt idx="4">
                  <c:v>612.32</c:v>
                </c:pt>
                <c:pt idx="5">
                  <c:v>957.04</c:v>
                </c:pt>
                <c:pt idx="6">
                  <c:v>999.82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(723,68 – 1.014,99)</c:v>
                </c:pt>
                <c:pt idx="1">
                  <c:v>Precio objetivo de los analistas (845,00 – 1.200,00)</c:v>
                </c:pt>
                <c:pt idx="2">
                  <c:v>Comparables: PER NTM (690,71 – 853,79)</c:v>
                </c:pt>
                <c:pt idx="3">
                  <c:v>DCF (WACC y g ± 0,5) (778,28 – 1.074,46)</c:v>
                </c:pt>
                <c:pt idx="4">
                  <c:v>Escenarios (bajista – alcista) (612,32 – 1.009,67)</c:v>
                </c:pt>
                <c:pt idx="5">
                  <c:v>DCF con la prima implícita del mercado (4,2 %)</c:v>
                </c:pt>
                <c:pt idx="6">
                  <c:v>Precio actual (1.004,84)</c:v>
                </c:pt>
              </c:strCache>
            </c:strRef>
          </c:cat>
          <c:val>
            <c:numRef>
              <c:f>Hoja1!$C$2:$C$8</c:f>
              <c:numCache>
                <c:formatCode>#,##0</c:formatCode>
                <c:ptCount val="7"/>
                <c:pt idx="0">
                  <c:v>291.31000000000006</c:v>
                </c:pt>
                <c:pt idx="1">
                  <c:v>355</c:v>
                </c:pt>
                <c:pt idx="2">
                  <c:v>163.07999999999993</c:v>
                </c:pt>
                <c:pt idx="3">
                  <c:v>296.18000000000006</c:v>
                </c:pt>
                <c:pt idx="4">
                  <c:v>397.3499999999999</c:v>
                </c:pt>
                <c:pt idx="5">
                  <c:v>229.51</c:v>
                </c:pt>
                <c:pt idx="6">
                  <c:v>10.039999999999964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