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Automatic Data Processing, Inc.</w:t>
      </w:r>
    </w:p>
    <w:p>
      <w:pPr>
        <w:spacing w:after="60"/>
        <w:rPr>
          <w:color w:val="52514E"/>
          <w:sz w:val="22"/>
          <w:szCs w:val="22"/>
        </w:rPr>
      </w:pPr>
      <w:r>
        <w:rPr>
          <w:color w:val="52514E"/>
          <w:sz w:val="22"/>
          <w:szCs w:val="22"/>
        </w:rPr>
        <w:t xml:space="preserve">ADP · Nasdaq Global Select Market · ISIN US0530151036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280,32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296,94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+8,3 % (base +12,6 %)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221,23 USD · mercado 251,53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111.623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Automatic Data Processing,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ADP / US0530151036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profesionales: proceso de nóminas, RR. HH. y coempleo (HCM)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Roseland (Nueva Jersey) · 1949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https://www.adp.com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280,32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188,16 – 288,00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111.623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112.358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591 M USD/día (3 meses)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296,94 USD</w:t>
      </w:r>
      <w:r>
        <w:t xml:space="preserve"> frente a 280,32 · Rentabilidad a 12 meses </w:t>
      </w:r>
      <w:r>
        <w:rPr>
          <w:b/>
          <w:bCs/>
        </w:rPr>
        <w:t xml:space="preserve">+8,3 % (base +12,6 %)</w:t>
      </w:r>
      <w:r>
        <w:t xml:space="preserve"> · Valor intrínseco 221,23 USD · con la prima implícita del mercado: 251,53 (-10,3 %) · Alcista / bajista -9,2 % / -45,2 %</w:t>
      </w:r>
    </w:p>
    <w:p>
      <w:pPr>
        <w:spacing w:after="100"/>
      </w:pPr>
      <w:r>
        <w:rPr>
          <w:b/>
        </w:rPr>
        <w:t xml:space="preserve">La recomendación y por qué.</w:t>
      </w:r>
      <w:r>
        <w:t xml:space="preserve"> Mantener, con convicción media. ADP es un negocio excelente a un precio que ya lo recoge: a 280,32 USD, nuestro objetivo a 12 meses es de 296,94 USD (rentabilidad ponderada del 8,3 % con dividendo y del 12,6 % en el caso base), por debajo del umbral del 15 % para comprar, y el valor intrínseco es de 221,23 USD, un 21,1 % por debajo del precio. El objetivo medio de los analistas (286,40 USD) queda dentro de nuestro rango y por debajo de nuestro base. A 12 meses la asimetría es aceptable (+27,9 % alcista frente a −19,8 % bajista); a largo plazo, con nuestro WACC, no lo es. La convicción es media porque las dos reglas de valor coinciden y la rentabilidad está lejos de los umbrales; bajaría si los empleados por cliente se volvieran negativos y subiría con una caída del precio por debajo de 221 USD.</w:t>
      </w:r>
    </w:p>
    <w:p>
      <w:pPr>
        <w:spacing w:after="100"/>
      </w:pPr>
      <w:r>
        <w:rPr>
          <w:b/>
        </w:rPr>
        <w:t xml:space="preserve">El negocio.</w:t>
      </w:r>
      <w:r>
        <w:t xml:space="preserve"> Más de 1,1 millones de clientes, retención del 92,1 %, más de 1,3 puntos de crecimiento anual por precio y un flotante de 40.400 M que rinde 1.354,8 M casi sin coste [3, 7]. El ROIC sobre capital operativo, calculado a mano, es del 56,7 % (43,7 % sin el flotante) frente a un WACC del 9,62 %: unos 47 puntos de creación de valor. Veredicto de calidad: </w:t>
      </w:r>
      <w:r>
        <w:rPr>
          <w:b/>
        </w:rPr>
        <w:t xml:space="preserve">Sí</w:t>
      </w:r>
      <w:r>
        <w:t xml:space="preserve">. La sostenibilidad del crecimiento es «Sí»: el 4,8 % medio que proyectamos sale de precio y nuevas ventas, no de capital, y queda por debajo del 6,6 % histórico.</w:t>
      </w:r>
    </w:p>
    <w:p>
      <w:pPr>
        <w:spacing w:after="100"/>
      </w:pPr>
      <w:r>
        <w:rPr>
          <w:b/>
        </w:rPr>
        <w:t xml:space="preserve">Finanzas.</w:t>
      </w:r>
      <w:r>
        <w:t xml:space="preserve"> Ingresos de 21.947,4 M (+7 %), BPA de 10,94 USD (11,12 ajustado, +11 %), flujo libre de 4.776,1 M y deuda neta de 0,1 veces el EBITDA [3]. ADP devolvió 4.700 M en FY2026, más de lo que generó, con 1.000 M de bonos nuevos para recomprar.</w:t>
      </w:r>
    </w:p>
    <w:p>
      <w:pPr>
        <w:spacing w:after="100"/>
      </w:pPr>
      <w:r>
        <w:rPr>
          <w:b/>
        </w:rPr>
        <w:t xml:space="preserve">Valoración.</w:t>
      </w:r>
      <w:r>
        <w:t xml:space="preserve"> El DCF da 210,32 USD y, con la prima implícita del mercado, 250,93 USD. El precio descuenta un crecimiento anual del 9,8 % durante ocho años, o una rentabilidad del 8,0 %, menor que nuestro WACC: el mercado paga a ADP como a un bono de calidad. Solo su PER histórico (mediana adelantada de 24,2 veces; hoy 23,1 veces) justifica el precio, y por eso la regla a 12 meses da Mantener y no Vender. Los comparables por PER valen 255,96 USD.</w:t>
      </w:r>
    </w:p>
    <w:p>
      <w:pPr>
        <w:spacing w:after="100"/>
      </w:pPr>
      <w:r>
        <w:rPr>
          <w:b/>
        </w:rPr>
        <w:t xml:space="preserve">Riesgos y catalizadores.</w:t>
      </w:r>
      <w:r>
        <w:t xml:space="preserve"> El mayor riesgo es la IA: ADP cobra por empleado procesado y la IA puede reducir plantillas de oficina; hoy no se ve (empleados por cliente +1 %), pero el escenario bajista (−45,2 % en el DCF) es exactamente ese, con tipos a la baja. Exposición media, efecto mixto: también abarata el servicio y sostiene el margen. Segundo riesgo: una bajada de tipos, que restaría unos 21 M de beneficio antes de impuestos por cada 25 pb en 12 meses. Catalizadores: resultados del 1T27 el 28-oct-2026 y subida del dividendo en noviembre. En los foros el tono es dividido y mejora; no hay euforia.</w:t>
      </w:r>
    </w:p>
    <w:p>
      <w:pPr>
        <w:spacing w:after="100"/>
      </w:pPr>
      <w:r>
        <w:rPr>
          <w:b/>
        </w:rPr>
        <w:t xml:space="preserve">Qué cambiaría la decisión.</w:t>
      </w:r>
      <w:r>
        <w:t xml:space="preserve"> Compraríamos por debajo de 221,23 USD (valor intrínseco, donde además pasan la v3 y la v2) y venderíamos por encima de 337,31 USD. Pasaríamos a Vender si los empleados por cliente de EE. UU. son negativos dos trimestres seguidos o si la retención de Employer Services baja del 91,5 %.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296,94 USD</w:t>
      </w:r>
      <w:r>
        <w:t xml:space="preserve"> (rentabilidad +8,3 % (base +12,6 %)) · Valor intrínseco: 221,23 USD (-21,1 % sobre 280,32) · con la prima implícita del mercado: 251,53 (-10,3 %)</w:t>
      </w:r>
    </w:p>
    <w:p>
      <w:pPr>
        <w:spacing w:after="100"/>
      </w:pPr>
      <w:r>
        <w:t xml:space="preserve">ADP es la mayor empresa de nóminas y gestión de personal del mundo: 21.947,4 M USD de ingresos, más de 1,1 millones de clientes, retención del 92,1 % y un flotante de 40.400 M que le dio 1.354,8 M de intereses en FY2026 [3]. Gana un ROIC sobre capital operativo cercano al 57 %, sube precios más de 1,3 puntos al año y devuelve todo el flujo libre al accionista [3, 7].</w:t>
      </w:r>
    </w:p>
    <w:p>
      <w:pPr>
        <w:spacing w:after="100"/>
      </w:pPr>
      <w:r>
        <w:t xml:space="preserve">A 280,32 USD el mercado descuenta un crecimiento anual del 9,8 % durante ocho años, el doble del 4,8 % que proyectamos con la guía de la empresa, o lo que es lo mismo, una rentabilidad del 8,0 % anual, por debajo de nuestro WACC del 9,62 %. Cotiza a 23,1 veces el BPA de FY2027e, cerca de su mediana de cinco años (24,2 veces), tras rebotar casi un 50 % desde el mínimo de abril [23].</w:t>
      </w:r>
    </w:p>
    <w:p>
      <w:pPr>
        <w:spacing w:after="100"/>
      </w:pPr>
      <w:r>
        <w:t xml:space="preserve">El mercado acierta en la calidad y quizá se pasa en el precio: para invertir hoy hay que creer que la IA no reducirá los empleados por cliente y que ADP podrá seguir cotizando a 24 veces su beneficio con tipos al 5 %. Es una tenencia razonable para quien ya la tiene, no una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 × 11,79 = 218,11 · 23,6x × 13,09 = 308,92 · 25,2x × 13,96 = 351,79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 12,6 %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286,40 (nuestro base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221,23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 / -45,2 %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9,6 %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251,53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221,23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221,23 y 337,31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337,31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221,23 USD (valor intrínseco) sin cambios en la tesis, pasaríamos a Comprar.</w:t>
      </w:r>
    </w:p>
    <w:p>
      <w:pPr>
        <w:pStyle w:val="ListParagraph"/>
        <w:numPr>
          <w:ilvl w:val="0"/>
          <w:numId w:val="2"/>
        </w:numPr>
        <w:spacing w:after="60"/>
      </w:pPr>
      <w:r>
        <w:t xml:space="preserve">Si el precio supera 337,31 USD, pasaríamos a Vender.</w:t>
      </w:r>
    </w:p>
    <w:p>
      <w:pPr>
        <w:pStyle w:val="ListParagraph"/>
        <w:numPr>
          <w:ilvl w:val="0"/>
          <w:numId w:val="2"/>
        </w:numPr>
        <w:spacing w:after="60"/>
      </w:pPr>
      <w:r>
        <w:t xml:space="preserve">Si los empleados por cliente de EE. UU. son negativos dos trimestres seguidos, pasaríamos a Vender.</w:t>
      </w:r>
    </w:p>
    <w:p>
      <w:pPr>
        <w:pStyle w:val="ListParagraph"/>
        <w:numPr>
          <w:ilvl w:val="0"/>
          <w:numId w:val="2"/>
        </w:numPr>
        <w:spacing w:after="60"/>
      </w:pPr>
      <w:r>
        <w:t xml:space="preserve">Si la retención de Employer Services baja del 91,5 % en FY2027, revisaríamos el escenario bajista al alza de probabilidad.</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ADP mantiene su crecimiento del 5-6 % con margen al alza durante años y que el riesgo de la IA ya pasó, tras el rebote desde 188 USD; lo paga a 23 veces su beneficio, como en la última década.</w:t>
      </w:r>
    </w:p>
    <w:p>
      <w:pPr>
        <w:keepNext/>
        <w:spacing w:after="100"/>
      </w:pPr>
      <w:r>
        <w:rPr>
          <w:b/>
          <w:bCs/>
        </w:rPr>
        <w:t xml:space="preserve">Lo que creemos nosotros.</w:t>
      </w:r>
    </w:p>
    <w:p>
      <w:pPr>
        <w:spacing w:after="100"/>
      </w:pPr>
      <w:r>
        <w:t xml:space="preserve">Coincidimos en el negocio (BPA casi igual al del consenso), pero no en el precio: con tipos al 5,2 %, un negocio que crece al 5 % vale unas 18-21 veces su beneficio en el DCF, no 23-24.</w:t>
      </w:r>
    </w:p>
    <w:p>
      <w:pPr>
        <w:keepNext/>
        <w:spacing w:after="100"/>
      </w:pPr>
      <w:r>
        <w:rPr>
          <w:b/>
          <w:bCs/>
        </w:rPr>
        <w:t xml:space="preserve">Por qué podemos tener razón.</w:t>
      </w:r>
    </w:p>
    <w:p>
      <w:pPr>
        <w:spacing w:after="100"/>
      </w:pPr>
      <w:r>
        <w:t xml:space="preserve">La diferencia es la tasa de descuento, no las cifras: por eso no recomendamos vender. Si el precio cae por debajo de 221 USD sin que cambien los empleados por cliente, la tesis pasa a compra.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80,3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Retención en máximos</w:t>
      </w:r>
      <w:r>
        <w:t xml:space="preserve">: 92,1 % en Employer Services y relación media de 13 años [1, 3].</w:t>
      </w:r>
    </w:p>
    <w:p>
      <w:pPr>
        <w:pStyle w:val="ListParagraph"/>
        <w:numPr>
          <w:ilvl w:val="0"/>
          <w:numId w:val="2"/>
        </w:numPr>
        <w:spacing w:after="60"/>
      </w:pPr>
      <w:r>
        <w:rPr>
          <w:b/>
        </w:rPr>
        <w:t xml:space="preserve">Poder de precios</w:t>
      </w:r>
      <w:r>
        <w:t xml:space="preserve">: más de 1,3 puntos de crecimiento por precio en FY2026, por encima del plan [7].</w:t>
      </w:r>
    </w:p>
    <w:p>
      <w:pPr>
        <w:pStyle w:val="ListParagraph"/>
        <w:numPr>
          <w:ilvl w:val="0"/>
          <w:numId w:val="2"/>
        </w:numPr>
        <w:spacing w:after="60"/>
      </w:pPr>
      <w:r>
        <w:rPr>
          <w:b/>
        </w:rPr>
        <w:t xml:space="preserve">Flotante</w:t>
      </w:r>
      <w:r>
        <w:t xml:space="preserve">: 40.400 M de saldo medio que rinde 1.354,8 M casi sin coste, con subidas de tipos descontadas [3].</w:t>
      </w:r>
    </w:p>
    <w:p>
      <w:pPr>
        <w:pStyle w:val="ListParagraph"/>
        <w:numPr>
          <w:ilvl w:val="0"/>
          <w:numId w:val="2"/>
        </w:numPr>
        <w:spacing w:after="60"/>
      </w:pPr>
      <w:r>
        <w:rPr>
          <w:b/>
        </w:rPr>
        <w:t xml:space="preserve">ROIC operativo del 56,7 %</w:t>
      </w:r>
      <w:r>
        <w:t xml:space="preserve">, 47 puntos por encima del WACC (estimación propia sobre el balance).</w:t>
      </w:r>
    </w:p>
    <w:p>
      <w:pPr>
        <w:pStyle w:val="ListParagraph"/>
        <w:numPr>
          <w:ilvl w:val="0"/>
          <w:numId w:val="2"/>
        </w:numPr>
        <w:spacing w:after="60"/>
      </w:pPr>
      <w:r>
        <w:rPr>
          <w:b/>
        </w:rPr>
        <w:t xml:space="preserve">Devolución al accionista</w:t>
      </w:r>
      <w:r>
        <w:t xml:space="preserve">: 4.700 M en FY2026 y más de 50 años de dividendo creciente [3].</w:t>
      </w:r>
    </w:p>
    <w:p>
      <w:pPr>
        <w:pStyle w:val="Heading2"/>
      </w:pPr>
      <w:r>
        <w:t xml:space="preserve">En contra</w:t>
      </w:r>
    </w:p>
    <w:p>
      <w:pPr>
        <w:pStyle w:val="ListParagraph"/>
        <w:numPr>
          <w:ilvl w:val="0"/>
          <w:numId w:val="2"/>
        </w:numPr>
        <w:spacing w:after="60"/>
      </w:pPr>
      <w:r>
        <w:rPr>
          <w:b/>
        </w:rPr>
        <w:t xml:space="preserve">Precio exigente</w:t>
      </w:r>
      <w:r>
        <w:t xml:space="preserve">: el valor intrínseco (221,23 USD) queda un 21,1 % por debajo del precio.</w:t>
      </w:r>
    </w:p>
    <w:p>
      <w:pPr>
        <w:pStyle w:val="ListParagraph"/>
        <w:numPr>
          <w:ilvl w:val="0"/>
          <w:numId w:val="2"/>
        </w:numPr>
        <w:spacing w:after="60"/>
      </w:pPr>
      <w:r>
        <w:rPr>
          <w:b/>
        </w:rPr>
        <w:t xml:space="preserve">IA y empleo</w:t>
      </w:r>
      <w:r>
        <w:t xml:space="preserve">: cobra por empleado procesado; empleados por cliente ya solo crecen un 1 % [3].</w:t>
      </w:r>
    </w:p>
    <w:p>
      <w:pPr>
        <w:pStyle w:val="ListParagraph"/>
        <w:numPr>
          <w:ilvl w:val="0"/>
          <w:numId w:val="2"/>
        </w:numPr>
        <w:spacing w:after="60"/>
      </w:pPr>
      <w:r>
        <w:rPr>
          <w:b/>
        </w:rPr>
        <w:t xml:space="preserve">Crecimiento maduro</w:t>
      </w:r>
      <w:r>
        <w:t xml:space="preserve">: guía de +5-6 % en ingresos y nuevas ventas de +4-7 % [3].</w:t>
      </w:r>
    </w:p>
    <w:p>
      <w:pPr>
        <w:pStyle w:val="ListParagraph"/>
        <w:numPr>
          <w:ilvl w:val="0"/>
          <w:numId w:val="2"/>
        </w:numPr>
        <w:spacing w:after="60"/>
      </w:pPr>
      <w:r>
        <w:rPr>
          <w:b/>
        </w:rPr>
        <w:t xml:space="preserve">Tipos</w:t>
      </w:r>
      <w:r>
        <w:t xml:space="preserve">: los intereses de fondos son casi un cuarto del EBIT y bajarían con recortes de la Fed [1].</w:t>
      </w:r>
    </w:p>
    <w:p>
      <w:pPr>
        <w:pStyle w:val="ListParagraph"/>
        <w:numPr>
          <w:ilvl w:val="0"/>
          <w:numId w:val="2"/>
        </w:numPr>
        <w:spacing w:after="60"/>
      </w:pPr>
      <w:r>
        <w:rPr>
          <w:b/>
        </w:rPr>
        <w:t xml:space="preserve">PEO</w:t>
      </w:r>
      <w:r>
        <w:t xml:space="preserve">: margen del 13,1 %, 110 pb menos por el coste sanitario [3].</w:t>
      </w:r>
    </w:p>
    <w:p>
      <w:pPr>
        <w:pStyle w:val="Heading2"/>
      </w:pPr>
      <w:r>
        <w:t xml:space="preserve">Qué tiene que pasar para que la tesis funcione</w:t>
      </w:r>
    </w:p>
    <w:p>
      <w:pPr>
        <w:spacing w:after="100"/>
      </w:pPr>
      <w:r>
        <w:t xml:space="preserve">La tesis depende de que los empleados por cliente de EE. UU. no se vuelvan negativos por la IA y de que la retención siga por encima del 91,5 %. La señal de que falla sería un indicador de empleados por cliente negativo dos trimestres seguidos o una guía de nuevas ventas por debajo del +4 %. También, una guía de intereses de fondos por debajo de 1.500 M.</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por cliente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la IA y del ciclo en la base de cobro.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Employer Services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presión competitiva y el foso.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ventas de Employer Services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(2.200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futuro.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Intereses de fondos de clientes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1.354,8 M; guía 1.540-1.560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&lt; 1.500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un cuarto del EBIT.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Ampliación &lt; 50 pb</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 que la IA ahorra costes.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 / 15,7x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25,6x / 22,3x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ADP nació en 1949 en Nueva Jersey como Automatic Payrolls, un servicio de nóminas hechas a mano para pequeñas empresas; adoptó máquinas de tarjetas perforadas y, en los años sesenta, ordenadores, y salió a bolsa en 1961 [1]. En siete décadas pasó de procesar nóminas a vender todo el ciclo de gestión de personal: RR. HH., tiempo, beneficios, jubilación, seguros y el coempleo (PEO, ADP TotalSource) [1]. Dos decisiones la definen: la escisión de su negocio de servicios a intermediarios financieros (Broadridge, 2007) y de concesionarios de automóviles (CDK, 2014), que la dejaron como empresa pura de HCM, y la defensa frente al fondo activista Pershing Square en 2017, que exigía recortar costes y acelerar la nube [1]. Desde 2023 la dirige Maria Black, en la casa desde 1996, con la nueva plataforma global Lyric y la IA (ADP Assist) como apuestas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Automatic Payrolls en Nueva Jersey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Broadridge (servicios a intermediarios financieros)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CDK Global (software para concesionarios)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Pershing Square pierde la batalla por tres puestos en el consejo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Maria Black, consejera delegada; Carlos Rodríguez deja la presidencia ejecutiva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WorkForce Software por 1.173,1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de IA de ADP Assist para casi todos los clientes; bonos de 1.000 M al 5 % para recomprar acciones [1, 7].</w:t>
            </w:r>
          </w:p>
        </w:tc>
      </w:tr>
    </w:tbl>
    <w:p>
      <w:pPr>
        <w:spacing w:after="160" w:before="0"/>
      </w:pPr>
    </w:p>
    <w:p>
      <w:pPr>
        <w:pStyle w:val="Heading1"/>
      </w:pPr>
      <w:r>
        <w:t xml:space="preserve">2. Modelo de negocio</w:t>
      </w:r>
    </w:p>
    <w:p>
      <w:pPr>
        <w:spacing w:after="100"/>
      </w:pPr>
      <w:r>
        <w:t xml:space="preserve">ADP es el mayor proveedor de nóminas y gestión de personal (HCM) del mundo: más de 1,1 millones de clientes en más de 140 países y unos 67.000 empleados [1, 3]. Vende tres cosas: (1) </w:t>
      </w:r>
      <w:r>
        <w:rPr>
          <w:b/>
        </w:rPr>
        <w:t xml:space="preserve">programas en la nube</w:t>
      </w:r>
      <w:r>
        <w:t xml:space="preserve"> (RUN para pequeñas empresas; Workforce Now, usado por más de 90.000 empresas medianas y grandes de Norteamérica; Vantage y Lyric para grandes empresas y multinacionales) [1]; (2) </w:t>
      </w:r>
      <w:r>
        <w:rPr>
          <w:b/>
        </w:rPr>
        <w:t xml:space="preserve">servicios de externalización</w:t>
      </w:r>
      <w:r>
        <w:t xml:space="preserve"> de nóminas, impuestos, beneficios, cumplimiento y RR. HH. (ADP COS para grandes empresas), y jubilación y seguros vendidos a la misma base [1]; (3) </w:t>
      </w:r>
      <w:r>
        <w:rPr>
          <w:b/>
        </w:rPr>
        <w:t xml:space="preserve">coempleo (PEO)</w:t>
      </w:r>
      <w:r>
        <w:t xml:space="preserve">, en el que ADP es empleador legal de 775.000 trabajadores de sus clientes y les da acceso a seguros de salud de gran empresa [3]. Vende con una red comercial propia muy grande y por canales (asesores fiscales, bancos, socios) [1].</w:t>
      </w:r>
    </w:p>
    <w:p>
      <w:pPr>
        <w:pStyle w:val="Heading2"/>
      </w:pPr>
      <w:r>
        <w:t xml:space="preserve">Cómo gana dinero</w:t>
      </w:r>
    </w:p>
    <w:p>
      <w:pPr>
        <w:spacing w:after="100"/>
      </w:pPr>
      <w:r>
        <w:t xml:space="preserve">Cobra cuotas por empleado y por proceso de nómina, módulos y servicios; en el PEO, un porcentaje de la masa salarial más las primas de seguros, de las que 4.607,3 M USD se repercuten sin margen [3]. Es casi todo recurrente: la retención de ingresos de Employer Services es del 92,1 % y la relación media con el cliente dura unos 13 años (6 en el PEO) [1, 3]. El tercer pilar es el </w:t>
      </w:r>
      <w:r>
        <w:rPr>
          <w:b/>
        </w:rPr>
        <w:t xml:space="preserve">flotante</w:t>
      </w:r>
      <w:r>
        <w:t xml:space="preserve">: ADP cobra la nómina y los impuestos antes de pagarlos y guarda un saldo medio de 40.400 M, que le rindió 1.354,8 M en FY2026 (el 6,2 % de las ventas, casi sin coste) [3]. El margen depende de la plantilla de servicio y comercial (el gasto comercial de Employer Services fue de 2.365,7 M, el 16 % de sus ventas), de los tipos de interés y del empleo de los clientes: cobra más cuando crece la plantilla de sus clientes [1, 3].</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Employer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 Services (ADP TotalSource)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Employer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 Services (ADP TotalSource)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o grupo pesa más del 2 % de los ingresos [1]. Los contratos son por presupuesto o acuerdos de servicio, algunos de 2-7 años, pero la mayoría renovables; la retención de ingresos de Employer Services se mantuvo en el 92,1 % en FY2026, cerca del récord, y la del PEO mejoró pese a la subida del coste sanitario [3, 7]. </w:t>
      </w:r>
      <w:r>
        <w:rPr>
          <w:b/>
        </w:rPr>
        <w:t xml:space="preserve">Poder de precios demostrado</w:t>
      </w:r>
      <w:r>
        <w:t xml:space="preserve">: el precio aportó algo más de 1,3 puntos al crecimiento de Employer Services en FY2026, por encima del punto previsto en el día del inversor de 2025, con la retención estable; la dirección habla de «precio basado en valor» [7]. Los clientes grandes tardan de seis a nueve meses (más de dos años en multinacionales) en implantar el sistema, lo que eleva el coste de cambio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ingresos de clientes (Employer Services)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Cerca del récord; la guía de FY2027 prevé −10 a −30 pb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por cliente en EE. UU. («pays per control»)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0 a +1 %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ventas de Employer Services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M USD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+4-7 %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Saldo medio de fondos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37.600 M USD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40.400 M USD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del 3,2 % al 3,4 %; guía del 3,7 % en FY2027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medios en el PEO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748.000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762.000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≈+2 %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1,1 millones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Ningún cliente pesa más del 2 %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externalización de nóminas, el software de gestión de personal (HCM) y los servicios de RR. HH. y coempleo (PEO), sobre todo en EE. UU. (88 % de las ventas de ADP) [1, 3]. No hay una cifra oficial del mercado entero: el Census Bureau publica los ingresos de las empresas de servicios de nóminas de EE. UU. (NAICS 541214), que solo miden el núcleo de nóminas externalizadas y terminan en 2022 [12]; Paychex estima su mercado direccionable en pymes en más de 100.000 M USD, contando PEO, jubilación y seguros [11]. Se usa la serie del Census para la tendencia y las cuentas de los cotizados para la competencia; la cuota de ADP en el mercado amplio no se puede medir con una fuente.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27.589 M USD de ingresos de las empresas de servicios de nóminas de EE. UU. en 2022 (Census, solo el núcleo de nóminas) [12]; más de 100.000 M USD de mercado direccionable de pymes según Paychex (enero de 2025)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las empresas de servicios de nóminas de EE. UU., NAICS 541214, Censu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Empleo privado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empleo privado creció un 0,5 % en el año a septiembre de 2026 (135,7 millones) [13]; los empleados por cliente de ADP, un 1 % en FY2026, con guía de 0-1 %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 corto y medio plazo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1.354,8 M USD de intereses de fondos en FY2026; 25 pb en toda la curva mueven unos 21 M de beneficio antes de impuestos en 12 meses (10 M si solo se mueven los cortos)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Complejidad normativa laboral y fiscal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ACA, impuestos federales, estatales y locales, leyes de privacidad y ahora de IA: empujan a externalizar y favorecen al que tiene escala de cumplimiento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la nube y a plataformas globales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vivos de Lyric +94 % y cartera de oportunidades +50 % en FY2026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y automatización del trabajo administrativo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Reduce el coste de servicio de ADP y abre módulos nuevos, pero puede reducir plantillas de oficina (cobro por empleado) y abaratar la entrada de rivales; Paycom despidió a ~500 personas en 2025 atribuyéndolo a la IA [7,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«muy competitivo» con ADP, Paychex-Paycor, Paycom, Paylocity, Workday, UKG, Dayforce (privada), Rippling y Gusto, pero márgenes antes de impuestos del 26-39 % en los grandes (ADP 26,1 %, Paychex 38,6 %) [1,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1,1 millones de clientes y ninguno por encima del 2 %; cambiar de nómina es arriesgado y lento (6-9 meses en grandes empresas)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principal es la plantilla propia; en el PEO, las aseguradoras de salud trasladan su inflación (4.607,3 M repercutidos)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Rippling, Deel y Gusto entran con capital riesgo y producto moderno en pymes y medianas; la custodia de 40.000 M de fondos y el cumplimiento en 140 países exigen escala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 con módulo de HCM (Workday, SAP, Oracle), nómina integrada en programas contables (Intuit) y, a futuro, agentes de IA que hagan tareas de RR. HH. [1].</w:t>
            </w:r>
          </w:p>
        </w:tc>
      </w:tr>
    </w:tbl>
    <w:p>
      <w:pPr>
        <w:spacing w:after="160" w:before="0"/>
      </w:pPr>
    </w:p>
    <w:p>
      <w:pPr>
        <w:pStyle w:val="Heading2"/>
      </w:pPr>
      <w:r>
        <w:t xml:space="preserve">Ciclo</w:t>
      </w:r>
    </w:p>
    <w:p>
      <w:pPr>
        <w:spacing w:after="100"/>
      </w:pPr>
      <w:r>
        <w:t xml:space="preserve">El empleo privado de EE. UU. crece poco (+0,5 % en el año a septiembre de 2026) [13] y los empleados por cliente de ADP suben un 1 % [3]. En 2008-10 los ingresos de servicios de nóminas del Census cayeron un 14 % [12] y ADP perdió ingresos en FY2010; en 2020 el empleo privado cayó un 6 % y los ingresos de ADP crecieron un 3,4 % en FY2020 (14.589,8 M) y otro 2,8 % en FY2021, con el PEO y el precio compensando [12, 13]. En 2022-2023 la subida de tipos disparó los intereses de los fondos (de unos 500 M a 1.354,8 M en FY2026) [3]. Hoy el mercado descuenta subidas de 25-50 pb de la Fed en FY2027 [7].</w:t>
      </w:r>
    </w:p>
    <w:p>
      <w:pPr>
        <w:pStyle w:val="Heading2"/>
      </w:pPr>
      <w:r>
        <w:t xml:space="preserve">Regulación</w:t>
      </w:r>
    </w:p>
    <w:p>
      <w:pPr>
        <w:spacing w:after="100"/>
      </w:pPr>
      <w:r>
        <w:t xml:space="preserve">ADP está sujeta a leyes de privacidad (estatales en EE. UU., RGPD con normas corporativas vinculantes en Europa), a la Fair Credit Reporting Act en sus verificaciones de antecedentes, a la regulación bancaria de ADP Trust Bank y del dinero de clientes, y a licencias estatales y certificación de Hacienda para el PEO [1]. La Affordable Care Act y los cambios fiscales (créditos por contratación) afectan a sus servicios de cumplimiento [1]. La regulación de la IA (Ley de IA de la UE desde agosto de 2026, normas estatales en EE. UU. sobre IA en contratación) obliga a gobernar los modelos que usan datos de personal: el 10-K la incluye en sus riesgos de cumplimiento [1, 7].</w:t>
      </w:r>
    </w:p>
    <w:p>
      <w:pPr>
        <w:pStyle w:val="Heading2"/>
      </w:pPr>
      <w:r>
        <w:t xml:space="preserve">Tendencias y disrupción</w:t>
      </w:r>
    </w:p>
    <w:p>
      <w:pPr>
        <w:spacing w:after="100"/>
      </w:pPr>
      <w:r>
        <w:t xml:space="preserve">Tres tendencias: (1) </w:t>
      </w:r>
      <w:r>
        <w:rPr>
          <w:b/>
        </w:rPr>
        <w:t xml:space="preserve">IA</w:t>
      </w:r>
      <w:r>
        <w:t xml:space="preserve">: ADP la usa en ventas, servicio y desarrollo (todos sus programadores con herramientas de IA) y vende agentes (ADP Assist) dentro de su producto; su argumento es que la IA cambia tareas y no elimina empleos «a escala», y que los datos de nóminas de millones de trabajadores le dan ventaja [7]; el riesgo es que reduzca plantillas de oficina y abarate el software [19]; (2) </w:t>
      </w:r>
      <w:r>
        <w:rPr>
          <w:b/>
        </w:rPr>
        <w:t xml:space="preserve">plataformas globales</w:t>
      </w:r>
      <w:r>
        <w:t xml:space="preserve"> para multinacionales (Lyric, nómina global), donde ADP gana cuota frente a Workday y SAP [7]; (3) </w:t>
      </w:r>
      <w:r>
        <w:rPr>
          <w:b/>
        </w:rPr>
        <w:t xml:space="preserve">competidores con capital riesgo</w:t>
      </w:r>
      <w:r>
        <w:t xml:space="preserve"> en pymes (Rippling, Gusto, Deel), con producto moderno y precios agresivos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de nóminas y HCM: con 21.947,4 M USD de ingresos en FY2026 triplica a Paychex (6.512 M) y supera a Workday (9.552 M) [3, 10, 16]. Paga a uno de cada seis trabajadores del sector privado de EE. UU. según su propio informe de empleo (no verificado aquí con fuente) y es el segundo PEO por empleados tras Insperity en EE. UU. (estimación de NAPEO no consultada). Más de 90.000 empresas medianas y grandes usan Workforce Now en Norteamérica, más que cualquier otro programa de su categoría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 (con Paycor)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pymes; compró Paycor (medianas) por ~4.100 M en 2025; crecimiento orgánico de ~5 %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HCM y finanzas para grandes empresas; rival de Vantage y Lyric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Paycom Software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Empresas medianas; una sola base de datos y automatización (Beti, IWant); crecimiento del 7-8 % en 2026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Paylocity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PCTY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Empresas medianas; ingresos +11,0 % en FY2026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TriNet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TNET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 puro; empleados medios −5 % en 2025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Rippling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con capital riesgo; RR. HH., TI y gastos en una plataforma; ataca pymes y medianas.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Dayforce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Comprada por Thoma Bravo por 12.300 M USD (cerrada en febrero de 2026); medianas y grandes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Débiles: el mercado de aplicaciones (ADP Marketplace) y los datos agregados de millones de nóminas mejoran el producto, pero un cliente no gana por que haya otros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del 92,1 % y relación media de 13 años; implantaciones de 6-9 meses (más de dos años en multinacionales); un error de nómina es muy visible para la plantilla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confianza para el dinero de los empleados; ADP Trust Bank y licencias de PEO; normas corporativas vinculantes del RGPD que «la mayoría de competidores no puede ofrecer»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servicio y cumplimiento repartida entre 1,1 millones de clientes; margen de Employer Services del 36,7 %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Saldo medio de fondos de 40.400 M que rinde 1.354,8 M sin coste; red comercial y de socios que ningún rival iguala; nóminas en 140 países [2].</w:t>
            </w:r>
          </w:p>
        </w:tc>
      </w:tr>
    </w:tbl>
    <w:p>
      <w:pPr>
        <w:spacing w:after="160" w:before="0"/>
      </w:pPr>
    </w:p>
    <w:p>
      <w:pPr>
        <w:pStyle w:val="Heading2"/>
      </w:pPr>
      <w:r>
        <w:t xml:space="preserve">Amenazas</w:t>
      </w:r>
    </w:p>
    <w:p>
      <w:pPr>
        <w:spacing w:after="100"/>
      </w:pPr>
      <w:r>
        <w:t xml:space="preserve">Cuatro amenazas: (1) </w:t>
      </w:r>
      <w:r>
        <w:rPr>
          <w:b/>
        </w:rPr>
        <w:t xml:space="preserve">IA</w:t>
      </w:r>
      <w:r>
        <w:t xml:space="preserve">, de dos formas: menos empleados de oficina en los clientes (ADP cobra por empleado) y agentes de IA que hagan tareas de RR. HH. que hoy hace el servicio de ADP; probabilidad media a cinco años, con efecto gradual [7, 19]; (2) </w:t>
      </w:r>
      <w:r>
        <w:rPr>
          <w:b/>
        </w:rPr>
        <w:t xml:space="preserve">competidores con capital riesgo</w:t>
      </w:r>
      <w:r>
        <w:t xml:space="preserve"> (Rippling, Gusto, Deel) en pymes, donde la retención es más baja; probabilidad media [1]; (3) </w:t>
      </w:r>
      <w:r>
        <w:rPr>
          <w:b/>
        </w:rPr>
        <w:t xml:space="preserve">bajada de tipos</w:t>
      </w:r>
      <w:r>
        <w:t xml:space="preserve">: los intereses de los fondos son el 6,2 % de las ventas y casi todo margen; el escalonamiento de la cartera lo amortigua (21 M por 25 pb al año) [1, 3]; (4) </w:t>
      </w:r>
      <w:r>
        <w:rPr>
          <w:b/>
        </w:rPr>
        <w:t xml:space="preserve">coste sanitario</w:t>
      </w:r>
      <w:r>
        <w:t xml:space="preserve"> en el PEO, que ya restó 110 pb de margen en FY2026 [3]. Ninguna cambia el foso a corto plazo: la retención está en máximos.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FY2017-FY2026: ingresos </w:t>
      </w:r>
      <w:r>
        <w:rPr>
          <w:b/>
          <w:bCs/>
        </w:rPr>
        <w:t xml:space="preserve">6,6 %</w:t>
      </w:r>
      <w:r>
        <w:t xml:space="preserve">, EBITDA </w:t>
      </w:r>
      <w:r>
        <w:rPr>
          <w:b/>
          <w:bCs/>
        </w:rPr>
        <w:t xml:space="preserve">9,2 %</w:t>
      </w:r>
      <w:r>
        <w:t xml:space="preserve">, BPA </w:t>
      </w:r>
      <w:r>
        <w:rPr>
          <w:b/>
          <w:bCs/>
        </w:rPr>
        <w:t xml:space="preserve">11,9 %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ADP creció de 12.372,0 M USD de ingresos en FY2017 a 21.947,4 M en FY2026 (ejercicio a 30 de junio), un 6,6 % anual, y su BPA diluido de 3,97 a 10,94 USD, un 11,9 % anual, porque al crecimiento se suman el margen y la recompra de acciones (de 450,3 a 403,3 millones diluidas) [1, 2]. Casi todo es orgánico: en FY2026 el crecimiento fue del 7 % publicado y del 6 % orgánico a tipo de cambio constante; la compra de WorkForce Software (octubre de 2024) aportó un punto en FY2025 [3]. Tres motores: (1) </w:t>
      </w:r>
      <w:r>
        <w:rPr>
          <w:b/>
        </w:rPr>
        <w:t xml:space="preserve">Employer Services</w:t>
      </w:r>
      <w:r>
        <w:t xml:space="preserve"> (14.831,4 M, +7 %), con nuevas ventas de 2.200 M (+6 %), retención del 92,1 % y una subida de precio de algo más de 1,3 puntos [3, 7]; (2) el </w:t>
      </w:r>
      <w:r>
        <w:rPr>
          <w:b/>
        </w:rPr>
        <w:t xml:space="preserve">PEO</w:t>
      </w:r>
      <w:r>
        <w:t xml:space="preserve"> (7.128,1 M, +7 %), del que 4.607,3 M son primas de salud repercutidas sin margen [3]; (3) los </w:t>
      </w:r>
      <w:r>
        <w:rPr>
          <w:b/>
        </w:rPr>
        <w:t xml:space="preserve">intereses de los fondos de clientes</w:t>
      </w:r>
      <w:r>
        <w:t xml:space="preserve">, 1.354,8 M (+14 %), con un saldo medio de 40.400 M y una rentabilidad del 3,4 % [3]. El margen antes de impuestos subió del 25,8 % al 26,1 % y el EBIT ajustado de la empresa del 26,0 % al 26,8 % [3].</w:t>
      </w:r>
    </w:p>
    <w:p>
      <w:pPr>
        <w:pStyle w:val="Heading2"/>
      </w:pPr>
      <w:r>
        <w:t xml:space="preserve">Ajustes y partidas no recurrentes</w:t>
      </w:r>
    </w:p>
    <w:p>
      <w:pPr>
        <w:spacing w:after="100"/>
      </w:pPr>
      <w:r>
        <w:t xml:space="preserve">Usamos las cifras GAAP. El EBIT de este informe es el beneficio antes de impuestos más los gastos por intereses menos los ingresos por intereses de la caja corporativa: así la financiación a corto de la estrategia de fondos de clientes (318,3 M de gasto en FY2026) y la renta de las inversiones corporativas a plazo (278,1 M) quedan en el resultado financiero, no en el EBIT; el EBIT ajustado de ADP (5.874,6 M) las deja dentro y por eso es 40 M menor que el nuestro sin partidas únicas [3]. Partidas que no se repiten, dentro del EBITDA: en FY2026, 91,1 M del programa de alineación de la organización (89,1 M de indemnizaciones), 18,0 M netos de un acuerdo legal y −4,5 M de reversión de la optimización de plantilla de FY2024-2025; en FY2025, 19,4 M de optimización y −0,4 M de reversión de una reserva legal [3]. Fuera del EBITDA quedan las ganancias de ADP Ventures (8,4 M) y de venta de activos. El BPA ajustado de ADP (11,12 USD en FY2026) no excluye los pagos en acciones ni la amortización de intangibles comprados: es casi GAAP y lo usamos como BPA normalizado [3]. FY2018 lleva el efecto de la reforma fiscal (tipo del 17,4 %)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del ejercicio fiscal de ADP (1T26 = julio-septiembre de 2025). EBITDA de la tabla: EBIT ajustado de la empresa más amortizaciones del estado de flujos; BPA diluido GAAP [3, 4, 5, 6]. El 4T26 (29-jul-2026) cerró el año en la parte alta de la guía: ingresos +7 %, EBIT ajustado +13 % con 140 pb más de margen y BPA ajustado de 2,64 USD (+17 %) [3]. La guía de FY2027 es de un +5-6 % de ingresos, 70-90 pb más de margen EBIT ajustado y un BPA ajustado +9-11 %, con unos intereses de fondos de clientes de 1.540-1.560 M (rentabilidad del 3,7 %, porque el mercado descuenta subidas de 25-50 pb de la Fed) [3, 7]. El mensaje de la consejera delegada cambió de tono: en vez de defenderse del miedo a la IA, la presentó como la razón por la que el cliente necesita a ADP, con agentes de ADP Assist disponibles para casi todos sus 1,1 millones de clientes desde enero de 2026 [7]. Los analistas preguntaron por Lyric (clientes vivos +94 %), por el precio (más de 130 pb de crecimiento por precio, frente a los 100 pb del día del inversor de 2025) y por cómo cobrará la IA; la respuesta a esto último fue vaga: «a través de las nuevas ventas, la retención y el precio» [7]. Nadie obtuvo una cifra de ingresos por IA ni de plantilla propia.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son cinco bonos de 1.000 M cada uno (1,70 % a 2028, 1,25 % a 2030, 4,75 % a 2032, 4,45 % a 2034 y 5,00 % a 2036, este emitido en mayo de 2026 para financiar recompras) [1, 9]. Con 4.230,1 M de caja corporativa, la deuda neta es de 735 M, unas 0,1 veces el EBITDA [1]. El circulante comercial es estable: clientes de 3.521,1 M (16 % de las ventas, incluye cuentas del PEO) frente a proveedores de 162,5 M; los pasivos devengados (4.257,9 M de gastos y nóminas devengados) y los ingresos diferidos (653,4 M) lo compensan en buena parte [1]. El patrimonio neto es pequeño (6.031,2 M) porque ADP ha recomprado 240,9 millones de acciones a un coste de 23.165,9 M: por eso el ROE (73 %) no sirve para medir la rentabilidad del negocio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28.818</w:t>
      </w:r>
      <w:r>
        <w:t xml:space="preserve">, conversión </w:t>
      </w:r>
      <w:r>
        <w:rPr>
          <w:b/>
          <w:bCs/>
        </w:rPr>
        <w:t xml:space="preserve">97 %</w:t>
      </w:r>
      <w:r>
        <w:t xml:space="preserve"> del beneficio neto; adquisiciones 2.091, dividendos 17.169, recompras 13.252.</w:t>
      </w:r>
    </w:p>
    <w:p>
      <w:pPr>
        <w:spacing w:after="100"/>
      </w:pPr>
      <w:r>
        <w:t xml:space="preserve">El flujo operativo pasó de 2.125,9 M USD en FY2017 a 5.441,2 M en FY2026 y cubre con holgura el capex, que incluye el software desarrollado (468,5 M en FY2026), el inmovilizado (196,6 M) y el aumento neto de los costes de contrato activados (comisiones e implantación: 1.307,9 M activados frente a 1.200,5 M amortizados, 107,4 M netos) [1, 3]. El flujo libre de FY2026 fue de 4.776,1 M (sin el aumento neto de comisiones activadas), un 108 % del beneficio neto [3]. El capex es casi todo de mantenimiento y desarrollo de producto (estimación propia: 3,0-3,5 % de las ventas); las compras son pequeñas salvo WorkForce Software (1.160,6 M netos en FY2025) [1]. Uso de la caja en FY2026: 2.626,3 M de dividendos y 2.083,3 M de recompras (8,6 millones de acciones), más de lo que generó, con 985,7 M de bonos nuevos [3, 7]. Los años con flujo raro (FY2022 y FY2024) se deben a los impuestos y al calendario de las nóminas de fin de ejercicio.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ADP desde 1968, con opinión favorable sobre las cuentas y el control interno de FY2026 [1]. Tres asuntos contables: (1) </w:t>
      </w:r>
      <w:r>
        <w:rPr>
          <w:b/>
        </w:rPr>
        <w:t xml:space="preserve">costes de contrato activados</w:t>
      </w:r>
      <w:r>
        <w:t xml:space="preserve"> (3.244,1 M de balance): comisiones e implantación que se amortizan en 3-8 años según la retención histórica; su aumento neto (107,4 M en FY2026) es gasto en caja que no pasa por la cuenta, y lo sumamos al capex [1, 3]; (2) </w:t>
      </w:r>
      <w:r>
        <w:rPr>
          <w:b/>
        </w:rPr>
        <w:t xml:space="preserve">software desarrollado</w:t>
      </w:r>
      <w:r>
        <w:t xml:space="preserve">: 468,5 M activados en FY2026 frente a 384,8 M de amortización de intangibles; la nueva plataforma se amortiza en diez años, un plazo largo [1]; (3) </w:t>
      </w:r>
      <w:r>
        <w:rPr>
          <w:b/>
        </w:rPr>
        <w:t xml:space="preserve">pagos en acciones</w:t>
      </w:r>
      <w:r>
        <w:t xml:space="preserve"> de 242,6 M (1,1 % de las ventas), que van en la cuenta como coste, también en el BPA ajustado de ADP [3]. El tipo efectivo es estable (22-23 %) desde FY2019 [2]. Indicadores del motor: el Altman Z y el Piotroski salen distorsionados por los fondos de clientes, que multiplican por diez el activo corriente; el Beneish no da alarma.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Activación de costes de contrato y de software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3,5 % de las ventas al año entre software e intangibles y comisiones; estable frente a la historia y consistente con la retención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Minusvalías latentes de 459,2 M en la cartera de fondos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alta calidad comprados con tipos bajos; se recuperan al vencimiento, salvo que hubiera que venderlos para atender pagos (no ha ocurrido)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Programa de alineación de 91,1 M en el 4T26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Indemnizaciones; ADP suele hacer recortes de plantilla cada 2-3 años (FY2024-2025 y FY2026), así que no es del todo excepcional [3].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3.284 M en FY2026 (el 48 % del capital invertido medio); ha subido más de un 5 % en 2 de 9 años: compra única grande. ROIC publicado 67,1 %; sin fondo de comercio, 129,7 %.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77,2 % · </w:t>
      </w:r>
      <w:r>
        <w:rPr>
          <w:b/>
          <w:bCs/>
        </w:rPr>
        <w:t xml:space="preserve">WACC</w:t>
      </w:r>
      <w:r>
        <w:t xml:space="preserve">: 9,6 %.</w:t>
      </w:r>
    </w:p>
    <w:p>
      <w:pPr>
        <w:spacing w:after="100"/>
      </w:pPr>
      <w:r>
        <w:t xml:space="preserve">ADP crea mucho valor. El ROIC del motor es del 67,1 % en FY2026 (129,7 % sin fondo de comercio) frente a un WACC del 9,62 %, y lleva por encima del 40 % todo el decenio; el ROIC incremental es del 77,2 %. Esas cifras las inflan las recompras, que dejan el patrimonio en 6.031,2 M USD, así que lo calculamos también a mano sobre el capital operativo (estimación propia, balance de 30-jun-2026 [1]): activos operativos de 15.005,4 M (clientes, otros corrientes, inmovilizado, derechos de uso, costes de contrato activados, otros activos, fondo de comercio e intangibles) menos pasivos operativos de 6.971,3 M (proveedores, gastos y nóminas devengados, ingresos diferidos, arrendamientos, otros pasivos e impuestos) dan 8.034,1 M. Con un NOPAT de 4.554 M (EBIT sin partidas únicas de 5.914,8 M al 23 %), el ROIC es del 56,7 %, 47 puntos por encima del WACC; sin los intereses de los fondos de clientes (1.354,8 M), del 43,7 %; sin fondo de comercio, del 95,9 %. Lo mueve el margen (EBIT del 27 % con el flotante) y una rotación alta del capital operativo, no el apalancamiento. Paychex tiene un 26,8 % y Paycom un 32,8 % [29].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corporativa de 4.230,1 M USD a 30-jun-2026; créditos comprometidos no dispuestos de 11.700 M (364 días por 5.700 M hasta junio de 2027 y dos a cinco años por 2.500 M y 3.500 M hasta junio de 2030) y 7.500 M comprometidos en repos para la financiación a corto de los fondos de clientes [1,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«fuerte» a largo plazo y papel comercial de máxima calidad, según el 10-K (sin nota concreta en el documento)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fondos de clientes (43.957,8 M USD a 30-jun-2026) y sus obligaciones (44.415,5 M) inflan el activo y el pasivo corrientes; la diferencia de 457,7 M son sobre todo minusvalías latentes de la cartera de renta fija (459,2 M antes de impuestos), que se recuperan al vencer los títulos: quedan fuera de la caja y de la deuda del puente [1, 3]. La financiación a corto de la estrategia de fondos (papel comercial y repos: 0 y 139,3 M al cierre; 7.800 M de saldo medio en FY2026) se casa con inversiones corporativas de igual importe y no se cuenta como deuda [1, 3]. Los arrendamientos operativos (306,7 M a largo plazo) no van a la deuda porque su gasto está en el EBITDA (US GAAP) [1]. El PEO asume riesgos de seguro de accidentes de trabajo (ADP Indemnity) y de desempleo estatal: 718,4 M de coste en FY2026 [3]. Demanda colectiva laboral de sus propios agentes de atención (septiembre de 2026, fase de demanda) [36].</w:t>
      </w:r>
    </w:p>
    <w:p>
      <w:pPr>
        <w:pStyle w:val="Heading1"/>
      </w:pPr>
      <w:r>
        <w:t xml:space="preserve">12. Asignación de capital</w:t>
      </w:r>
    </w:p>
    <w:p>
      <w:pPr>
        <w:pStyle w:val="Confianza"/>
        <w:spacing w:after="100"/>
      </w:pPr>
      <w:r>
        <w:t xml:space="preserve">Confianza: Alta</w:t>
      </w:r>
    </w:p>
    <w:p>
      <w:pPr>
        <w:spacing w:after="100"/>
      </w:pPr>
      <w:r>
        <w:t xml:space="preserve">Dividendo trimestral de 1,70 USD desde noviembre de 2025 (6,80 USD anualizados, 2,4 % al precio de hoy), con más de 50 años seguidos de subidas y la subida anual en noviembre [3]. Autorización de recompra de 6.000 M USD; la dirección prevé seguir en FY2027 al ritmo elevado de los últimos trimestres con el dinero de los bonos de mayo de 2026 y la caja sobrante [7]. Compras pequeñas y complementarias (WorkForce Software, 1.173,1 M en 2024). Mantener el rating alto es una prioridad declarada, porque financia la estrategia de los fondos de clientes con papel comercial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WorkForce Software (gestión del tiempo global)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Restó unos 20 pb de margen a Employer Services durante el primer año; las ventas de tiempo global subieron en FY2026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WorkMarket, Global Cash Card y The Marcus Buckingham Company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sin deterioros del fondo de comercio desde entonces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Celergo (nómina global)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en la nómina global [2].</w:t>
            </w:r>
          </w:p>
        </w:tc>
      </w:tr>
    </w:tbl>
    <w:p>
      <w:pPr>
        <w:spacing w:after="160" w:before="0"/>
      </w:pPr>
    </w:p>
    <w:p>
      <w:pPr>
        <w:spacing w:after="100"/>
      </w:pPr>
      <w:r>
        <w:t xml:space="preserve">ADP devuelve al accionista más de lo que gana: entre FY2017 y FY2026 pagó unos 18.000 M USD en dividendos y unos 14.000 M en recompras, y el número de acciones bajó de 450,3 a 403,3 millones (−1,2 % al año) [2]. Lo hace sin comprometer el balance (deuda neta de 0,1 veces el EBITDA) y sin compras grandes: el fondo de comercio (3.284,4 M) es pequeño frente a un beneficio de 4.413,5 M, y no ha habido deterioros [1]. La recompra se aceleró justo cuando la acción cayó por el miedo a la IA (2.083,3 M en FY2026 frente a 1.280,5 M), lo que juzgamos una buena asignación: compró a 190-260 USD [3, 7]. El punto débil es el crecimiento comprado: WorkForce Software se pagó caro (más de 1.100 M sin cifras publicadas) y ADP ya no crece por encima del 5-6 % orgánico.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Black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ADP desde 1996; presidenta de ADP en 2022 y de ventas y marketing mundiales en 2020-2021 [1]. Con ella los ingresos crecieron del 18.012,2 M de FY2023 a 21.947,4 M de FY2026 y el BPA de 8,21 a 10,94 USD; lanzó Lyric y los agentes de IA [1, 3]. Tiene 102.151 acciones y vendió 8,6 M USD en 12 meses con un plan 10b5-1 [20,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Hadley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ADP desde 2002; tesorero de 2022 a 2025 y presidente de Asia-Pacífico de 2017 a 2022. Sustituyó a Don McGuire en julio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J. Lynch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presidente y consejero delegado de TE Connectivity; preside el consejo de ADP desde la salida de Carlos Rodríguez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DeSilva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Norteamérica, y 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ADP desde 2003; presidente de ventas globales de 2022 a 2024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Sreeni Kutam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producto e innovación global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ADP desde 2014; responsable de Lyric y de ADP Assist; antes director de personas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(jul-2025): ingresos +5-6 %, margen EBIT ajustado +50-70 pb, BPA ajustado +8-10 %; elevada en enero y abril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+7 %, margen +80 pb, BPA ajustado +11 % (11,12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+5-6 %, margen EBIT ajustado +70-90 pb, BPA ajustado +9-11 % (jul-2026)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1T27 el 28-oct-2026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la casa: la consejera delegada, el director financiero y casi toda la cúpula llevan más de diez años en ADP [1]. La guía de FY2026 empezó prudente y se elevó dos veces hasta cumplirse en la parte alta, como es costumbre en ADP [3, 4, 6]. El relevo de 2023 (Rodríguez → Black) y el del director financiero de 2025 fueron ordenados y anunciados con antelación [1]. Hay plan de sucesión formal supervisado por la comisión de retribuciones y desarrollo directivo [20]. El punto a vigilar es la credibilidad en IA: la dirección afirma que la IA no reduce empleo «a escala», pero no da cifras de ingresos por IA [3].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J. Lynch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Black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Bisson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una comisión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Linnie M. Haynesworth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Francine S. Katsoudas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Nazzic S. Keene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(pasa a desarrollo corporativo y tecnología tras la junta)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S. Lynch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F. Powers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una comisión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A. Rodriguez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consejero delegado 2011-2022)</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H. Swan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Sandra S. Wijnberg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una comisión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W. Kenny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Candidato a consejero (junta de 11-nov-2026)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Nancy McKinstry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Candidata a consejera (junta de 11-nov-2026)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Carlos A. Rodriguez</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0,75 / ventas 13,06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enero de 2024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el proxy de 2026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el proxy de 2026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599.811 acciones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240,9 millones de acciones sobre 638,7 emitidas a 30-jun-2026 (233,4 un año antes) [3]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Maria Black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Joseph DeSilva (vicepresidente ejecutivo, Norteamérica)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 D'Ambrosio (director de estrategia)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Foskett (presidente de ventas globales)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Kwon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Kwon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Michaud (vicepresidente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H. Swan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Michaud (vicepresidente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Kwon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Kwon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Maria Black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25,45 M USD en FY2026 (14,79 M de acciones en FY2025): 1,27 M de sueldo, 2,93 M de bonus (115,5 % del objetivo) y 20,67 M en acciones [20]. El bonus anual se mide con objetivos cuantitativos predeterminados (ingresos, beneficio y otros); las acciones de desempeño (PSU) pagan según el crecimiento del beneficio neto ajustado (67 %) y de los ingresos sin primas repercutidas (33 %), con un modificador por rentabilidad total para el accionista relativa; en FY2026 pagaron el 125,5 % [20]. No hay métrica de ROIC ni de flujo libre, pero el beneficio ajustado ya recoge el coste del capital vía recompras. Ratio de 363 veces el salario mediano (70.118 USD) [20]. Cláusula de recuperación (clawback) estricta [20]. El voto consultivo de 2025 tuvo un 91,3 % a favor y un 8,2 % en contra [21].</w:t>
      </w:r>
    </w:p>
    <w:p>
      <w:pPr>
        <w:pStyle w:val="Heading2"/>
      </w:pPr>
      <w:r>
        <w:t xml:space="preserve">Operaciones vinculadas, estructura de control y defensas</w:t>
      </w:r>
    </w:p>
    <w:p>
      <w:pPr>
        <w:spacing w:after="100"/>
      </w:pPr>
      <w:r>
        <w:t xml:space="preserve">No hay accionista de control: los tres mayores son gestoras indexadas (BlackRock 8,1 %, Vanguard 7,5 %, State Street 5,1 %) y los consejeros y directivos tienen un 0,15 % [20]. Una sola clase de acciones, presidente no ejecutivo independiente separado de la consejera delegada, elección anual de todos los consejeros por mayoría y renovación del consejo (dos candidatos nuevos en 2026 y un consejero que sale) [20]. En 2017 el consejo resistió a Pershing Square, que no logró ningún puesto; el 10-K mantiene el riesgo de activistas entre sus factores [1]. No hay operaciones vinculadas relevantes publicadas [20].</w:t>
      </w:r>
    </w:p>
    <w:p>
      <w:pPr>
        <w:pStyle w:val="Heading2"/>
      </w:pPr>
      <w:r>
        <w:t xml:space="preserve">Señales de alerta</w:t>
      </w:r>
    </w:p>
    <w:p>
      <w:pPr>
        <w:pStyle w:val="ListParagraph"/>
        <w:numPr>
          <w:ilvl w:val="0"/>
          <w:numId w:val="2"/>
        </w:numPr>
        <w:spacing w:after="60"/>
      </w:pPr>
      <w:r>
        <w:t xml:space="preserve">Ventas de la consejera delegada por 8,6 M USD en 12 meses (con plan 10b5-1), sin compras de directivos; solo un consejero (Swan) compró 0,75 M a 206 USD en mayo de 2026 [22].</w:t>
      </w:r>
    </w:p>
    <w:p>
      <w:pPr>
        <w:pStyle w:val="ListParagraph"/>
        <w:numPr>
          <w:ilvl w:val="0"/>
          <w:numId w:val="2"/>
        </w:numPr>
        <w:spacing w:after="60"/>
      </w:pPr>
      <w:r>
        <w:t xml:space="preserve">Carlos Rodríguez, ex consejero delegado hasta 2022, sigue en el consejo [20].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FY2027 (29-jul-2026): ingresos +5-6 %, margen EBIT ajustado +70-90 pb (desde el 26,8 %), tipo ajustado del ~23 %, BPA diluido +11-13 % y ajustado +9-11 % (12,12-12,34 USD) [3]. Employer Services: ingresos +5-6 %, nuevas ventas +4-7 %, retención −10 a −30 pb y empleados por cliente en EE. UU. 0 a +1 %. PEO: ingresos +5-7 % (+3-5 % sin repercusiones) y empleados ≈+2 %. Intereses de fondos de clientes de 1.540-1.560 M con saldos +3-4 % y rentabilidad del ~3,7 % [3]. No hay plan a medio plazo publicado más allá del marco del día del inversor de 2025 (precio ≈1 punto de crecimiento)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18 analistas; EBITDA = EBIT + amortización al 2,67 % de las ventas (estimación propia)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12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225,00 – 322,00</w:t>
            </w:r>
          </w:p>
        </w:tc>
      </w:tr>
    </w:tbl>
    <w:p>
      <w:pPr>
        <w:spacing w:after="160" w:before="0"/>
      </w:pPr>
    </w:p>
    <w:p>
      <w:pPr>
        <w:pStyle w:val="Heading2"/>
      </w:pPr>
      <w:r>
        <w:t xml:space="preserve">Revisiones de estimaciones</w:t>
      </w:r>
    </w:p>
    <w:p>
      <w:pPr>
        <w:spacing w:after="100"/>
      </w:pPr>
      <w:r>
        <w:t xml:space="preserve">Consenso de MarketScreener (18 analistas) y Stock Analysis (18): BPA de FY2027 de 12,24 y 12,26 USD y de FY2028 de 13,39 y 13,40 USD, los dos ajustados (en ADP el ajustado solo quita partidas únicas) [24, 26]. Recomendaciones estables en tres meses: 4 compras fuertes, 12 mantener, 1 vender y 1 venta fuerte [26]. Los últimos movimientos son de mantener: TD Cowen (283 USD, 5-oct), Wells Fargo (303 USD), UBS (290 USD) y DBS, que bajó de 290 a 255 USD el 21-sep [26]. El objetivo medio (286,40 USD) está solo un 2,2 % por encima del precio [25]. El EBIT de MarketScreener es el EBIT ajustado de ADP (5.875 M en FY2026), con los intereses de la estrategia de fondos dentro [3, 24].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ADP rindió un 14,8 % anual en diez años, en línea con el S&amp;P 500 (15,5 %), pero se quedó atrás en los últimos tres (6,8 % frente a 22,7 %) [23]. La acción marcó máximos en junio de 2025 (más de 320 USD) y cayó un 40,8 % hasta el 10-abr-2026 (188,16 USD) por tres motivos: el miedo a que la IA reduzca el empleo de oficina y abarate el software (la caída general del software del 3-feb-2026 le restó un 5 %), la desaceleración de los empleados por cliente y la idea de que los intereses de los fondos tocaban techo [23]. Desde abril ha subido casi un 50 %: los resultados del 3T26 y del 4T26 superaron lo previsto, la guía se elevó dos veces y la recompra se aceleró [3, 23]. En el año, +11,4 % frente al +13,7 % del S&amp;P 500 y al +1,9 % del ETF de software IGV [23].</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ADP ha cotizado de forma muy estable: entre 24 y 29 veces el beneficio del año siguiente en cada cierre de ejercicio de FY2019 a FY2025, con una mediana de cinco años de 24,2 veces (historia adelantada) [23, 24]. El cierre de FY2026 (223,95 USD, junio de 2026) fue el mínimo de la década, 18,4 veces nuestro BPA de FY2027, por el miedo a la IA. Hoy, a 280,32 USD, cotiza a 23,0 veces: ha recuperado casi todo el descuento. La prima frente a otros negocios de servicios se explica por la calidad (retención del 92 %, ROIC muy alto, más de 50 años de dividendo creciente) y por el flotante; lo que ha cambiado es la percepción de su crecimiento a largo plazo con la IA, no los tipos.</w:t>
      </w:r>
    </w:p>
    <w:p>
      <w:pPr>
        <w:pStyle w:val="Heading1"/>
      </w:pPr>
      <w:r>
        <w:t xml:space="preserve">18. Comparables cotizados</w:t>
      </w:r>
    </w:p>
    <w:p>
      <w:pPr>
        <w:pStyle w:val="Confianza"/>
        <w:spacing w:after="100"/>
      </w:pPr>
      <w:r>
        <w:t xml:space="preserve">Confianza: Media</w:t>
      </w:r>
    </w:p>
    <w:p>
      <w:pPr>
        <w:spacing w:after="100"/>
      </w:pPr>
      <w:r>
        <w:t xml:space="preserve">Seis cotizadas de EE. UU. de nóminas, HCM y PEO: Paychex (el rival más parecido: nóminas de pymes con fondos de clientes y PEO), Paycom y Paylocity (software de nóminas y HCM para medianas), Workday (HCM para grandes empresas, rival de Lyric), Intuit (nómina de microempresas en QuickBooks) y TriNet (PEO). Son los del informe de Paycom del 15-oct (cierre del 14-oct), y Paycom con las cifras de su propio informe [9, 10]. Insperity queda fuera (margen EBITDA del 1 % y PER distorsionado). Dayforce dejó de cotizar en 2026 y va en transacciones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Paylocity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83.633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Paycom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12,1x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 / 13,6x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 / 20,4x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 / 4,4x / 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8,3 + 0,78 × crecimiento; R² = 0,29. El crecimiento explica poco los múltiplos de estos comparables (R² &lt; 0,3): la regresión no se usa en la valoración.</w:t>
      </w:r>
    </w:p>
    <w:p>
      <w:pPr>
        <w:spacing w:after="100"/>
      </w:pPr>
      <w:r>
        <w:t xml:space="preserve">ADP cotiza a 15,7 veces el EBITDA de los próximos 12 meses y a 22,3 veces su BPA, frente a medianas de 12,1 y 20,4 veces de los seis comparables [29, 30]: con prima en los dos. La prima en PER (un 9 %) se justifica por la calidad: retención del 92,1 %, ROIC muy superior y el flotante de 40.400 M; la de EV/EBITDA es mayor porque varios comparables usan un EBITDA ajustado sin pagos en acciones y el de ADP es GAAP. Los comparables dan 215,18 USD por EV/EBITDA y 255,96 USD por PER; usamos sobre todo el PER, que recoge igual los pagos en acciones. La regresión no explica los múltiplos (R² de 0,29). Paychex, el rival más parecido, cotiza a 19,0 veces con más margen y menos crecimiento; Workday (31,4 veces) e Intuit (14,9 veces) marcan los extremos [30].</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Dayforce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la guía de 2025 (sin pagos en acciones); cerrada en febrero de 2026 [18,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Paycor HCM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los «más de 650 M» de ingresos recurrentes de Paycor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WorkForce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ingresos publicados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Ultimate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Consorcio de Hellman &amp; Friedman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EV/ventas sobre «más de 1.100 M» de ingresos de 2018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346,49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346,22 – 447,91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HCM de 2025 se pagaron a unas 6,3 veces las ventas, con primas del 19-32 %; la opinión de Evercore para Dayforce da una mediana de 19,1 veces el EBITDA ajustado de las transacciones del sector desde 2019 [18, 32, 33]. ADP vale hoy unas 5,1 veces sus ventas y 17 veces su EBITDA de los últimos 12 meses: cerca de esos precios de control, aunque con un tamaño (más de 110.000 M de capitalización) que hace casi imposible una opa. Las transacciones sirven de referencia de valor, no de catalizador.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+5,5 % en FY2027e, el punto medio de la guía (+5-6 %), +5,5 % en FY2028e y FY2029e y bajando al 3,5 % en FY2034e: un 4,8 % medio [3]. Es menos que el 6,6 % anual de FY2017-FY2026, que llevó el viento de cola de los tipos (los intereses de los fondos pasaron de unos 500 M a 1.354,8 M) y del PEO, cuyas primas repercutidas crecen sin margen [1, 3]. El consenso espera un 5,8 % en FY2027 y un 5,7 % en FY2028 [24]. El crecimiento sale de nuevas ventas netas de bajas (unos 3 puntos), precio (algo más de 1,3 puntos) y empleados por cliente (0-1 %) [7].</w:t>
      </w:r>
    </w:p>
    <w:p>
      <w:pPr>
        <w:keepNext/>
        <w:spacing w:after="100"/>
      </w:pPr>
      <w:r>
        <w:rPr>
          <w:b/>
          <w:bCs/>
        </w:rPr>
        <w:t xml:space="preserve">Márgenes.</w:t>
      </w:r>
    </w:p>
    <w:p>
      <w:pPr>
        <w:spacing w:after="100"/>
      </w:pPr>
      <w:r>
        <w:t xml:space="preserve">Margen EBITDA del 30,2 % en FY2027e (la guía de +70-90 pb de margen EBIT ajustado sobre el 26,8 %, más una amortización del 2,7 % de las ventas), subiendo hasta el 32,3 % en FY2033e [3]. ADP ha ganado entre 60 y 80 pb al año en FY2024-FY2026 por eficiencia del servicio (IA en atención y ventas) y por el flotante [3, 7]. Dejamos de subir el margen a partir de FY2033e porque el PEO (13,1 % de margen) crece con primas repercutidas y porque el precio frente a Rippling y Gusto no permite más en pymes. No suponemos ahorros extra por IA.</w:t>
      </w:r>
    </w:p>
    <w:p>
      <w:pPr>
        <w:keepNext/>
        <w:spacing w:after="100"/>
      </w:pPr>
      <w:r>
        <w:rPr>
          <w:b/>
          <w:bCs/>
        </w:rPr>
        <w:t xml:space="preserve">Inversión y circulante.</w:t>
      </w:r>
    </w:p>
    <w:p>
      <w:pPr>
        <w:spacing w:after="100"/>
      </w:pPr>
      <w:r>
        <w:t xml:space="preserve">Capex del 3,5 % de las ventas hasta FY2032e y del 3,3 % al final, frente al 3,5 % de FY2026 (196,6 M de inmovilizado, 468,5 M de software e intangibles y 107,4 M de aumento neto de comisiones e implantación activadas) [3]. Amortización del 2,7 % de las ventas, como en FY2026. Circulante comercial (clientes menos proveedores) del 15,0 % de las ventas, cerca del 15,3 % de FY2026; es conservador, porque los gastos y nóminas devengados (unos 4.258 M) crecen con las ventas y compensan buena parte: el circulante amplio de ADP es negativo [1].</w:t>
      </w:r>
    </w:p>
    <w:p>
      <w:pPr>
        <w:keepNext/>
        <w:spacing w:after="100"/>
      </w:pPr>
      <w:r>
        <w:rPr>
          <w:b/>
          <w:bCs/>
        </w:rPr>
        <w:t xml:space="preserve">Coste del capital.</w:t>
      </w:r>
    </w:p>
    <w:p>
      <w:pPr>
        <w:spacing w:after="100"/>
      </w:pPr>
      <w:r>
        <w:t xml:space="preserve">WACC del 9,62 %: tasa libre del 5,21 % (bono de EE. UU. a 10 años del 13-oct-2026) [27], beta de 0,85 (la ajustada de cinco años mensual es 0,87 y la semanal 0,83; la semanal de dos años, 0,52) [23], prima de mercado del 5,5 % y coste de la deuda del 4,75 % antes de impuestos (el bono de 2036 se emitió al 5,00 %) con un peso del 4,3 % a valor de mercado [9]. Con la prima implícita del mercado (4,2 %), el WACC baja al 8,56 % [28]. Con la beta semanal de dos años el valor subiría un 20-25 %: la recomendación depende de la tasa de descuento más que de las cifras.</w:t>
      </w:r>
    </w:p>
    <w:p>
      <w:pPr>
        <w:keepNext/>
        <w:spacing w:after="100"/>
      </w:pPr>
      <w:r>
        <w:rPr>
          <w:b/>
          <w:bCs/>
        </w:rPr>
        <w:t xml:space="preserve">Valor terminal.</w:t>
      </w:r>
    </w:p>
    <w:p>
      <w:pPr>
        <w:spacing w:after="100"/>
      </w:pPr>
      <w:r>
        <w:t xml:space="preserve">Gordon con un crecimiento del 3,0 %, por debajo de la tasa libre menos medio punto y en línea con el PIB nominal de EE. UU. a largo plazo, porque ADP cobra por empleado y por salario (crecen con el empleo y la inflación). El valor terminal pesa un 63 % del DCF. El múltiplo de salida implícito (unas 15 veces el EBITDA) queda por debajo de las 17,3 veces de hoy y de la media de diez años, de 19,4 veces.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199,92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253,40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 M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 (reinvierte el 18 %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 (histórico: 77,2 %)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frente al 4,8 %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3.110 M, el 6 % del NOPAT, con un capex bruto medio del 3,5 % de las ventas). En un negocio de activos ligeros, el crecimiento medio del 4,8 %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nuevas ventas de Employer Services +4-7 % con retención −10 a −30 pb, empleados por cliente 0-1 % y empleados del PEO +2 %; precio: algo más de 1,3 puntos, como en FY2026; otros: intereses de fondos +14-15 % (1.540-1.560 M) menos divisa [3,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patrón; los intereses de los fondos suben menos (la cartera ya rinde ≈3,7 %), y las primas repercutidas del PEO siguen sumando ingresos sin margen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Lyric y la nómina global en grandes empresas compensan la presión de precios en pymes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ayuda de los tipos; precio en línea con la inflación salarial.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un negocio maduro, con cuota estable.</w:t>
            </w:r>
          </w:p>
        </w:tc>
      </w:tr>
    </w:tbl>
    <w:p>
      <w:pPr>
        <w:spacing w:after="160" w:before="0"/>
      </w:pPr>
    </w:p>
    <w:p>
      <w:pPr>
        <w:spacing w:after="100"/>
      </w:pPr>
      <w:r>
        <w:t xml:space="preserve">La calidad de ADP sostiene con holgura un crecimiento medio del 4,8 %. Es un negocio de activos ligeros: la proyección reinvierte el 6 % del NOPAT y, con la reinversión bruta, el ROIC actual financiaría un 12,3 % [calc]. La prueba que importa es el poder de precios y la cuota: el precio aporta más de 1,3 puntos al año con la retención estable en el 92,1 % y las nuevas ventas creciendo un 6 % [3, 7]. Proyectamos menos que el 6,6 % histórico y menos que el consenso. La cuota no se puede medir con una fuente (mercado_final nulo), pero un crecimiento del 4,8 % es parecido al del mercado de servicios de nóminas (4,7 % anual en 2017-2022 según el Census) [12]: no exige ganar cuota.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 (base: 4,8 %)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41,4 % (base: 32,3 %)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9,6 %)</w:t>
            </w:r>
          </w:p>
        </w:tc>
      </w:tr>
    </w:tbl>
    <w:p>
      <w:pPr>
        <w:spacing w:after="160" w:before="0"/>
      </w:pPr>
    </w:p>
    <w:p>
      <w:pPr>
        <w:spacing w:after="100"/>
      </w:pPr>
      <w:r>
        <w:t xml:space="preserve">El DCF da 210,32 USD por acción, un 25,0 % por debajo del precio, con un valor terminal del 63 %. Con la prima implícita del mercado (WACC del 8,56 %) sube a 250,93 USD, aún un 10,5 % por debajo. El DCF inverso es la clave: a 280,32 USD el mercado descuenta un crecimiento medio del 9,8 % anual en FY2027e-FY2034e, frente al 4,8 % de nuestro caso base y al 6,6 % de la década pasada, o un margen EBITDA final del 41,4 % en lugar del 32,3 %; dicho de otro modo, el precio implica una rentabilidad anual del 8,0 %, por debajo de nuestro WACC (9,62 %) y del que pide hoy el mercado para su beta (8,56 %). Eso es exigente frente a la historia: ADP nunca ha crecido al 9-10 % sin tipos al alza ni compras. La lectura honesta es que el mercado paga por ADP lo que vale un bono de calidad con crecimiento: acepta una rentabilidad menor a cambio de la estabilidad (retención del 92 %, más de 50 años de dividendo creciente). Si la tasa libre bajara al 4,5 %, el DCF se acercaría al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una economía floja reducen la plantilla de oficina de los clientes: los empleados por cliente caen un 1-2 % al año durante dos años, la retención baja al 90-91 % por la presión de Rippling y Gusto en pymes, y la Fed recorta 150 pb, con lo que los intereses de los fondos dejan de crecer. Crecimiento medio del 2,3 % y margen final del 30,8 %. Ya pasó en FY2010 (ingresos a la baja) y en 2020 (empleo −6 %).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guía la empresa: ingresos +5,5 %, margen +60-80 pb al año, empleados por cliente 0-1 %, precio de algo más de 1,3 puntos y tipos estables o algo al alza. La IA abarata el servicio de ADP y no reduce el empleo de los clientes de forma medible en tres años.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Lyric y la nómina global ganan cuota en multinacionales, la IA se cobra como módulo (agentes de ADP Assist) y los tipos se quedan altos: crecimiento medio del 6,3 % y margen final del 33,3 %, como en FY2023-FY2024.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80,3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207,15 USD (-26,1 %).</w:t>
      </w:r>
    </w:p>
    <w:p>
      <w:pPr>
        <w:spacing w:after="100"/>
      </w:pPr>
      <w:r>
        <w:t xml:space="preserve">La asimetría es mala con nuestro WACC: el alcista vale 254,40 USD (−9,2 %) y el bajista 153,54 USD (−45,2 %); incluso el caso optimista queda por debajo del precio, porque la tasa de descuento del 9,62 % pesa más que el crecimiento. Con la prima del mercado, el rango va de 178,10 a 308,98 USD y la asimetría es de 0,28 veces. A 12 meses, con la regla de múltiplos, la asimetría es mejor (+27,9 % en el alcista frente a −19,8 % en el bajista), porque el PER histórico de ADP (24 veces) sostiene el precio aunque el DCF no lo haga. El escenario bajista es verosímil: combina la caída de empleo que ya vivió en 2009-2010 y 2020 con la bajada de tipos.</w:t>
      </w:r>
    </w:p>
    <w:p>
      <w:pPr>
        <w:pStyle w:val="Heading1"/>
      </w:pPr>
      <w:r>
        <w:t xml:space="preserve">22. Suma de partes</w:t>
      </w:r>
    </w:p>
    <w:p>
      <w:pPr>
        <w:pStyle w:val="Confianza"/>
        <w:spacing w:after="100"/>
      </w:pPr>
      <w:r>
        <w:t xml:space="preserve">Confianza: Media</w:t>
      </w:r>
    </w:p>
    <w:p>
      <w:pPr>
        <w:spacing w:after="100"/>
      </w:pPr>
      <w:r>
        <w:t xml:space="preserve">No aplica: Employer Services y el PEO comparten clientes, red comercial, tecnología y fondos de clientes, y el PEO (13,1 % de margen) no tiene comparables cotizados de calidad (TriNet e Insperity, con márgenes del 1-7 %). Separarlos no añade información al DCF.</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80,3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221,23 USD (-21,1 % sobre 280,32).</w:t>
      </w:r>
    </w:p>
    <w:p>
      <w:pPr>
        <w:spacing w:after="100"/>
      </w:pPr>
      <w:r>
        <w:t xml:space="preserve">Pesos: DCF 45 %, escenarios 30 %, comparables 20 % y transacciones 5 %. El DCF es el método más fiable para un negocio tan estable y de activos ligeros; los escenarios recogen el riesgo de empleo, tipos e IA. Los comparables pesan poco porque mezclan PEO de margen bajo, HCM de grandes empresas e Intuit, y las transacciones casi nada: ADP es demasiado grande para una opa y su EV/ventas lo distorsionan los 4.607,3 M de primas repercutidas sin margen del PEO [3]. La dispersión es grande: de 210,32 USD (DCF) a 346,49 USD (transacciones), con los comparables por PER en 255,96 USD. Todos los métodos de valor quedan por debajo del precio salvo las transacciones; solo el PER histórico (24 veces) lo justifica. El valor objetivo ponderado es de 221,23 USD (−21,1 %) y 251,53 USD con la prima implícita del mercado.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(23.1x) a mitad de camino hacia la mediana de 5 años (24.2x)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r>
    </w:tbl>
    <w:p>
      <w:pPr>
        <w:spacing w:after="160" w:before="0"/>
      </w:pPr>
    </w:p>
    <w:p>
      <w:pPr>
        <w:spacing w:after="100"/>
      </w:pPr>
      <w:r>
        <w:rPr>
          <w:b/>
          <w:bCs/>
        </w:rPr>
        <w:t xml:space="preserve">Objetivo a 12 meses (ponderado):</w:t>
      </w:r>
      <w:r>
        <w:t xml:space="preserve"> 296,94 USD · rentabilidad +8,3 % (base +12,6 %) · señal Mantener.</w:t>
      </w:r>
    </w:p>
    <w:p>
      <w:pPr>
        <w:spacing w:after="100"/>
      </w:pPr>
      <w:r>
        <w:t xml:space="preserve">Para comparar, con la regla v2 (historia al cierre, mismo precio): 20,1x / 23,1x / 27,6x, 11,8 %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FY2027e (12,14 USD) queda un 0,8 % por debajo del consenso (12,24 USD) y el de FY2028e (13,09 USD) un 2,2 % por debajo (13,39 USD) [24]. La diferencia es casi toda de recompras: el consenso supone que ADP sigue recomprando un 2 % de las acciones al año, como guía la empresa, y nosotros usamos las acciones de hoy. Ventas y margen coinciden con el consenso. Nuestro objetivo base (308,92 USD) supera en un 7,9 % al objetivo medio de los analistas (286,40 USD), porque aplicamos el PER de su historia (24 veces) y la mayoría de analistas descuenta un múltiplo menor por el riesgo de la IA.</w:t>
      </w:r>
    </w:p>
    <w:p>
      <w:pPr>
        <w:keepNext/>
        <w:spacing w:after="100"/>
      </w:pPr>
      <w:r>
        <w:rPr>
          <w:b/>
          <w:bCs/>
        </w:rPr>
        <w:t xml:space="preserve">Del valor intrínseco al objetivo a 12 meses.</w:t>
      </w:r>
    </w:p>
    <w:p>
      <w:pPr>
        <w:spacing w:after="100"/>
      </w:pPr>
      <w:r>
        <w:t xml:space="preserve">El objetivo a 12 meses (296,94 USD) queda un 34 % por encima del valor intrínseco (221,23 USD). La distancia no se cierra con un catalizador: refleja que el mercado descuenta a ADP con una rentabilidad del 8,0 % y nosotros con un WACC del 9,62 %. La regla de múltiplos supone que ADP seguirá cotizando a su PER de los últimos cinco años (24 veces), lo que es probable mientras los tipos y la percepción de la IA no cambien; el DCF dice que a ese múltiplo la rentabilidad a largo plazo es la de un bono. Por eso la tesis no es de compra: la rentabilidad a 12 meses (8,3 % ponderada) sale del crecimiento del BPA y del dividendo, no de una revalorización.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1T27 (julio-septiembre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 empleados por cliente, retención y nuevas ventas del año; confirmación de la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y subida anual del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dividendo (≈7-10 %, estimación propia) y renovación del consejo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a 2027-06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de tipos de la Fed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descuenta subidas de 25-50 pb: cada 25 pb en toda la curva suman unos 21 M de beneficio antes de impuestos a 12 meses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Mensual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nacional de empleo de ADP y empleo oficial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 los empleados por cliente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la guía de FY2027 (ADP la eleva casi siempre a mitad de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Monetización de los agentes de IA (ADP Assist) y avance de Lyric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ADP empieza a cobrar la IA como módulo, sube la tesis alcista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reduce la plantilla de oficina de los clientes (ADP cobra por empleado)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−27 % (de base a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 los ingresos no depende del número de empleados de oficina (PEO, jubilación, seguros, servicios de cumplimiento); precio y nuevas ventas compensan 1-2 puntos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 por cliente en EE. UU. negativos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y competidores nativos de IA abaratan el software de nóminas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 fiscal en 140 países, custodia de fondos y responsabilidad legal de la nómina: un agente genérico no los asume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Employer Services por debajo del 91,5 % o caída del precio aportado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escalonada a varios años: 25 pb en toda la curva solo restan unos 21 M antes de impuestos en 12 meses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intereses de fondos por debajo de 1.500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y caída del empleo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recurrentes y precio; en 2020 los ingresos aún crecieron un 3,4 %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Empleo privado negativo tres meses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sanitario en el PEO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Repercusión de primas sin margen; el PEO es el 15 % del beneficio de los segmentos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PEO por debajo del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Ciberataque o fallo de nómina masivo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 por capas, seguros y redundancia de centros de datos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 publicado o sanción de un regulador de privacidad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el precio descuenta un crecimiento del 9,8 %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−21 % hasta el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 de PER estable (24 veces)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 por encima de 25 veces el BPA del año siguiente sin mejora de la guía</w:t>
            </w:r>
          </w:p>
        </w:tc>
      </w:tr>
    </w:tbl>
    <w:p>
      <w:pPr>
        <w:spacing w:after="160" w:before="0"/>
      </w:pPr>
    </w:p>
    <w:p>
      <w:pPr>
        <w:pStyle w:val="Heading2"/>
      </w:pPr>
      <w:r>
        <w:t xml:space="preserve">Pre-mortem</w:t>
      </w:r>
    </w:p>
    <w:p>
      <w:pPr>
        <w:spacing w:after="100"/>
      </w:pPr>
      <w:r>
        <w:t xml:space="preserve">Octubre de 2029: ADP ha perdido un 40 % y cotiza a unos 170 USD. La historia empezó bien: el 1T27 cumplió la guía y la acción tocó 300 USD. Pero en 2027 las grandes empresas de servicios, finanzas y seguros de EE. UU. empezaron a congelar contrataciones de oficina con agentes de IA, y el indicador de empleados por cliente de ADP pasó del +1 % al −1 % en el 3T27 y al −2 % en FY2028. Al mismo tiempo, la Fed recortó 150 pb ante el enfriamiento del empleo, y los intereses de los fondos, que eran el 6 % de las ventas y casi un cuarto del EBIT, dejaron de crecer. Rippling y Gusto, con producto nativo de IA y precios un 20-30 % menores, subieron las bajas en pymes y la retención cayó al 90,5 %. El crecimiento bajó al 2-3 % y el BPA se estancó en 12-12,5 USD. El mercado dejó de pagar 24 veces por un negocio que ya no crecía y lo llevó a 14-15 veces, como al software maduro. El indicador que lo habría anticipado: los empleados por cliente de EE. UU. negativos dos trimestres seguidos, junto con una guía de retención a la baja.</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3-5 años en el caso central de riesgo (hasta −27 % si se cumple el escenario bajista del DCF: empleados por cliente −1-2 % al año); +5 % si la IA se cobra como módulo</w:t>
      </w:r>
    </w:p>
    <w:p>
      <w:pPr>
        <w:spacing w:after="100"/>
      </w:pPr>
      <w:r>
        <w:t xml:space="preserve">La IA toca a ADP por tres vías. (1) </w:t>
      </w:r>
      <w:r>
        <w:rPr>
          <w:b/>
        </w:rPr>
        <w:t xml:space="preserve">Volumen</w:t>
      </w:r>
      <w:r>
        <w:t xml:space="preserve">: cobra por empleado procesado; si los clientes reducen plantilla de oficina, cae la base. Hoy no se ve: empleados por cliente +1 % en FY2026 y guía de 0-1 % [3]. (2) </w:t>
      </w:r>
      <w:r>
        <w:rPr>
          <w:b/>
        </w:rPr>
        <w:t xml:space="preserve">Producto</w:t>
      </w:r>
      <w:r>
        <w:t xml:space="preserve">: agentes de IA podrían hacer tareas de RR. HH. y nómina que hoy vende ADP como servicio, y abaratar la entrada de rivales; lo frena la responsabilidad legal de pagar bien a millones de personas y cumplir con el fisco de 140 países [1]. (3) </w:t>
      </w:r>
      <w:r>
        <w:rPr>
          <w:b/>
        </w:rPr>
        <w:t xml:space="preserve">Coste</w:t>
      </w:r>
      <w:r>
        <w:t xml:space="preserve">: ADP usa IA en atención, ventas y desarrollo y la vende en ADP Assist a casi todos sus clientes; eso sostiene el margen (+80 pb en FY2026) [7]. El 10-K no incluye la sustitución por IA entre sus factores de riesgo, solo el cumplimiento normativo [1]. Señal: empleados por cliente negativos o retención por debajo del 91,5 %.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ADP pesan tres asuntos: (1) </w:t>
      </w:r>
      <w:r>
        <w:rPr>
          <w:b/>
        </w:rPr>
        <w:t xml:space="preserve">seguridad y privacidad de datos</w:t>
      </w:r>
      <w:r>
        <w:t xml:space="preserve"> de decenas de millones de trabajadores (salarios, cuentas bancarias, números de la Seguridad Social): un fallo grande dañaría la confianza, que es su producto [1]; (2) </w:t>
      </w:r>
      <w:r>
        <w:rPr>
          <w:b/>
        </w:rPr>
        <w:t xml:space="preserve">IA responsable</w:t>
      </w:r>
      <w:r>
        <w:t xml:space="preserve">: usa datos de personal para entrenar y aplicar modelos y debe cumplir la Ley de IA de la UE y las normas estatales sobre IA en contratación [1, 7]; (3) </w:t>
      </w:r>
      <w:r>
        <w:rPr>
          <w:b/>
        </w:rPr>
        <w:t xml:space="preserve">capital humano</w:t>
      </w:r>
      <w:r>
        <w:t xml:space="preserve">: 67.000 empleados, muchos de servicio, en plena automatización con IA y con recortes de plantilla en FY2024-2026 (91,1 M de indemnizaciones en el 4T26) [1, 3].</w:t>
      </w:r>
    </w:p>
    <w:p>
      <w:pPr>
        <w:pStyle w:val="Heading2"/>
      </w:pPr>
      <w:r>
        <w:t xml:space="preserve">Controversias</w:t>
      </w:r>
    </w:p>
    <w:p>
      <w:pPr>
        <w:spacing w:after="100"/>
      </w:pPr>
      <w:r>
        <w:t xml:space="preserve">Sin sanciones relevantes de reguladores publicadas en los últimos tres años; un acuerdo legal con un cargo neto de 18,0 M USD en FY2026 [3]. En septiembre de 2026 se presentó una demanda colectiva laboral de sus agentes de atención por tiempo de conexión no pagado (fase de demanda), según la prensa jurídica.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empleo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Employer Services depende directamente del número de empleados procesados y cuál es fija por cliente o módulo?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cuánto dañaría a ADP una reducción de plantillas de oficina por la 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por cliente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evolucionan los empleados por cliente en los sectores de oficina (finanzas, seguros, servicios profesionales) frente al total?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Sería la primera señal de que la IA reduce empleo en la base de ADP.</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Monetización de la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cobra ADP por los agentes de ADP Assist y qué ingresos espera de ellos en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da cifras; sin ellas la IA es solo coste y defensa.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Fondos de 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media tendría la cartera de fondos en FY2028 con los tipos a plazo de hoy y con 150 pb menos?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intereses de fondos son casi un cuarto del EBIT.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pymes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retención en pequeñas empresas frente a medianas y grandes, y cuántos clientes se pierden con Rippling y Gusto?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presión de precio de los nuevos competidores empieza por las pymes.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deuda neta está dispuesta a llegar ADP para recomprar sin poner en riesgo su rating y el papel comercial de los fondos?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explican la mitad del crecimiento del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espera ADP en el PEO a medio plazo con la inflación sanitaria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cayó 110 pb en FY2026 y la guía prevé más caída.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($ADP)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de dividendo («Dividend King») y de análisis técnico celebran el rebote de más del 30 % en un mes tras el 4T26; un mensaje bajista lo llama «HCM heredado» sin argumento; varios avisan de que los resultados del 1T27 son el 28-oct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(demanda laboral)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Despachos de abogados difunden la demanda colectiva Moore v. ADP (15-sep-2026) de agentes de atención por 20-42 minutos diarios sin pagar; es de empleados propios, no de clientes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«la venta la ha hecho barata» y «el mejor momento en años» (mayo-junio) a «el rebote tras resultados cerró el descuento, aún compra» (julio), «los márgenes son demasiado altos, paso» (julio) y una rebaja: «los vientos de cola ya están en el precio» (septiembre)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al empleo de oficina y al software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aún no lo muestran: empleados por cliente +1 % y retención del 92,1 %; el riesgo es a 3-5 años y gradual, y la dirección no da cifras de ingresos por IA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el rebote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280 USD cotiza a 23 veces nuestro BPA de FY2027, por debajo de su mediana de cinco años (24,2 veces) pero ya lejos del mínimo de junio (18,4 veces)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4.700 M devueltos en FY2026 y más de 50 años de subidas; la subida de noviembre es casi segura [36].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alto y tipos de interés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Parcialmente cierto: 1.354,8 M de intereses de fondos son casi todo margen; pero el mercado descuenta subidas de la Fed y la cartera escalonada amortigua las bajadas [37].</w:t>
            </w:r>
          </w:p>
        </w:tc>
      </w:tr>
    </w:tbl>
    <w:p>
      <w:pPr>
        <w:spacing w:after="160" w:before="0"/>
      </w:pPr>
    </w:p>
    <w:p>
      <w:pPr>
        <w:spacing w:after="100"/>
      </w:pPr>
      <w:r>
        <w:t xml:space="preserve">El sentimiento ha pasado del pesimismo de la primavera (la acción en mínimos de la década frente a su beneficio) a un optimismo prudente: los particulares celebran el rebote y el dividendo, y los autores de Seeking Alpha discuten si el descuento ya se ha cerrado [36, 37]. Coincide con los analistas, que en su mayoría recomiendan mantener con un objetivo medio cerca del precio. No hay euforia ni capitulación. El foro no aporta riesgos nuevos, salvo la demanda laboral de sus agentes (menor); el de la IA lo discute en abstracto, sin datos de empleo.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38 (24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15,0 % frente a 15,3 % real: genera una variación de circulante de 115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0,29: el crecimiento no explica los múltiplos de estos comparables; no uses el valor de la regresión. Explicación: Con seis comparables de modelos distintos (PEO de margen bajo, HCM para grandes empresas, nóminas con fondos de clientes e Intuit) el crecimiento no explica el múltiplo.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(24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items.crecimiento_pct (1T25-3T25)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FY2026 (solo comparan con FY2025); 2) companyfacts de la SEC (sin ingresos trimestrales en el concepto Revenues); 3) notas de FY2025 no descargadas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ADP (no da cuota ni mercado direccionable); 2) Census NAICS 541214 (solo nóminas, hasta 2022; ADP factura más que todo ese núcleo porque incluye PEO, software y fuera de EE. UU.); 3) TAM de Paychex (solo pymes)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 2026; 2) MSCI y Sustainalytics (requieren registro); 3) web de ADP (informe de sostenibilidad sin calificaciones de terceros en el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 2026 (la tabla de comisiones es gráfica y no se extrae como texto); 2) web de gobierno corporativo de ADP (no consultada por tiempo); 3) 8-K de nombramientos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FINRA (datos quincenales, no accesibles sin registro); 2) Stock Analysis (estadísticas, de pago); 3) MarketScreener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cerrado el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Automatic Data Processing,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https://www.sec.gov/Archives/edgar/data/8670/000000867026000030/adp-20260630.htm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ADP: series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https://data.sec.gov/api/xbrl/companyfacts/CIK0000008670.json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Reports Fourth Quarter and Fiscal 2026 Results; Provides Fiscal 2027 Outlook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https://www.sec.gov/Archives/edgar/data/8670/000000867026000025/q4fy26exhibit99.htm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Reports Third Quarter Fiscal 2026 Results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https://www.sec.gov/Archives/edgar/data/8670/000000867026000016/q3fy26exhibit99.htm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Reports Second Quarter Fiscal 2026 Results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https://www.sec.gov/Archives/edgar/data/8670/000000867026000006/q2fy26exhibit99.htm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Reports First Quarter Fiscal 2026 Results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https://www.sec.gov/Archives/edgar/data/8670/000000867025000042/q1fy26exhibit99.htm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Fourth Quarter Fiscal 2026 Earnings Call (transcripción editada de LSEG)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https://s205.q4cdn.com/887941133/files/doc_financials/2026/q4/ADP-Transcript-4QFY26.pdf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crédito sindicado de 364 días (5.700 M USD) y crédito a cinco años (3.500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https://www.sec.gov/Archives/edgar/data/8670/000095014226001884/eh260799361_8k.htm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emisión de bonos sénior al 5,00 % con vencimiento en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https://www.sec.gov/Archives/edgar/data/8670/000119312526212131/d932558d8k.htm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Form 10-K del ejercicio cerrado el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https://www.sec.gov/Archives/edgar/data/723531/000119312526307785/payx-20260531.htm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presentación a inversores de la compra de Paycor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https://www.sec.gov/Archives/edgar/data/723531/000095010325000267/dp223210_ex9902.htm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Revenue for Payroll Services, Employer Firms (REVEF541214TAXABL)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https://fred.stlouisfed.org/series/REVEF541214TAXABL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 Employees, Total Private (USPRIV)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Bureau of Labor Statistics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https://fred.stlouisfed.org/series/USPRIV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Form 10-K de 2025 y 10-Q del 2T26 (datos del informe value del repo,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https://www.sec.gov/Archives/edgar/data/1590955/000119312526338010/payc-20260630.htm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Holding, datos XBRL del Form 10-K de FY2026 (junio)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https://data.sec.gov/api/xbrl/companyfacts/CIK0001591698.json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datos XBRL del Form 10-K de FY2026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https://data.sec.gov/api/xbrl/companyfacts/CIK0001327811.json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TriNet Group, Form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TriNet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https://www.sec.gov/Archives/edgar/data/937098/000093709826000010/tnet-20251231.htm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Enters into US$12.3 Billion Definitive Agreement with Thoma Bravo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https://www.sec.gov/Archives/edgar/data/1725057/000119312525184632/d949165dex991.htm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lays off 500 employees, will replace jobs with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KGOU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https://www.kgou.org/business-and-economy/2025-10-01/paycom-lays-off-500-employees-will-replace-jobs-with-ai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Definitive Proxy Statement (DEF 14A)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https://www.sec.gov/Archives/edgar/data/8670/000130817926000409/adp015474-def14a.htm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12-nov-2025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https://www.sec.gov/Archives/edgar/data/8670/000095014225003006/eh250705655_8k.htm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ADP presentados entre el 15-oct-2025 y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https://www.sec.gov/cgi-bin/browse-edgar?action=getcompany&amp;CIK=0000008670&amp;type=4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ADP, SPY e IGV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https://finance.yahoo.com/quote/ADP/history/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https://www.marketscreener.com/quote/stock/AUTOMATIC-DATA-PROCESSING-11713/finances/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https://www.marketscreener.com/quote/stock/AUTOMATIC-DATA-PROCESSING-11713/consensus/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https://stockanalysis.com/stocks/adp/forecast/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value de Paychex (12-oct-2026) y Paycom (15-oct-2026): comparables y transacciones de HCM y nóminas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(informes/paychex-2026-10-12, informes/paycom-2026-10-15)</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de cierre del 9 y 14-oct-2026 de PCTY, WDAY, INTU, TNET, PAYX y PAYC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to Announce First Quarter Fiscal 2027 Financial Results on October 28,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https://s205.q4cdn.com/887941133/files/doc_news/ADP-to-Announce-First-Quarter-Fiscal-2027-Financial-Results-on-October-28-2026-2026.pdf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to Acquire Paycor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https://www.sec.gov/Archives/edgar/data/723531/000095010325000267/dp223210_ex9901.htm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proxy definitivo de la fusión (DEFM14A), con la opinión de Evercore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https://www.sec.gov/Archives/edgar/data/1725057/000114036125036413/ny20054883x2_defm14a.htm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Ultimate Software to Be Acquired by Investor Group Led by Hellman &amp; Friedman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Ultimate Software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https://www.sec.gov/Archives/edgar/data/1016125/000089968119000030/p19-0028_ex991.htm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trimestre cerrado el 31-dic-2024 (compra de WorkForce Software)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https://www.sec.gov/Archives/edgar/data/8670/000000867025000007/adp-20241231.htm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$ADP (29 últimos,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https://stocktwits.com/symbol/ADP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análisis y noticias de ADP (feed, jun-sep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https://seekingalpha.com/symbol/ADP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(eurofxref-daily),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89,8 %</w:t>
      </w:r>
      <w:r>
        <w:t xml:space="preserve"> · Secciones con menos del 60 % de campos cubiertos: </w:t>
      </w:r>
      <w:r>
        <w:rPr>
          <w:b/>
          <w:bCs/>
        </w:rPr>
        <w:t xml:space="preserve">ninguna</w:t>
      </w:r>
      <w:r>
        <w:t xml:space="preserve"> · Generado el 15 oct 2026.</w:t>
      </w:r>
    </w:p>
    <w:p>
      <w:pPr>
        <w:pStyle w:val="Nota"/>
        <w:spacing w:after="100"/>
      </w:pPr>
      <w:r>
        <w:t xml:space="preserve">ADP cotiza solo en el Nasdaq (ADP), en USD, la misma divisa de sus cuentas (US GAAP, millones de USD). El ejercicio cierra el 30 de junio y se nombra por el año en que termina: FY2026 = julio de 2025 a junio de 2026; el último publicado es el 10-K de FY2026 y el siguiente resultado (1T27, julio-septiembre de 2026) sale el 28-oct-2026 [1, 31]. Precio de cierre del 14-oct-2026 (280,32 USD; 250,40 EUR al cambio del BCE de 1,1195 USD por euro): al preparar los datos la sesión del 15 no había cerrado [23, 38]. Acciones: 397,3 millones a 31-jul-2026 más 0,9 de dilución por opciones y acciones restringidas; no se descuentan las recompras posteriores [1]. Los fondos de clientes (43.957,8 M) y sus obligaciones (44.415,5 M) quedan fuera de la caja y de la deuda; la financiación a corto de la estrategia de fondos (papel comercial y repos) también, porque se casa con inversiones corporativas del mismo importe [1]. El EBIT de este informe deja en el resultado financiero los intereses corporativos y la financiación de la estrategia de fondos; el EBIT ajustado de ADP los deja dentro (40 M de diferencia en FY2026) [3]. Las cifras de FY2017-FY2019 pueden mezclar datos reexpresados por la norma de ingresos ASC 606 (ver controles). La serie de ingresos trimestrales de FY2025 no tiene el crecimiento interanual publicado en los documentos leídos.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Automatic Data Processing, Inc. (ADP)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280,32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(188,16 – 288,00)</c:v>
                </c:pt>
                <c:pt idx="1">
                  <c:v>Precio objetivo de los analistas (225,00 – 322,00)</c:v>
                </c:pt>
                <c:pt idx="2">
                  <c:v>Comparables: EV/EBITDA NTM (192,22 – 259,76)</c:v>
                </c:pt>
                <c:pt idx="3">
                  <c:v>Comparables: PER NTM (242,43 – 306,27)</c:v>
                </c:pt>
                <c:pt idx="4">
                  <c:v>Transacciones precedentes (EV/ventas) (346,22 – 447,91)</c:v>
                </c:pt>
                <c:pt idx="5">
                  <c:v>DCF (WACC y g ± 0,5) (186,95 – 241,87)</c:v>
                </c:pt>
                <c:pt idx="6">
                  <c:v>Escenarios (bajista – alcista) (153,54 – 254,40)</c:v>
                </c:pt>
                <c:pt idx="7">
                  <c:v>DCF con la prima implícita del mercado (4,2 %)</c:v>
                </c:pt>
                <c:pt idx="8">
                  <c:v>Precio actual (280,32)</c:v>
                </c:pt>
              </c:strCache>
            </c:strRef>
          </c:cat>
          <c:val>
            <c:numRef>
              <c:f>Hoja1!$B$2:$B$10</c:f>
              <c:numCache>
                <c:formatCode>#,##0</c:formatCode>
                <c:ptCount val="9"/>
                <c:pt idx="0">
                  <c:v>188.16</c:v>
                </c:pt>
                <c:pt idx="1">
                  <c:v>225</c:v>
                </c:pt>
                <c:pt idx="2">
                  <c:v>192.22</c:v>
                </c:pt>
                <c:pt idx="3">
                  <c:v>242.43</c:v>
                </c:pt>
                <c:pt idx="4">
                  <c:v>346.22</c:v>
                </c:pt>
                <c:pt idx="5">
                  <c:v>186.95</c:v>
                </c:pt>
                <c:pt idx="6">
                  <c:v>153.54</c:v>
                </c:pt>
                <c:pt idx="7">
                  <c:v>229.95</c:v>
                </c:pt>
                <c:pt idx="8">
                  <c:v>278.92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(188,16 – 288,00)</c:v>
                </c:pt>
                <c:pt idx="1">
                  <c:v>Precio objetivo de los analistas (225,00 – 322,00)</c:v>
                </c:pt>
                <c:pt idx="2">
                  <c:v>Comparables: EV/EBITDA NTM (192,22 – 259,76)</c:v>
                </c:pt>
                <c:pt idx="3">
                  <c:v>Comparables: PER NTM (242,43 – 306,27)</c:v>
                </c:pt>
                <c:pt idx="4">
                  <c:v>Transacciones precedentes (EV/ventas) (346,22 – 447,91)</c:v>
                </c:pt>
                <c:pt idx="5">
                  <c:v>DCF (WACC y g ± 0,5) (186,95 – 241,87)</c:v>
                </c:pt>
                <c:pt idx="6">
                  <c:v>Escenarios (bajista – alcista) (153,54 – 254,40)</c:v>
                </c:pt>
                <c:pt idx="7">
                  <c:v>DCF con la prima implícita del mercado (4,2 %)</c:v>
                </c:pt>
                <c:pt idx="8">
                  <c:v>Precio actual (280,32)</c:v>
                </c:pt>
              </c:strCache>
            </c:strRef>
          </c:cat>
          <c:val>
            <c:numRef>
              <c:f>Hoja1!$C$2:$C$10</c:f>
              <c:numCache>
                <c:formatCode>#,##0</c:formatCode>
                <c:ptCount val="9"/>
                <c:pt idx="0">
                  <c:v>99.84</c:v>
                </c:pt>
                <c:pt idx="1">
                  <c:v>97</c:v>
                </c:pt>
                <c:pt idx="2">
                  <c:v>67.53999999999999</c:v>
                </c:pt>
                <c:pt idx="3">
                  <c:v>63.839999999999975</c:v>
                </c:pt>
                <c:pt idx="4">
                  <c:v>101.69</c:v>
                </c:pt>
                <c:pt idx="5">
                  <c:v>54.920000000000016</c:v>
                </c:pt>
                <c:pt idx="6">
                  <c:v>100.86000000000001</c:v>
                </c:pt>
                <c:pt idx="7">
                  <c:v>46.139999999999986</c:v>
                </c:pt>
                <c:pt idx="8">
                  <c:v>2.8000000000000114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Employer Services</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12980.8</c:v>
                </c:pt>
                <c:pt idx="1">
                  <c:v>13883.1</c:v>
                </c:pt>
                <c:pt idx="2">
                  <c:v>14831.4</c:v>
                </c:pt>
              </c:numCache>
            </c:numRef>
          </c:val>
        </c:ser>
        <c:ser>
          <c:idx val="1"/>
          <c:order val="1"/>
          <c:tx>
            <c:strRef>
              <c:f>Hoja1!$C$1</c:f>
              <c:strCache>
                <c:ptCount val="1"/>
                <c:pt idx="0">
                  <c:v>PEO Services (ADP TotalSource)</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6233.6</c:v>
                </c:pt>
                <c:pt idx="1">
                  <c:v>6690.4</c:v>
                </c:pt>
                <c:pt idx="2">
                  <c:v>7128.1</c:v>
                </c:pt>
              </c:numCache>
            </c:numRef>
          </c:val>
        </c:ser>
        <c:ser>
          <c:idx val="2"/>
          <c:order val="2"/>
          <c:tx>
            <c:strRef>
              <c:f>Hoja1!$D$1</c:f>
              <c:strCache>
                <c:ptCount val="1"/>
                <c:pt idx="0">
                  <c:v>Otros y eliminaciones</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-11.8</c:v>
                </c:pt>
                <c:pt idx="1">
                  <c:v>-12.6</c:v>
                </c:pt>
                <c:pt idx="2">
                  <c:v>-12.1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Employer Services</c:v>
                </c:pt>
                <c:pt idx="1">
                  <c:v>PEO Services (ADP TotalSource)</c:v>
                </c:pt>
                <c:pt idx="2">
                  <c:v>Otros y eliminaciones</c:v>
                </c:pt>
              </c:strCache>
            </c:strRef>
          </c:cat>
          <c:val>
            <c:numRef>
              <c:f>Hoja1!$B$2:$B$4</c:f>
              <c:numCache>
                <c:formatCode>General</c:formatCode>
                <c:ptCount val="3"/>
                <c:pt idx="0">
                  <c:v>67.6</c:v>
                </c:pt>
                <c:pt idx="1">
                  <c:v>32.5</c:v>
                </c:pt>
                <c:pt idx="2">
                  <c:v>-0.1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EE. UU.</c:v>
                </c:pt>
                <c:pt idx="1">
                  <c:v>Europa, Oriente Medio y África</c:v>
                </c:pt>
                <c:pt idx="2">
                  <c:v>Canadá</c:v>
                </c:pt>
                <c:pt idx="3">
                  <c:v>Otros</c:v>
                </c:pt>
              </c:strCache>
            </c:strRef>
          </c:cat>
          <c:val>
            <c:numRef>
              <c:f>Hoja1!$B$2:$B$5</c:f>
              <c:numCache>
                <c:formatCode>0"%"</c:formatCode>
                <c:ptCount val="4"/>
                <c:pt idx="0">
                  <c:v>87.8</c:v>
                </c:pt>
                <c:pt idx="1">
                  <c:v>7.9</c:v>
                </c:pt>
                <c:pt idx="2">
                  <c:v>2.4</c:v>
                </c:pt>
                <c:pt idx="3">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las empresas de servicios de nóminas de EE. UU., NAICS 541214, Census))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2017</c:v>
                </c:pt>
                <c:pt idx="1">
                  <c:v>2018</c:v>
                </c:pt>
                <c:pt idx="2">
                  <c:v>2019</c:v>
                </c:pt>
                <c:pt idx="3">
                  <c:v>2020</c:v>
                </c:pt>
                <c:pt idx="4">
                  <c:v>2021</c:v>
                </c:pt>
                <c:pt idx="5">
                  <c:v>2022</c:v>
                </c:pt>
              </c:strCache>
            </c:strRef>
          </c:cat>
          <c:val>
            <c:numRef>
              <c:f>Hoja1!$B$2:$B$7</c:f>
              <c:numCache>
                <c:formatCode>#,##0</c:formatCode>
                <c:ptCount val="6"/>
                <c:pt idx="0">
                  <c:v>21946</c:v>
                </c:pt>
                <c:pt idx="1">
                  <c:v>21794</c:v>
                </c:pt>
                <c:pt idx="2">
                  <c:v>23929</c:v>
                </c:pt>
                <c:pt idx="3">
                  <c:v>24637</c:v>
                </c:pt>
                <c:pt idx="4">
                  <c:v>26729</c:v>
                </c:pt>
                <c:pt idx="5">
                  <c:v>27589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ADP</c:v>
                </c:pt>
                <c:pt idx="1">
                  <c:v>Paychex (con Paycor)</c:v>
                </c:pt>
                <c:pt idx="2">
                  <c:v>Workday</c:v>
                </c:pt>
                <c:pt idx="3">
                  <c:v>Paycom Software</c:v>
                </c:pt>
                <c:pt idx="4">
                  <c:v>Paylocity</c:v>
                </c:pt>
                <c:pt idx="5">
                  <c:v>TriNet</c:v>
                </c:pt>
                <c:pt idx="6">
                  <c:v>Rippling</c:v>
                </c:pt>
                <c:pt idx="7">
                  <c:v>Dayforce</c:v>
                </c:pt>
              </c:strCache>
            </c:strRef>
          </c:cat>
          <c:val>
            <c:numRef>
              <c:f>Hoja1!$B$2:$B$9</c:f>
              <c:numCache>
                <c:formatCode>0.0"%"</c:formatCode>
                <c:ptCount val="8"/>
                <c:pt idx="0">
                  <c:v>26.9</c:v>
                </c:pt>
                <c:pt idx="1">
                  <c:v>38.6</c:v>
                </c:pt>
                <c:pt idx="2">
                  <c:v>7.5</c:v>
                </c:pt>
                <c:pt idx="3">
                  <c:v>27.6</c:v>
                </c:pt>
                <c:pt idx="4">
                  <c:v>21.8</c:v>
                </c:pt>
                <c:pt idx="5">
                  <c:v>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12372</c:v>
                </c:pt>
                <c:pt idx="1">
                  <c:v>13274.2</c:v>
                </c:pt>
                <c:pt idx="2">
                  <c:v>14110.2</c:v>
                </c:pt>
                <c:pt idx="3">
                  <c:v>14589.8</c:v>
                </c:pt>
                <c:pt idx="4">
                  <c:v>15005.4</c:v>
                </c:pt>
                <c:pt idx="5">
                  <c:v>16498.3</c:v>
                </c:pt>
                <c:pt idx="6">
                  <c:v>18012.2</c:v>
                </c:pt>
                <c:pt idx="7">
                  <c:v>19202.6</c:v>
                </c:pt>
                <c:pt idx="8">
                  <c:v>20560.9</c:v>
                </c:pt>
                <c:pt idx="9">
                  <c:v>21947.4</c:v>
                </c:pt>
                <c:pt idx="10">
                  <c:v>23155</c:v>
                </c:pt>
                <c:pt idx="11">
                  <c:v>24428</c:v>
                </c:pt>
                <c:pt idx="12">
                  <c:v>25772</c:v>
                </c:pt>
                <c:pt idx="13">
                  <c:v>27060</c:v>
                </c:pt>
                <c:pt idx="14">
                  <c:v>28413</c:v>
                </c:pt>
                <c:pt idx="15">
                  <c:v>29692</c:v>
                </c:pt>
                <c:pt idx="16">
                  <c:v>30879</c:v>
                </c:pt>
                <c:pt idx="17">
                  <c:v>31960</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2936.3</c:v>
                </c:pt>
                <c:pt idx="1">
                  <c:v>2679.4</c:v>
                </c:pt>
                <c:pt idx="2">
                  <c:v>3446.9</c:v>
                </c:pt>
                <c:pt idx="3">
                  <c:v>3685.2</c:v>
                </c:pt>
                <c:pt idx="4">
                  <c:v>3895.1</c:v>
                </c:pt>
                <c:pt idx="5">
                  <c:v>4360.1</c:v>
                </c:pt>
                <c:pt idx="6">
                  <c:v>5090.7</c:v>
                </c:pt>
                <c:pt idx="7">
                  <c:v>5554.3</c:v>
                </c:pt>
                <c:pt idx="8">
                  <c:v>6045.299999999999</c:v>
                </c:pt>
                <c:pt idx="9">
                  <c:v>6500.7</c:v>
                </c:pt>
                <c:pt idx="10">
                  <c:v>6993</c:v>
                </c:pt>
                <c:pt idx="11">
                  <c:v>7524</c:v>
                </c:pt>
                <c:pt idx="12">
                  <c:v>8066</c:v>
                </c:pt>
                <c:pt idx="13">
                  <c:v>8578</c:v>
                </c:pt>
                <c:pt idx="14">
                  <c:v>9092</c:v>
                </c:pt>
                <c:pt idx="15">
                  <c:v>9561</c:v>
                </c:pt>
                <c:pt idx="16">
                  <c:v>9974</c:v>
                </c:pt>
                <c:pt idx="17">
                  <c:v>10323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41.4</c:v>
                </c:pt>
                <c:pt idx="1">
                  <c:v>41.6</c:v>
                </c:pt>
                <c:pt idx="2">
                  <c:v>43.2</c:v>
                </c:pt>
                <c:pt idx="3">
                  <c:v>42.1</c:v>
                </c:pt>
                <c:pt idx="4">
                  <c:v>42.4</c:v>
                </c:pt>
                <c:pt idx="5">
                  <c:v>42.6</c:v>
                </c:pt>
                <c:pt idx="6">
                  <c:v>44.7</c:v>
                </c:pt>
                <c:pt idx="7">
                  <c:v>45.4</c:v>
                </c:pt>
                <c:pt idx="8">
                  <c:v>46</c:v>
                </c:pt>
                <c:pt idx="9">
                  <c:v>46.4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23.7</c:v>
                </c:pt>
                <c:pt idx="1">
                  <c:v>20.2</c:v>
                </c:pt>
                <c:pt idx="2">
                  <c:v>24.4</c:v>
                </c:pt>
                <c:pt idx="3">
                  <c:v>25.3</c:v>
                </c:pt>
                <c:pt idx="4">
                  <c:v>26</c:v>
                </c:pt>
                <c:pt idx="5">
                  <c:v>26.4</c:v>
                </c:pt>
                <c:pt idx="6">
                  <c:v>28.3</c:v>
                </c:pt>
                <c:pt idx="7">
                  <c:v>28.9</c:v>
                </c:pt>
                <c:pt idx="8">
                  <c:v>29.4</c:v>
                </c:pt>
                <c:pt idx="9">
                  <c:v>29.6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21.2</c:v>
                </c:pt>
                <c:pt idx="1">
                  <c:v>17.3</c:v>
                </c:pt>
                <c:pt idx="2">
                  <c:v>21.5</c:v>
                </c:pt>
                <c:pt idx="3">
                  <c:v>22</c:v>
                </c:pt>
                <c:pt idx="4">
                  <c:v>22.6</c:v>
                </c:pt>
                <c:pt idx="5">
                  <c:v>23.3</c:v>
                </c:pt>
                <c:pt idx="6">
                  <c:v>25.2</c:v>
                </c:pt>
                <c:pt idx="7">
                  <c:v>26</c:v>
                </c:pt>
                <c:pt idx="8">
                  <c:v>26.6</c:v>
                </c:pt>
                <c:pt idx="9">
                  <c:v>26.9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14.5</c:v>
                </c:pt>
                <c:pt idx="1">
                  <c:v>14.2</c:v>
                </c:pt>
                <c:pt idx="2">
                  <c:v>16.2</c:v>
                </c:pt>
                <c:pt idx="3">
                  <c:v>16.9</c:v>
                </c:pt>
                <c:pt idx="4">
                  <c:v>17.3</c:v>
                </c:pt>
                <c:pt idx="5">
                  <c:v>17.9</c:v>
                </c:pt>
                <c:pt idx="6">
                  <c:v>18.9</c:v>
                </c:pt>
                <c:pt idx="7">
                  <c:v>19.5</c:v>
                </c:pt>
                <c:pt idx="8">
                  <c:v>19.8</c:v>
                </c:pt>
                <c:pt idx="9">
                  <c:v>20.1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3">
                  <c:v>8</c:v>
                </c:pt>
                <c:pt idx="4">
                  <c:v>7.1</c:v>
                </c:pt>
                <c:pt idx="5">
                  <c:v>6.2</c:v>
                </c:pt>
                <c:pt idx="6">
                  <c:v>7</c:v>
                </c:pt>
                <c:pt idx="7">
                  <c:v>6.8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Hoja1!$C$2:$C$9</c:f>
              <c:numCache>
                <c:formatCode>0.0"%"</c:formatCode>
                <c:ptCount val="8"/>
                <c:pt idx="3">
                  <c:v>6</c:v>
                </c:pt>
                <c:pt idx="4">
                  <c:v>6</c:v>
                </c:pt>
                <c:pt idx="5">
                  <c:v>5</c:v>
                </c:pt>
                <c:pt idx="6">
                  <c:v>6</c:v>
                </c:pt>
                <c:pt idx="7">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50</c:v>
                </c:pt>
                <c:pt idx="1">
                  <c:v>55</c:v>
                </c:pt>
                <c:pt idx="2">
                  <c:v>63</c:v>
                </c:pt>
                <c:pt idx="3">
                  <c:v>61</c:v>
                </c:pt>
                <c:pt idx="4">
                  <c:v>66</c:v>
                </c:pt>
                <c:pt idx="5">
                  <c:v>70</c:v>
                </c:pt>
                <c:pt idx="6">
                  <c:v>61</c:v>
                </c:pt>
                <c:pt idx="7">
                  <c:v>65</c:v>
                </c:pt>
                <c:pt idx="8">
                  <c:v>64</c:v>
                </c:pt>
                <c:pt idx="9">
                  <c:v>59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8</c:v>
                </c:pt>
                <c:pt idx="1">
                  <c:v>6</c:v>
                </c:pt>
                <c:pt idx="2">
                  <c:v>6</c:v>
                </c:pt>
                <c:pt idx="3">
                  <c:v>4</c:v>
                </c:pt>
                <c:pt idx="4">
                  <c:v>6</c:v>
                </c:pt>
                <c:pt idx="5">
                  <c:v>4</c:v>
                </c:pt>
                <c:pt idx="6">
                  <c:v>4</c:v>
                </c:pt>
                <c:pt idx="7">
                  <c:v>4</c:v>
                </c:pt>
                <c:pt idx="8">
                  <c:v>6</c:v>
                </c:pt>
                <c:pt idx="9">
                  <c:v>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1655.3000000000002</c:v>
                </c:pt>
                <c:pt idx="1">
                  <c:v>2044.3999999999999</c:v>
                </c:pt>
                <c:pt idx="2">
                  <c:v>2070.7000000000003</c:v>
                </c:pt>
                <c:pt idx="3">
                  <c:v>2409.7999999999997</c:v>
                </c:pt>
                <c:pt idx="4">
                  <c:v>2490.8</c:v>
                </c:pt>
                <c:pt idx="5">
                  <c:v>2400.2</c:v>
                </c:pt>
                <c:pt idx="6">
                  <c:v>3439.7000000000003</c:v>
                </c:pt>
                <c:pt idx="7">
                  <c:v>3390.6000000000004</c:v>
                </c:pt>
                <c:pt idx="8">
                  <c:v>4247.7</c:v>
                </c:pt>
                <c:pt idx="9">
                  <c:v>4668.7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1787.8</c:v>
                </c:pt>
                <c:pt idx="1">
                  <c:v>1884.9</c:v>
                </c:pt>
                <c:pt idx="2">
                  <c:v>2292.8</c:v>
                </c:pt>
                <c:pt idx="3">
                  <c:v>2466.5</c:v>
                </c:pt>
                <c:pt idx="4">
                  <c:v>2598.5</c:v>
                </c:pt>
                <c:pt idx="5">
                  <c:v>2948.9</c:v>
                </c:pt>
                <c:pt idx="6">
                  <c:v>3412</c:v>
                </c:pt>
                <c:pt idx="7">
                  <c:v>3752</c:v>
                </c:pt>
                <c:pt idx="8">
                  <c:v>4079.7</c:v>
                </c:pt>
                <c:pt idx="9">
                  <c:v>4413.5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55.8</c:v>
                </c:pt>
                <c:pt idx="1">
                  <c:v>48.9</c:v>
                </c:pt>
                <c:pt idx="2">
                  <c:v>46.2</c:v>
                </c:pt>
                <c:pt idx="3">
                  <c:v>44</c:v>
                </c:pt>
                <c:pt idx="4">
                  <c:v>43.9</c:v>
                </c:pt>
                <c:pt idx="5">
                  <c:v>54.9</c:v>
                </c:pt>
                <c:pt idx="6">
                  <c:v>76</c:v>
                </c:pt>
                <c:pt idx="7">
                  <c:v>85</c:v>
                </c:pt>
                <c:pt idx="8">
                  <c:v>73.4</c:v>
                </c:pt>
                <c:pt idx="9">
                  <c:v>67.1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9.6</c:v>
                </c:pt>
                <c:pt idx="1">
                  <c:v>9.6</c:v>
                </c:pt>
                <c:pt idx="2">
                  <c:v>9.6</c:v>
                </c:pt>
                <c:pt idx="3">
                  <c:v>9.6</c:v>
                </c:pt>
                <c:pt idx="4">
                  <c:v>9.6</c:v>
                </c:pt>
                <c:pt idx="5">
                  <c:v>9.6</c:v>
                </c:pt>
                <c:pt idx="6">
                  <c:v>9.6</c:v>
                </c:pt>
                <c:pt idx="7">
                  <c:v>9.6</c:v>
                </c:pt>
                <c:pt idx="8">
                  <c:v>9.6</c:v>
                </c:pt>
                <c:pt idx="9">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45</c:v>
                </c:pt>
                <c:pt idx="1">
                  <c:v>43.3</c:v>
                </c:pt>
                <c:pt idx="2">
                  <c:v>45.2</c:v>
                </c:pt>
                <c:pt idx="3">
                  <c:v>44.2</c:v>
                </c:pt>
                <c:pt idx="4">
                  <c:v>45.5</c:v>
                </c:pt>
                <c:pt idx="5">
                  <c:v>66.3</c:v>
                </c:pt>
                <c:pt idx="6">
                  <c:v>101.3</c:v>
                </c:pt>
                <c:pt idx="7">
                  <c:v>93.1</c:v>
                </c:pt>
                <c:pt idx="8">
                  <c:v>76</c:v>
                </c:pt>
                <c:pt idx="9">
                  <c:v>72.2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-0.26</c:v>
                </c:pt>
                <c:pt idx="1">
                  <c:v>-0.06</c:v>
                </c:pt>
                <c:pt idx="2">
                  <c:v>0.02</c:v>
                </c:pt>
                <c:pt idx="3">
                  <c:v>0.03</c:v>
                </c:pt>
                <c:pt idx="4">
                  <c:v>0.11</c:v>
                </c:pt>
                <c:pt idx="5">
                  <c:v>0.36</c:v>
                </c:pt>
                <c:pt idx="6">
                  <c:v>0.18</c:v>
                </c:pt>
                <c:pt idx="7">
                  <c:v>0.01</c:v>
                </c:pt>
                <c:pt idx="8">
                  <c:v>0.1</c:v>
                </c:pt>
                <c:pt idx="9">
                  <c:v>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2027</c:v>
                </c:pt>
                <c:pt idx="1">
                  <c:v>2028</c:v>
                </c:pt>
                <c:pt idx="2">
                  <c:v>2029</c:v>
                </c:pt>
                <c:pt idx="3">
                  <c:v>2030</c:v>
                </c:pt>
                <c:pt idx="4">
                  <c:v>2031</c:v>
                </c:pt>
                <c:pt idx="5">
                  <c:v>2032+</c:v>
                </c:pt>
              </c:strCache>
            </c:strRef>
          </c:cat>
          <c:val>
            <c:numRef>
              <c:f>Hoja1!$B$2:$B$7</c:f>
              <c:numCache>
                <c:formatCode>#,##0</c:formatCode>
                <c:ptCount val="6"/>
                <c:pt idx="0">
                  <c:v>1</c:v>
                </c:pt>
                <c:pt idx="1">
                  <c:v>1000</c:v>
                </c:pt>
                <c:pt idx="2">
                  <c:v>0</c:v>
                </c:pt>
                <c:pt idx="3">
                  <c:v>1000</c:v>
                </c:pt>
                <c:pt idx="4">
                  <c:v>0</c:v>
                </c:pt>
                <c:pt idx="5">
                  <c:v>3000.8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87.4</c:v>
                </c:pt>
                <c:pt idx="1">
                  <c:v>612.4</c:v>
                </c:pt>
                <c:pt idx="2">
                  <c:v>125.5</c:v>
                </c:pt>
                <c:pt idx="3">
                  <c:v>0</c:v>
                </c:pt>
                <c:pt idx="4">
                  <c:v>0</c:v>
                </c:pt>
                <c:pt idx="5">
                  <c:v>11.7</c:v>
                </c:pt>
                <c:pt idx="6">
                  <c:v>32.4</c:v>
                </c:pt>
                <c:pt idx="7">
                  <c:v>33.6</c:v>
                </c:pt>
                <c:pt idx="8">
                  <c:v>1165.1</c:v>
                </c:pt>
                <c:pt idx="9">
                  <c:v>22.8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995.2</c:v>
                </c:pt>
                <c:pt idx="1">
                  <c:v>1063.7</c:v>
                </c:pt>
                <c:pt idx="2">
                  <c:v>1293</c:v>
                </c:pt>
                <c:pt idx="3">
                  <c:v>1470.5</c:v>
                </c:pt>
                <c:pt idx="4">
                  <c:v>1575.5</c:v>
                </c:pt>
                <c:pt idx="5">
                  <c:v>1659</c:v>
                </c:pt>
                <c:pt idx="6">
                  <c:v>1903.6</c:v>
                </c:pt>
                <c:pt idx="7">
                  <c:v>2183.1</c:v>
                </c:pt>
                <c:pt idx="8">
                  <c:v>2398.9</c:v>
                </c:pt>
                <c:pt idx="9">
                  <c:v>2626.3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1259.6</c:v>
                </c:pt>
                <c:pt idx="1">
                  <c:v>989.3</c:v>
                </c:pt>
                <c:pt idx="2">
                  <c:v>937.7</c:v>
                </c:pt>
                <c:pt idx="3">
                  <c:v>1006.3</c:v>
                </c:pt>
                <c:pt idx="4">
                  <c:v>1372.3</c:v>
                </c:pt>
                <c:pt idx="5">
                  <c:v>1969.4</c:v>
                </c:pt>
                <c:pt idx="6">
                  <c:v>1121.4</c:v>
                </c:pt>
                <c:pt idx="7">
                  <c:v>1231.7</c:v>
                </c:pt>
                <c:pt idx="8">
                  <c:v>1280.5</c:v>
                </c:pt>
                <c:pt idx="9">
                  <c:v>2083.3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Otro externo</c:v>
                </c:pt>
              </c:strCache>
            </c:strRef>
          </c:cat>
          <c:val>
            <c:numRef>
              <c:f>Hoja1!$B$2:$B$4</c:f>
              <c:numCache>
                <c:formatCode>0</c:formatCode>
                <c:ptCount val="3"/>
                <c:pt idx="0">
                  <c:v>11</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c:v>
                </c:pt>
                <c:pt idx="1">
                  <c:v>Vanguard</c:v>
                </c:pt>
                <c:pt idx="2">
                  <c:v>State Street</c:v>
                </c:pt>
                <c:pt idx="3">
                  <c:v>Consejeros y directivos (26 personas)</c:v>
                </c:pt>
                <c:pt idx="4">
                  <c:v>Autocartera</c:v>
                </c:pt>
              </c:strCache>
            </c:strRef>
          </c:cat>
          <c:val>
            <c:numRef>
              <c:f>Hoja1!$B$2:$B$6</c:f>
              <c:numCache>
                <c:formatCode>0.0"%"</c:formatCode>
                <c:ptCount val="5"/>
                <c:pt idx="0">
                  <c:v>8.1</c:v>
                </c:pt>
                <c:pt idx="1">
                  <c:v>7.51</c:v>
                </c:pt>
                <c:pt idx="2">
                  <c:v>5.1</c:v>
                </c:pt>
                <c:pt idx="3">
                  <c:v>0.15</c:v>
                </c:pt>
                <c:pt idx="4">
                  <c:v>37.7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24.3</c:v>
                </c:pt>
                <c:pt idx="1">
                  <c:v>16.5</c:v>
                </c:pt>
                <c:pt idx="2">
                  <c:v>14.3</c:v>
                </c:pt>
                <c:pt idx="3">
                  <c:v>32.7</c:v>
                </c:pt>
                <c:pt idx="4">
                  <c:v>5.9</c:v>
                </c:pt>
                <c:pt idx="5">
                  <c:v>42.6</c:v>
                </c:pt>
                <c:pt idx="6">
                  <c:v>-1.3</c:v>
                </c:pt>
                <c:pt idx="7">
                  <c:v>-0.2</c:v>
                </c:pt>
                <c:pt idx="8">
                  <c:v>28.4</c:v>
                </c:pt>
                <c:pt idx="9">
                  <c:v>-10.2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15.5</c:v>
                </c:pt>
                <c:pt idx="1">
                  <c:v>22.1</c:v>
                </c:pt>
                <c:pt idx="2">
                  <c:v>21</c:v>
                </c:pt>
                <c:pt idx="3">
                  <c:v>17.5</c:v>
                </c:pt>
                <c:pt idx="4">
                  <c:v>21.9</c:v>
                </c:pt>
                <c:pt idx="5">
                  <c:v>20.6</c:v>
                </c:pt>
                <c:pt idx="6">
                  <c:v>18.1</c:v>
                </c:pt>
                <c:pt idx="7">
                  <c:v>17.7</c:v>
                </c:pt>
                <c:pt idx="8">
                  <c:v>21</c:v>
                </c:pt>
                <c:pt idx="9">
                  <c:v>14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19.4</c:v>
                </c:pt>
                <c:pt idx="1">
                  <c:v>19.4</c:v>
                </c:pt>
                <c:pt idx="2">
                  <c:v>19.4</c:v>
                </c:pt>
                <c:pt idx="3">
                  <c:v>19.4</c:v>
                </c:pt>
                <c:pt idx="4">
                  <c:v>19.4</c:v>
                </c:pt>
                <c:pt idx="5">
                  <c:v>19.4</c:v>
                </c:pt>
                <c:pt idx="6">
                  <c:v>19.4</c:v>
                </c:pt>
                <c:pt idx="7">
                  <c:v>19.4</c:v>
                </c:pt>
                <c:pt idx="8">
                  <c:v>19.4</c:v>
                </c:pt>
                <c:pt idx="9">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ADP</c:v>
                </c:pt>
                <c:pt idx="1">
                  <c:v>Paylocity</c:v>
                </c:pt>
                <c:pt idx="2">
                  <c:v>Workday</c:v>
                </c:pt>
                <c:pt idx="3">
                  <c:v>Intuit</c:v>
                </c:pt>
                <c:pt idx="4">
                  <c:v>TriNet</c:v>
                </c:pt>
                <c:pt idx="5">
                  <c:v>Paychex</c:v>
                </c:pt>
                <c:pt idx="6">
                  <c:v>Paycom Software</c:v>
                </c:pt>
              </c:strCache>
            </c:strRef>
          </c:cat>
          <c:val>
            <c:numRef>
              <c:f>Hoja1!$B$2:$B$8</c:f>
              <c:numCache>
                <c:formatCode>0.0"x"</c:formatCode>
                <c:ptCount val="7"/>
                <c:pt idx="0">
                  <c:v>15.7</c:v>
                </c:pt>
                <c:pt idx="1">
                  <c:v>15.1</c:v>
                </c:pt>
                <c:pt idx="2">
                  <c:v>22.4</c:v>
                </c:pt>
                <c:pt idx="3">
                  <c:v>9.7</c:v>
                </c:pt>
                <c:pt idx="4">
                  <c:v>10.6</c:v>
                </c:pt>
                <c:pt idx="5">
                  <c:v>12.8</c:v>
                </c:pt>
                <c:pt idx="6">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ADP</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5.8</c:v>
                </c:pt>
              </c:numCache>
            </c:numRef>
          </c:xVal>
          <c:yVal>
            <c:numRef>
              <c:f>Hoja1!$C$2</c:f>
              <c:numCache>
                <c:formatCode>0.0"x"</c:formatCode>
                <c:ptCount val="1"/>
                <c:pt idx="0">
                  <c:v>15.7</c:v>
                </c:pt>
              </c:numCache>
            </c:numRef>
          </c:yVal>
          <c:smooth val="0"/>
        </c:ser>
        <c:ser>
          <c:idx val="1"/>
          <c:order val="1"/>
          <c:tx>
            <c:strRef>
              <c:f>Hoja1!$A$3</c:f>
              <c:strCache>
                <c:ptCount val="1"/>
                <c:pt idx="0">
                  <c:v>Paylocity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7.2</c:v>
                </c:pt>
              </c:numCache>
            </c:numRef>
          </c:xVal>
          <c:yVal>
            <c:numRef>
              <c:f>Hoja1!$C$3</c:f>
              <c:numCache>
                <c:formatCode>0.0"x"</c:formatCode>
                <c:ptCount val="1"/>
                <c:pt idx="0">
                  <c:v>15.1</c:v>
                </c:pt>
              </c:numCache>
            </c:numRef>
          </c:yVal>
          <c:smooth val="0"/>
        </c:ser>
        <c:ser>
          <c:idx val="2"/>
          <c:order val="2"/>
          <c:tx>
            <c:strRef>
              <c:f>Hoja1!$A$4</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10.5</c:v>
                </c:pt>
              </c:numCache>
            </c:numRef>
          </c:xVal>
          <c:yVal>
            <c:numRef>
              <c:f>Hoja1!$C$4</c:f>
              <c:numCache>
                <c:formatCode>0.0"x"</c:formatCode>
                <c:ptCount val="1"/>
                <c:pt idx="0">
                  <c:v>22.4</c:v>
                </c:pt>
              </c:numCache>
            </c:numRef>
          </c:yVal>
          <c:smooth val="0"/>
        </c:ser>
        <c:ser>
          <c:idx val="3"/>
          <c:order val="3"/>
          <c:tx>
            <c:strRef>
              <c:f>Hoja1!$A$5</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9.2</c:v>
                </c:pt>
              </c:numCache>
            </c:numRef>
          </c:xVal>
          <c:yVal>
            <c:numRef>
              <c:f>Hoja1!$C$5</c:f>
              <c:numCache>
                <c:formatCode>0.0"x"</c:formatCode>
                <c:ptCount val="1"/>
                <c:pt idx="0">
                  <c:v>9.7</c:v>
                </c:pt>
              </c:numCache>
            </c:numRef>
          </c:yVal>
          <c:smooth val="0"/>
        </c:ser>
        <c:ser>
          <c:idx val="4"/>
          <c:order val="4"/>
          <c:tx>
            <c:strRef>
              <c:f>Hoja1!$A$6</c:f>
              <c:strCache>
                <c:ptCount val="1"/>
                <c:pt idx="0">
                  <c:v>TriNet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1.2</c:v>
                </c:pt>
              </c:numCache>
            </c:numRef>
          </c:xVal>
          <c:yVal>
            <c:numRef>
              <c:f>Hoja1!$C$6</c:f>
              <c:numCache>
                <c:formatCode>0.0"x"</c:formatCode>
                <c:ptCount val="1"/>
                <c:pt idx="0">
                  <c:v>10.6</c:v>
                </c:pt>
              </c:numCache>
            </c:numRef>
          </c:yVal>
          <c:smooth val="0"/>
        </c:ser>
        <c:ser>
          <c:idx val="5"/>
          <c:order val="5"/>
          <c:tx>
            <c:strRef>
              <c:f>Hoja1!$A$7</c:f>
              <c:strCache>
                <c:ptCount val="1"/>
                <c:pt idx="0">
                  <c:v>Paychex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c:v>
                </c:pt>
              </c:numCache>
            </c:numRef>
          </c:xVal>
          <c:yVal>
            <c:numRef>
              <c:f>Hoja1!$C$7</c:f>
              <c:numCache>
                <c:formatCode>0.0"x"</c:formatCode>
                <c:ptCount val="1"/>
                <c:pt idx="0">
                  <c:v>12.8</c:v>
                </c:pt>
              </c:numCache>
            </c:numRef>
          </c:yVal>
          <c:smooth val="0"/>
        </c:ser>
        <c:ser>
          <c:idx val="6"/>
          <c:order val="6"/>
          <c:tx>
            <c:strRef>
              <c:f>Hoja1!$A$8</c:f>
              <c:strCache>
                <c:ptCount val="1"/>
                <c:pt idx="0">
                  <c:v>Paycom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7.1</c:v>
                </c:pt>
              </c:numCache>
            </c:numRef>
          </c:xVal>
          <c:yVal>
            <c:numRef>
              <c:f>Hoja1!$C$8</c:f>
              <c:numCache>
                <c:formatCode>0.0"x"</c:formatCode>
                <c:ptCount val="1"/>
                <c:pt idx="0">
                  <c:v>11.3</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Dayforce</c:v>
                </c:pt>
                <c:pt idx="1">
                  <c:v>Paycor HCM</c:v>
                </c:pt>
                <c:pt idx="2">
                  <c:v>WorkForce Software</c:v>
                </c:pt>
                <c:pt idx="3">
                  <c:v>Ultimate Software</c:v>
                </c:pt>
              </c:strCache>
            </c:strRef>
          </c:cat>
          <c:val>
            <c:numRef>
              <c:f>Hoja1!$B$2:$B$5</c:f>
              <c:numCache>
                <c:formatCode>0.0"x"</c:formatCode>
                <c:ptCount val="4"/>
                <c:pt idx="0">
                  <c:v>19.8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4603</c:v>
                </c:pt>
                <c:pt idx="1">
                  <c:v>4899</c:v>
                </c:pt>
                <c:pt idx="2">
                  <c:v>5268</c:v>
                </c:pt>
                <c:pt idx="3">
                  <c:v>5633</c:v>
                </c:pt>
                <c:pt idx="4">
                  <c:v>5980</c:v>
                </c:pt>
                <c:pt idx="5">
                  <c:v>6315</c:v>
                </c:pt>
                <c:pt idx="6">
                  <c:v>6644</c:v>
                </c:pt>
                <c:pt idx="7">
                  <c:v>6930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31326</c:v>
                </c:pt>
                <c:pt idx="1">
                  <c:v>53159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280,32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153.54</c:v>
                </c:pt>
                <c:pt idx="1">
                  <c:v>210.32</c:v>
                </c:pt>
                <c:pt idx="2">
                  <c:v>254.4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280,32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(188,16 – 288,00)</c:v>
                </c:pt>
                <c:pt idx="1">
                  <c:v>Precio objetivo de los analistas (225,00 – 322,00)</c:v>
                </c:pt>
                <c:pt idx="2">
                  <c:v>Comparables: EV/EBITDA NTM (192,22 – 259,76)</c:v>
                </c:pt>
                <c:pt idx="3">
                  <c:v>Comparables: PER NTM (242,43 – 306,27)</c:v>
                </c:pt>
                <c:pt idx="4">
                  <c:v>Transacciones precedentes (EV/ventas) (346,22 – 447,91)</c:v>
                </c:pt>
                <c:pt idx="5">
                  <c:v>DCF (WACC y g ± 0,5) (186,95 – 241,87)</c:v>
                </c:pt>
                <c:pt idx="6">
                  <c:v>Escenarios (bajista – alcista) (153,54 – 254,40)</c:v>
                </c:pt>
                <c:pt idx="7">
                  <c:v>DCF con la prima implícita del mercado (4,2 %)</c:v>
                </c:pt>
                <c:pt idx="8">
                  <c:v>Precio actual (280,32)</c:v>
                </c:pt>
              </c:strCache>
            </c:strRef>
          </c:cat>
          <c:val>
            <c:numRef>
              <c:f>Hoja1!$B$2:$B$10</c:f>
              <c:numCache>
                <c:formatCode>#,##0</c:formatCode>
                <c:ptCount val="9"/>
                <c:pt idx="0">
                  <c:v>188.16</c:v>
                </c:pt>
                <c:pt idx="1">
                  <c:v>225</c:v>
                </c:pt>
                <c:pt idx="2">
                  <c:v>192.22</c:v>
                </c:pt>
                <c:pt idx="3">
                  <c:v>242.43</c:v>
                </c:pt>
                <c:pt idx="4">
                  <c:v>346.22</c:v>
                </c:pt>
                <c:pt idx="5">
                  <c:v>186.95</c:v>
                </c:pt>
                <c:pt idx="6">
                  <c:v>153.54</c:v>
                </c:pt>
                <c:pt idx="7">
                  <c:v>229.95</c:v>
                </c:pt>
                <c:pt idx="8">
                  <c:v>278.92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(188,16 – 288,00)</c:v>
                </c:pt>
                <c:pt idx="1">
                  <c:v>Precio objetivo de los analistas (225,00 – 322,00)</c:v>
                </c:pt>
                <c:pt idx="2">
                  <c:v>Comparables: EV/EBITDA NTM (192,22 – 259,76)</c:v>
                </c:pt>
                <c:pt idx="3">
                  <c:v>Comparables: PER NTM (242,43 – 306,27)</c:v>
                </c:pt>
                <c:pt idx="4">
                  <c:v>Transacciones precedentes (EV/ventas) (346,22 – 447,91)</c:v>
                </c:pt>
                <c:pt idx="5">
                  <c:v>DCF (WACC y g ± 0,5) (186,95 – 241,87)</c:v>
                </c:pt>
                <c:pt idx="6">
                  <c:v>Escenarios (bajista – alcista) (153,54 – 254,40)</c:v>
                </c:pt>
                <c:pt idx="7">
                  <c:v>DCF con la prima implícita del mercado (4,2 %)</c:v>
                </c:pt>
                <c:pt idx="8">
                  <c:v>Precio actual (280,32)</c:v>
                </c:pt>
              </c:strCache>
            </c:strRef>
          </c:cat>
          <c:val>
            <c:numRef>
              <c:f>Hoja1!$C$2:$C$10</c:f>
              <c:numCache>
                <c:formatCode>#,##0</c:formatCode>
                <c:ptCount val="9"/>
                <c:pt idx="0">
                  <c:v>99.84</c:v>
                </c:pt>
                <c:pt idx="1">
                  <c:v>97</c:v>
                </c:pt>
                <c:pt idx="2">
                  <c:v>67.53999999999999</c:v>
                </c:pt>
                <c:pt idx="3">
                  <c:v>63.839999999999975</c:v>
                </c:pt>
                <c:pt idx="4">
                  <c:v>101.69</c:v>
                </c:pt>
                <c:pt idx="5">
                  <c:v>54.920000000000016</c:v>
                </c:pt>
                <c:pt idx="6">
                  <c:v>100.86000000000001</c:v>
                </c:pt>
                <c:pt idx="7">
                  <c:v>46.139999999999986</c:v>
                </c:pt>
                <c:pt idx="8">
                  <c:v>2.8000000000000114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