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Daiichi Sankyo Company, Limited</w:t>
      </w:r>
    </w:p>
    <w:p>
      <w:pPr>
        <w:spacing w:after="60"/>
        <w:rPr>
          <w:color w:val="52514E"/>
          <w:sz w:val="22"/>
          <w:szCs w:val="22"/>
        </w:rPr>
      </w:pPr>
      <w:r>
        <w:rPr>
          <w:color w:val="52514E"/>
          <w:sz w:val="22"/>
          <w:szCs w:val="22"/>
        </w:rPr>
        <w:t xml:space="preserve">4568 · Bolsa de Tokio (TSE Prime) · ISIN JP3475350009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2.702,50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2.888,64 JPY · mercado 2.897,35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+9,8 % · mercado +10,1 %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4.919.577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Daiichi Sankyo Company,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4568 / JP3475350009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Productos farmacéuticos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Chuo-ku, Tokio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https://www.daiichisankyo.com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2.702,50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2.390,00 – 4.178,00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4.919.577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4.509.620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6,1 M acciones/día, ≈ 17.000 M JPY/día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2.888,64 JPY</w:t>
      </w:r>
      <w:r>
        <w:t xml:space="preserve"> frente a 2.702,50 · con la prima implícita del mercado: 2.897,35 (+7,2 %) · Rentabilidad total esperada a 12 meses </w:t>
      </w:r>
      <w:r>
        <w:rPr>
          <w:b/>
          <w:bCs/>
        </w:rPr>
        <w:t xml:space="preserve">+9,8 %</w:t>
      </w:r>
      <w:r>
        <w:t xml:space="preserve"> · Alcista / bajista +56,7 % / -34,9 %</w:t>
      </w:r>
    </w:p>
    <w:p>
      <w:pPr>
        <w:spacing w:after="100"/>
      </w:pPr>
      <w:r>
        <w:rPr>
          <w:b/>
        </w:rPr>
        <w:t xml:space="preserve">La recomendación y por qué.</w:t>
      </w:r>
      <w:r>
        <w:t xml:space="preserve"> Mantener, con convicción media. El valor objetivo es de 2.888,64 JPY frente a un precio de 2.702,5: un potencial del 6,9 % y una rentabilidad total esperada del 9,8 % con el dividendo, por debajo del 15 % que exige la regla. Las dos reglas, la absoluta y la relativa al mercado, dan Mantener. La asimetría es de 1,62 veces (alcista +56,7 %, bajista −34,9 %). La caída del 31,6 % en doce meses ha llevado la acción a su valor, no por debajo.</w:t>
      </w:r>
    </w:p>
    <w:p>
      <w:pPr>
        <w:spacing w:after="100"/>
      </w:pPr>
      <w:r>
        <w:rPr>
          <w:b/>
        </w:rPr>
        <w:t xml:space="preserve">El negocio.</w:t>
      </w:r>
      <w:r>
        <w:t xml:space="preserve"> Daiichi es la plataforma de anticuerpos conjugados (ADC) más validada del sector: Enhertu facturó 819.500 M JPY en FY2025 y se ha aprobado en más de 95 países [2, 16]. El ROIC pasó del 8 % al 20,4 % en cuatro años, pero el reparto del 50 % del margen bruto con AstraZeneca le pone techo al margen [2].</w:t>
      </w:r>
    </w:p>
    <w:p>
      <w:pPr>
        <w:spacing w:after="100"/>
      </w:pPr>
      <w:r>
        <w:rPr>
          <w:b/>
        </w:rPr>
        <w:t xml:space="preserve">Finanzas.</w:t>
      </w:r>
      <w:r>
        <w:t xml:space="preserve"> Tres cifras ensucian el beneficio: 65.100 M de ingresos no monetarios por pagos iniciales cobrados hace años, 86.000 M de hitos de ventas de Enhertu que se agotan en FY2026 y una provisión de 169.498 M a fabricantes por compras mínimas que la demanda no absorbe [1, 4]. El flujo operativo de FY2025 fue de solo 77.655 M porque las existencias de ADC subieron 177.468 M. La caja neta ajustada es de 405.320 M.</w:t>
      </w:r>
    </w:p>
    <w:p>
      <w:pPr>
        <w:spacing w:after="100"/>
      </w:pPr>
      <w:r>
        <w:rPr>
          <w:b/>
        </w:rPr>
        <w:t xml:space="preserve">Equipo y gobierno.</w:t>
      </w:r>
      <w:r>
        <w:t xml:space="preserve"> Resta. En 2026 la empresa aplazó sus resultados, corrigió las cuentas de FY2025 (28.958 M de gastos inflados) y retiró la solicitud de I-DXd [3, 17, 56]. El 12,1 % votó contra el CEO, frente al 2,1 % de 2025 [44, 45]. La corrección convirtió en cumplidos dos objetivos del variable [18].</w:t>
      </w:r>
    </w:p>
    <w:p>
      <w:pPr>
        <w:spacing w:after="100"/>
      </w:pPr>
      <w:r>
        <w:rPr>
          <w:b/>
        </w:rPr>
        <w:t xml:space="preserve">Valoración.</w:t>
      </w:r>
      <w:r>
        <w:t xml:space="preserve"> El DCF da 2.957,44 JPY con un WACC del 7,3 %; el PER de los comparables, 2.749,56; los escenarios ponderados, 2.977,24. El DCF inverso dice que el precio descuenta un crecimiento del 2,2 % anual y un margen del 16,8 %, frente al 4,1 % y el 18,0 % de nuestro caso base. Contando solo los productos e indicaciones aprobados, el DCF sería de 2.416 JPY (estimación propia): el 18,3 % del valor base depende de la cartera no aprobada, y el mercado ya paga algo más de la mitad. Nuestro EBITDA queda un 18 % por debajo del consenso en FY2026 porque excluye los ingresos no monetarios; en ingresos coincidimos.</w:t>
      </w:r>
    </w:p>
    <w:p>
      <w:pPr>
        <w:spacing w:after="100"/>
      </w:pPr>
      <w:r>
        <w:rPr>
          <w:b/>
        </w:rPr>
        <w:t xml:space="preserve">Riesgos y catalizadores.</w:t>
      </w:r>
      <w:r>
        <w:t xml:space="preserve"> El mayor riesgo es Datroway: AVANZAR (2S de 2026) decide si entra en la primera línea de pulmón [4]. Le siguen la competencia de los ADC chinos licenciados y las compras mínimas sin provisionar. Fechas: ESMO del 23 al 27 de octubre, resultados del 2T el 30 de octubre [60] y la venta del 40 % de Daiichi Sankyo Healthcare en junio de 2027.</w:t>
      </w:r>
    </w:p>
    <w:p>
      <w:pPr>
        <w:spacing w:after="100"/>
      </w:pPr>
      <w:r>
        <w:rPr>
          <w:b/>
        </w:rPr>
        <w:t xml:space="preserve">Qué cambiaría la decisión.</w:t>
      </w:r>
      <w:r>
        <w:t xml:space="preserve"> Compraríamos por debajo de 2.585,33 JPY y venderíamos por encima de 3.307,49. Pasaríamos a Comprar si AVANZAR mejora la supervivencia o si la guía de FY2026 sube sin nuevas provisiones a fabricantes. Pasaríamos a Vender si las provisiones superan los 80.000 M previstos para el año o si aparece otra corrección contable.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2.888,64 JPY</w:t>
      </w:r>
      <w:r>
        <w:t xml:space="preserve"> (+6,9 % sobre 2.702,50; rentabilidad total esperada +9,8 %) · con la prima implícita del mercado: 2.897,35 (+7,2 %)</w:t>
      </w:r>
    </w:p>
    <w:p>
      <w:pPr>
        <w:spacing w:after="100"/>
      </w:pPr>
      <w:r>
        <w:t xml:space="preserve">Daiichi Sankyo es hoy una empresa de un producto: Enhertu aporta 819.500 M JPY de los 2,12 billones de ingresos de FY2025 y casi todo el crecimiento, con un ROIC del 20,4 % frente a un WACC del 7,3 % [2]. La tecnología DXd es la referencia del sector, validada con 4.000 M USD de pago inicial de Merck por tres moléculas [20], pero el reparto al 50 % con AstraZeneca y Merck limita el margen EBITDA a la franja del 15-20 %.</w:t>
      </w:r>
    </w:p>
    <w:p>
      <w:pPr>
        <w:spacing w:after="100"/>
      </w:pPr>
      <w:r>
        <w:t xml:space="preserve">El precio descuenta un crecimiento del 2,2 % anual y un margen del 16,8 % durante diez años: en la práctica, los productos aprobados y algo más de la mitad del valor de la cartera. Con un PER de los próximos 12 meses de 16,3 veces cotiza en línea con sus comparables (mediana de 16,5 veces), y su PER de los últimos 12 meses está un 51 % por debajo de su historia, de cuando el mercado pagaba un crecimiento sin fricciones.</w:t>
      </w:r>
    </w:p>
    <w:p>
      <w:pPr>
        <w:spacing w:after="100"/>
      </w:pPr>
      <w:r>
        <w:t xml:space="preserve">El mercado acierta al descontar un 2026 que ha roto la serie de cinco años batiendo la guía: resultados aplazados, una corrección contable, 153.000 M de gastos temporales y la retirada de la solicitud de I-DXd [17, 56]. Para invertir hay que creer que Datroway llegará a la primera línea de pulmón y que las compras mínimas a fabricantes no esconden otra provisión. Hasta que AVANZAR y las cuentas del 2S lo aclaren, el valor (2.888,64 JPY) está a menos de un 7 % del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2.888,64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 / -34,9 %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frente a 7,3 %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2.897,35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(FY2026e-FY2035e)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frente a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2.585,33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2.585,33 y 3.307,49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3.307,49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AVANZAR mejora la supervivencia global de forma significativa, el valor se acerca al alcista: pasaríamos a Comprar.</w:t>
      </w:r>
    </w:p>
    <w:p>
      <w:pPr>
        <w:pStyle w:val="ListParagraph"/>
        <w:numPr>
          <w:ilvl w:val="0"/>
          <w:numId w:val="2"/>
        </w:numPr>
        <w:spacing w:after="60"/>
      </w:pPr>
      <w:r>
        <w:t xml:space="preserve">Si el precio baja de 2.585 JPY sin cambios en los fundamentales, la rentabilidad esperada supera el 15 %: Comprar.</w:t>
      </w:r>
    </w:p>
    <w:p>
      <w:pPr>
        <w:pStyle w:val="ListParagraph"/>
        <w:numPr>
          <w:ilvl w:val="0"/>
          <w:numId w:val="2"/>
        </w:numPr>
        <w:spacing w:after="60"/>
      </w:pPr>
      <w:r>
        <w:t xml:space="preserve">Si la compensación a fabricantes de FY2026 supera los 80.000 M previstos o se provisionan las compras a medio plazo, pasaríamos a Vender.</w:t>
      </w:r>
    </w:p>
    <w:p>
      <w:pPr>
        <w:pStyle w:val="ListParagraph"/>
        <w:numPr>
          <w:ilvl w:val="0"/>
          <w:numId w:val="2"/>
        </w:numPr>
        <w:spacing w:after="60"/>
      </w:pPr>
      <w:r>
        <w:t xml:space="preserve">Si hay otra corrección contable o salvedades del auditor, Vender.</w:t>
      </w:r>
    </w:p>
    <w:p>
      <w:pPr>
        <w:pStyle w:val="ListParagraph"/>
        <w:numPr>
          <w:ilvl w:val="0"/>
          <w:numId w:val="2"/>
        </w:numPr>
        <w:spacing w:after="60"/>
      </w:pPr>
      <w:r>
        <w:t xml:space="preserve">Si las ventas de producto de Enhertu del 2T26 crecen menos del 25 % interanual, revisaríamos el caso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2,2 % anual y un margen EBITDA del 16,8 % durante diez años: el valor de los productos ya aprobados (2.416 JPY por acción) más algo más de la mitad del valor de la cartera. El consenso de analistas es más optimista (precio objetivo medio de 4.077,5 JPY y 13 recomendaciones de compra de 16) [62].</w:t>
      </w:r>
    </w:p>
    <w:p>
      <w:pPr>
        <w:keepNext/>
        <w:spacing w:after="100"/>
      </w:pPr>
      <w:r>
        <w:rPr>
          <w:b/>
          <w:bCs/>
        </w:rPr>
        <w:t xml:space="preserve">Lo que creemos nosotros.</w:t>
      </w:r>
    </w:p>
    <w:p>
      <w:pPr>
        <w:spacing w:after="100"/>
      </w:pPr>
      <w:r>
        <w:t xml:space="preserve">Coincidimos con el precio más que con los analistas. Nuestro margen es tres puntos menor que el del consenso porque no contamos como caja la amortización de pagos iniciales cobrados entre 2019 y 2023, y FY2027 crecerá apenas un 2,5 % al agotarse los hitos de ventas de Enhertu y salir Daiichi Sankyo Healthcare.</w:t>
      </w:r>
    </w:p>
    <w:p>
      <w:pPr>
        <w:keepNext/>
        <w:spacing w:after="100"/>
      </w:pPr>
      <w:r>
        <w:rPr>
          <w:b/>
          <w:bCs/>
        </w:rPr>
        <w:t xml:space="preserve">Por qué podemos tener razón.</w:t>
      </w:r>
    </w:p>
    <w:p>
      <w:pPr>
        <w:spacing w:after="100"/>
      </w:pPr>
      <w:r>
        <w:t xml:space="preserve">El consenso de EBITDA de FY2026 (431.449 M) incluye unos 55.000 M de ingresos no monetarios y 93.800 M de hitos que no se repiten [4, 61]. Y el precio objetivo medio de los analistas es anterior en buena parte a la retirada de I-DXd y a la corrección de las cuentas.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Enhertu sigue acelerando</w:t>
      </w:r>
      <w:r>
        <w:t xml:space="preserve">: ventas de producto de 219.200 M JPY en el 1T26 (+41 %) y nuevas indicaciones en adyuvancia y neoadyuvancia de mama en EE. UU. [4].</w:t>
      </w:r>
    </w:p>
    <w:p>
      <w:pPr>
        <w:pStyle w:val="ListParagraph"/>
        <w:numPr>
          <w:ilvl w:val="0"/>
          <w:numId w:val="2"/>
        </w:numPr>
        <w:spacing w:after="60"/>
      </w:pPr>
      <w:r>
        <w:rPr>
          <w:b/>
        </w:rPr>
        <w:t xml:space="preserve">ROIC del 20,4 %</w:t>
      </w:r>
      <w:r>
        <w:t xml:space="preserve"> frente a un WACC del 7,3 %, desde el 8,2 % de FY2021.</w:t>
      </w:r>
    </w:p>
    <w:p>
      <w:pPr>
        <w:pStyle w:val="ListParagraph"/>
        <w:numPr>
          <w:ilvl w:val="0"/>
          <w:numId w:val="2"/>
        </w:numPr>
        <w:spacing w:after="60"/>
      </w:pPr>
      <w:r>
        <w:rPr>
          <w:b/>
        </w:rPr>
        <w:t xml:space="preserve">Caja neta ajustada de 405.320 M JPY</w:t>
      </w:r>
      <w:r>
        <w:t xml:space="preserve">, con rating AA de R&amp;I, y un dividendo que sube de 78 a 100 JPY (2,9 %) [16, 18].</w:t>
      </w:r>
    </w:p>
    <w:p>
      <w:pPr>
        <w:pStyle w:val="ListParagraph"/>
        <w:numPr>
          <w:ilvl w:val="0"/>
          <w:numId w:val="2"/>
        </w:numPr>
        <w:spacing w:after="60"/>
      </w:pPr>
      <w:r>
        <w:rPr>
          <w:b/>
        </w:rPr>
        <w:t xml:space="preserve">El precio solo exige un 2,2 % de crecimiento anual</w:t>
      </w:r>
      <w:r>
        <w:t xml:space="preserve">, frente al 4,1 % del caso base y al 10,4 % de FY2017-FY2025.</w:t>
      </w:r>
    </w:p>
    <w:p>
      <w:pPr>
        <w:pStyle w:val="ListParagraph"/>
        <w:numPr>
          <w:ilvl w:val="0"/>
          <w:numId w:val="2"/>
        </w:numPr>
        <w:spacing w:after="60"/>
      </w:pPr>
      <w:r>
        <w:rPr>
          <w:b/>
        </w:rPr>
        <w:t xml:space="preserve">DESTINY-Lung04 positivo</w:t>
      </w:r>
      <w:r>
        <w:t xml:space="preserve"> (17-ago-2026) abre la primera línea de pulmón HER2 mutado a Enhertu [80].</w:t>
      </w:r>
    </w:p>
    <w:p>
      <w:pPr>
        <w:pStyle w:val="Heading2"/>
      </w:pPr>
      <w:r>
        <w:t xml:space="preserve">En contra</w:t>
      </w:r>
    </w:p>
    <w:p>
      <w:pPr>
        <w:pStyle w:val="ListParagraph"/>
        <w:numPr>
          <w:ilvl w:val="0"/>
          <w:numId w:val="2"/>
        </w:numPr>
        <w:spacing w:after="60"/>
      </w:pPr>
      <w:r>
        <w:rPr>
          <w:b/>
        </w:rPr>
        <w:t xml:space="preserve">Corrección de las cuentas de FY2025</w:t>
      </w:r>
      <w:r>
        <w:t xml:space="preserve"> (28.958 M) y resultados aplazados en el mismo año [3, 55].</w:t>
      </w:r>
    </w:p>
    <w:p>
      <w:pPr>
        <w:pStyle w:val="ListParagraph"/>
        <w:numPr>
          <w:ilvl w:val="0"/>
          <w:numId w:val="2"/>
        </w:numPr>
        <w:spacing w:after="60"/>
      </w:pPr>
      <w:r>
        <w:rPr>
          <w:b/>
        </w:rPr>
        <w:t xml:space="preserve">169.498 M de provisión a fabricantes</w:t>
      </w:r>
      <w:r>
        <w:t xml:space="preserve"> y compras mínimas a medio plazo sin provisionar [1, 17].</w:t>
      </w:r>
    </w:p>
    <w:p>
      <w:pPr>
        <w:pStyle w:val="ListParagraph"/>
        <w:numPr>
          <w:ilvl w:val="0"/>
          <w:numId w:val="2"/>
        </w:numPr>
        <w:spacing w:after="60"/>
      </w:pPr>
      <w:r>
        <w:rPr>
          <w:b/>
        </w:rPr>
        <w:t xml:space="preserve">Los hitos de ventas de Enhertu se acaban</w:t>
      </w:r>
      <w:r>
        <w:t xml:space="preserve">: 93.800 M en FY2026 y nada después; FY2027 crece un 2,5 % [4].</w:t>
      </w:r>
    </w:p>
    <w:p>
      <w:pPr>
        <w:pStyle w:val="ListParagraph"/>
        <w:numPr>
          <w:ilvl w:val="0"/>
          <w:numId w:val="2"/>
        </w:numPr>
        <w:spacing w:after="60"/>
      </w:pPr>
      <w:r>
        <w:rPr>
          <w:b/>
        </w:rPr>
        <w:t xml:space="preserve">I-DXd retiró su solicitud acelerada</w:t>
      </w:r>
      <w:r>
        <w:t xml:space="preserve"> el 25-sep-2026 y depende de un fase 3 [56].</w:t>
      </w:r>
    </w:p>
    <w:p>
      <w:pPr>
        <w:pStyle w:val="ListParagraph"/>
        <w:numPr>
          <w:ilvl w:val="0"/>
          <w:numId w:val="2"/>
        </w:numPr>
        <w:spacing w:after="60"/>
      </w:pPr>
      <w:r>
        <w:rPr>
          <w:b/>
        </w:rPr>
        <w:t xml:space="preserve">El 12,1 % votó contra el CEO</w:t>
      </w:r>
      <w:r>
        <w:t xml:space="preserve"> en la junta de 2026, frente al 2,1 % de 2025 [44, 45].</w:t>
      </w:r>
    </w:p>
    <w:p>
      <w:pPr>
        <w:pStyle w:val="Heading2"/>
      </w:pPr>
      <w:r>
        <w:t xml:space="preserve">Qué tiene que pasar para que la tesis funcione</w:t>
      </w:r>
    </w:p>
    <w:p>
      <w:pPr>
        <w:spacing w:after="100"/>
      </w:pPr>
      <w:r>
        <w:t xml:space="preserve">La tesis depende de que Datroway entre en la primera línea de pulmón no microcítico (AVANZAR, 2S de 2026; TROPION-Lung07/08, FY2027) y de que no aparezcan nuevas provisiones por compras mínimas a fabricantes. La señal de que no se cumple: un AVANZAR sin beneficio de supervivencia o una compensación a fabricantes por encima de los 80.000 M previstos para FY2026 [4, 16].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219.200 M JPY en el 1T26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interanual &lt;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casi el 40 % de los ingresos y casi todo el crecimiento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a fabricantes (CMO)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80.000 M o nuevas provisiones a medio plazo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exceso de capacidad comprometida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Datroway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 M en el 1T26; 116.900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100.000 M en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segunda pata del plan a 2030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40 % al cierre de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 al 30 %.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contra el CEO en la junta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pérdida de confianza de los accionistas [44].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Daiichi Sankyo nace en septiembre de 2005 como sociedad de cartera conjunta de Sankyo (fundada en 1899, Takadiastase) y Daiichi Pharmaceutical (1915), y opera como una sola empresa desde el 1 de abril de 2007 [22]. El primer plan quinquenal apostó por un modelo híbrido con la compra de la india Ranbaxy (noviembre de 2008), que acabó vendida a Sun Pharma por canje de acciones en abril de 2015 [9, 22]. Tras la pérdida de exclusividad de olmesartán (Olmetec), el grupo se reinventó sobre su tecnología propia de anticuerpos conjugados DXd: Enhertu (lanzado en EE. UU. y Japón en 2020), aliado con AstraZeneca en 2019 y 2020 y con Merck &amp; Co. en 2023 (hasta 22.000 M USD) [20, 21, 22]. El plan FY2021-FY2025 cerró con 2,12 billones de JPY de ventas y 954.000 M JPY en oncología, por encima de los 1,6 billones y 600.000 M fijados [16]. El nuevo plan FY2026-FY2030 apunta a más de 3 billones de JPY de ventas y 600.000 M de beneficio operativo en FY2030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Sankyo lanza Takadiastase, su primer producto; Daiichi Pharmaceutical se funda en 1915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Sankyo y Daiichi Pharmaceutical crean la sociedad de cartera conjunta Daiichi Sankyo; operan como una sola empresa desde abril de 2007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U3 Pharma (Alemania; origen de HER3-DXd) y de la india Ranbaxy Laboratories (noviembre), apuesta por los genéricos dentro del modelo híbrido del primer plan quinquenal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Lixiana (edoxabán) en Japón (julio); llega a EE. UU. como Savaysa en enero de 2015 y a Europa en junio de 2015 [22]. En FY2025 facturó 367.700 M JPY, el segundo producto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Sun Pharmaceutical absorbe Ranbaxy por canje de acciones; el tercer plan fija la desinversión de Ranbaxy y la vuelta al negocio innovador tras la pérdida de exclusividad de olmesartán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de marzo: alianza con AstraZeneca para Enhertu (trastuzumab deruxtecán): 1.350 M USD por adelantado y hasta 5.550 M USD contingentes; Daiichi conserva Japón y la fabricación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Enhertu en EE. UU. y Japón para cáncer de mama HER2+ metastásico [22]; ese año se firma la segunda alianza con AstraZeneca, para datopotamab deruxtecán (Datroway), cuyos pagos iniciales Daiichi reconoce como ingreso cada año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el plan quinquenal FY2021-FY2025, «Global Pharma Innovator» con ventaja en oncología; objetivo de 1,6 billones de JPY de ventas y ROE &gt; 16 %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de octubre: acuerdo con Merck &amp; Co. para I-DXd, HER3-DXd y R-DXd: 4.000 M USD por adelantado, 1.500 M USD de pagos de continuación en 24 meses y hasta 16.500 M USD por hitos de ventas (hasta 22.000 M USD en total); Japón queda para Daiichi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Datroway en Japón (diciembre de 2024) y EE. UU. (enero de 2025) para cáncer de mama HR+/HER2- [9]; resuelto el litigio de patentes con Seagen, que confirma el DXd como tecnología propia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 cierre del plan FY2021-FY2025 con 2.123.000 M JPY de ventas (objetivo 1,6 billones) y 954.000 M JPY en oncología; nuevo plan FY2026-FY2030 con más de 3 billones de ventas, más de 600.000 M de beneficio operativo y BPA &gt; 260 JPY en FY2030 [16]. Julio: corrección de las cuentas de FY2025 (29.000 M JPY de gastos de más en la participación en beneficios de los DXd)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Daiichi Sankyo es una farmacéutica japonesa de medicamentos con receta (95,6 % de los 2.123.045 M JPY de ingresos de FY2025; el resto, OTC y otros) [1]. El motor es la oncología: los anticuerpos conjugados con el agente DXd, Enhertu (819.500 M JPY de ingresos en FY2025, de ellos 698.400 M de ventas de producto) y Datroway (56.100 M JPY), que codesarrolla y comercializa con AstraZeneca, y tres DXd más con Merck &amp; Co.; Daiichi fabrica en exclusiva y conserva Japón [11, 20, 21]. Fuera de oncología vende Lixiana/edoxabán (367.700 M JPY), Tarlige, Pralia y otros en Japón, Nilemdo/Nustendi y Lixiana en Europa, y hierro intravenoso (Injectafer, Venofer) e inyectables genéricos en EE. UU. a través de American Regent (182.200 M JPY) [11, 16]. Vende por medio de mayoristas a hospitales y farmacias; los ingresos por licencias (pagos iniciales e hitos de AstraZeneca y Merck) sumaron 190.221 M JPY, el 9,0 % del total [1]. El plan FY2026-FY2030 quiere 2,3 billones de JPY en oncología en FY2030 [16].</w:t>
      </w:r>
    </w:p>
    <w:p>
      <w:pPr>
        <w:pStyle w:val="Heading2"/>
      </w:pPr>
      <w:r>
        <w:t xml:space="preserve">Cómo gana dinero</w:t>
      </w:r>
    </w:p>
    <w:p>
      <w:pPr>
        <w:spacing w:after="100"/>
      </w:pPr>
      <w:r>
        <w:t xml:space="preserve">Un solo segmento NIIF 8 («Pharmaceutical Operation») [1]. El motor es la plataforma de conjugados anticuerpo-fármaco (ADC) DXd. </w:t>
      </w:r>
      <w:r>
        <w:rPr>
          <w:b/>
        </w:rPr>
        <w:t xml:space="preserve">Enhertu y Datroway (con AstraZeneca)</w:t>
      </w:r>
      <w:r>
        <w:t xml:space="preserve">: Daiichi fabrica y factura en Japón, EE. UU., Europa y los países de Asia y Latinoamérica con filial; AstraZeneca factura en China, Hong Kong, Australia, Canadá y Rusia, y Daiichi registra como ingreso su 50 % del margen bruto allí. Donde factura Daiichi (salvo Japón, que es exclusivo) paga al socio el 50 % del margen bruto, contabilizado en gastos generales como «DXd ADC profit share»: 305.600 M en FY2025, el 14,4 % de las ventas y el 40,7 % del SG&amp;A básico [1, 2]. </w:t>
      </w:r>
      <w:r>
        <w:rPr>
          <w:b/>
        </w:rPr>
        <w:t xml:space="preserve">Los tres DXd con Merck &amp; Co.</w:t>
      </w:r>
      <w:r>
        <w:t xml:space="preserve"> (acuerdo de oct-2023): 1.500 M USD de pago inicial por producto más 1.000 M USD reembolsables para I+D; Daiichi factura en casi todo el mundo y reparte gastos y beneficios al 50 % [1]. </w:t>
      </w:r>
      <w:r>
        <w:rPr>
          <w:b/>
        </w:rPr>
        <w:t xml:space="preserve">Pagos iniciales e hitos de desarrollo</w:t>
      </w:r>
      <w:r>
        <w:t xml:space="preserve"> se difieren como pasivo por contrato y se reconocen a lo largo del periodo de las obligaciones; los hitos de ventas y algunos regulatorios se reconocen en el momento [1]. En FY2025 los ingresos por licencias fueron 190.221 M (9,0 % de las ventas): amortización de pagos iniciales ~65.100 M (no monetaria), hitos regulatorios ~25.900 M y hitos de ventas de Enhertu 86.000 M [1, 2]. El saldo de pasivos por contrato era de 881.214 M al 31-mar-2026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511.278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537.356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cliente directo es el mayorista. Tres superan el 10 % de los ingresos en FY2025: McKesson (269.418 M JPY, 12,7 %), Cencora (251.034 M JPY, 11,8 %) y Alfresa (232.433 M JPY, 10,9 %); juntos, el 35,4 % [1]. El pagador final es el asegurador: Medicare y aseguradoras privadas en EE. UU. y el seguro público en Japón, donde el precio lo fija el Estado y se revisa a la baja cada año; la revisión de abril de 2026 recortó el precio de Lixiana y es una de las causas de la caída prevista de ingresos en Japón [16]. El poder de precios está en los ADC con patente: en EE. UU. el crecimiento de Enhertu es de volumen e indicaciones (ventas en EE. UU. +47 % interanual en 1T FY2026) [4]. AstraZeneca y Merck son a la vez socios y fuente de ingresos: Daiichi contabiliza las ventas de Enhertu y Datroway en EE. UU., Europa y Japón y paga al socio el 50 % del margen bruto fuera de Japón (305.600 M JPY en FY2025)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Enhertu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ventas propias, 50 % del margen bruto en territorio de AstraZeneca, pagos iniciales e hitos [2]. 1T26: 239.800 M (+48,9 %)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386.300 M, Europa 174.800 M, Japón 37.700 M, Asia/Latam 99.700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Datroway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x7,2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producto 47.600 M (EE. UU. 33.200 M, Japón 13.100 M). Previsión FY2026: 127.200 M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de ventas de Enhertu cobrados a AstraZeneca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Puntuales; FY2022 13.200 y FY2023 29.600 M. Previsión FY2026: 93.800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pagos iniciales de ADC (M JPY, no monetaria)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10.200, Datroway 6.400 y los tres DXd de Merck 48.500 (más 1.300 de «quid»). FY2022 16.900; FY2023 29.400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regulatorios de ADC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23.800 y Datroway 2.100 en FY2025; FY2022 26.700 y FY2023 12.400 [2, 12]. 1T26: 19.500 M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DXd ADC profit share pagado a socios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SG&amp;A; 14,4 % de las ventas. Previsión FY2026: 395.000 M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contrato (ingresos diferidos,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881.214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Corriente 74.405 y no corriente 806.809 al 31-mar-2026; 875.898 al 30-jun-2026. Eran 321.112 antes del cobro de Merck [1, 5,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anticuerpos conjugados (ADC) en oncología de tumores sólidos y hematológicos: Enhertu y Datroway generaron 828.130 M JPY de ventas de producto combinadas y la oncología ya es el 44,9 % de los ingresos del grupo (954.000 M JPY de 2.123.045 M en FY2025) [11, 16, 23]. Se usan dos fuentes: el informe de Global Market Insights (junio de 2026), que da el tamaño y la previsión [28], y una suma propia de las ventas publicadas producto a producto por Daiichi/AstraZeneca, Roche, Pfizer, Gilead y AbbVie (2.314.957 M JPY en 2025, unos 14.800 M USD) [23, 24, 25, 26, 27]. La suma propia queda por debajo porque no recoge Astellas (Padcev fuera de América), Takeda (Adcetris fuera de EE. UU.) ni los ADC chinos; la serie usa la cifra de Global Market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16.900 M USD en 2025 (≈ 2.647.700 M JPY a 156,67 JPY/USD), con previsión de 48.100 M USD en 2035 y una TCAC del 11,2 % en 2026-2035 [28, 29]. Contraste: la suma de las ventas publicadas de nueve ADC (Enhertu, Datroway, Kadcyla, Polivy, Padcev, Adcetris, Tivdak, Trodelvy y Elahere) da 2.314.957 M JPY en 2025, un 20,1 % más que en 2024 a tipos de cambio constantes (1.927.005 M JPY) (estimación propia) [11, 23, 24, 25, 26, 27]. En 2023 el mercado superó por primera vez los 10.000 M USD [37].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3 de Biochempeg (cifra mínima, «más de 10.000»), 2025 de Global Market Insights; 2026e-2030e, estimación propia aplicando la TCAC del 11,2 %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los ADC a líneas tempranas y curativas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se aprobó en EE. UU. en neoadyuvancia y adyuvancia de mama HER2+ en mayo de 2026; sus ventas de producto crecieron un 41,2 % interanual en 1T FY2026 (219.200 M JPY) y Daiichi subió su previsión anual a 894.900 M JPY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dianas y tumores agnósticos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ya aprobado el tumor sólido HER2+ en EE. UU., Japón y la UE (junio de 2026), y Datroway el triple negativo de primera línea en EE. UU. (mayo de 2026); con ambos, Daiichi cubre más del 90 % de los subtipos de cáncer de mama metastásico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ADC chinos licenciados a bajo coste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BMS pagó 800 M USD por adelantado por el biespecífico EGFRxHER3 de SystImmune (hasta 8.400 M USD) frente a los 4.000 M USD que pagó Merck por tres DXd de Daiichi [20,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precios en EE. UU. y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tercera ronda de negociación de Medicare (precios desde 2028) incluye ya fármacos de la Parte B y 15 medicamentos con 27.000 M USD de gasto; Kadcyla figura entre los 50 elegibles [35, 36]. En Japón, la revisión de abril de 2026 bajó los precios un 4,02 % de media (4,67 % en 2024)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efecto divisa aportó 41.900 M JPY a los ingresos de 1T FY2026 (de un aumento total de 100.100 M); la previsión anual supone 155 JPY/USD desde el segundo trimestre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grupos reúnen el 70 % del mercado [28], pero compiten por las mismas dianas: en TROP2, Datroway contra Trodelvy (1.397 M USD) [25]; en HER2, Enhertu contra Kadcyla (2.025 M CHF) [27]. La rivalidad es por evidencia clínica, no por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mayoristas suman el 35,4 % de los ingresos de Daiichi [1], aunque el pagador real es el asegurador: Medicare negocia ya fármacos de la Parte B [35] y Japón recorta precios cada año (−4,02 % en 2026)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fabrica en exclusiva el anticuerpo, el enlazador y el agente DXd de sus ADC y ha decidido invertir unos 522.000 M JPY en capacidad desde FY2021 [9, 20, 21]; depende poco de terceros para lo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llegan a Occidente mediante licencias con grandes farmacéuticas: BMS-SystImmune, 800 M USD por adelantado y hasta 8.400 M USD [30]. La barrera es el ensayo de fase 3, no la tecnología.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Inmunoterapia, terapias dirigidas y biespecíficos compiten por las mismas líneas; Daiichi combina sus ADC con pembrolizumab y los posiciona como sustitutos de la quimioterapia [4, 16].</w:t>
            </w:r>
          </w:p>
        </w:tc>
      </w:tr>
    </w:tbl>
    <w:p>
      <w:pPr>
        <w:spacing w:after="160" w:before="0"/>
      </w:pPr>
    </w:p>
    <w:p>
      <w:pPr>
        <w:pStyle w:val="Heading2"/>
      </w:pPr>
      <w:r>
        <w:t xml:space="preserve">Ciclo</w:t>
      </w:r>
    </w:p>
    <w:p>
      <w:pPr>
        <w:spacing w:after="100"/>
      </w:pPr>
      <w:r>
        <w:t xml:space="preserve">El mercado de ADC está en plena expansión, no en un ciclo económico: pasó de más de 10.000 M USD en 2023 a 16.900 M USD en 2025 [28, 37], y las ventas publicadas de los nueve grandes ADC crecieron un 20,1 % en 2025 a tipos constantes (estimación propia) [23, 24, 25, 26, 27]. Los ingresos de Enhertu para Daiichi pasaron de 80.800 M JPY en FY2021 a 819.500 M en FY2025 [11]. La demanda de fármacos oncológicos depende de aprobaciones y reembolso, no del PIB; el riesgo cíclico para Daiichi está en el tipo de cambio del yen [4].</w:t>
      </w:r>
    </w:p>
    <w:p>
      <w:pPr>
        <w:pStyle w:val="Heading2"/>
      </w:pPr>
      <w:r>
        <w:t xml:space="preserve">Regulación</w:t>
      </w:r>
    </w:p>
    <w:p>
      <w:pPr>
        <w:spacing w:after="100"/>
      </w:pPr>
      <w:r>
        <w:t xml:space="preserve">En EE. UU., la ley IRA permite a Medicare negociar el precio de los biológicos con más de 11 años desde su aprobación [35]: Enhertu (aprobado en 2019 [31]) no está entre los 15 seleccionados para 2028 y, por plazo legal, no podría seleccionarse antes de la lista de 2031 (estimación propia), mientras Kadcyla ya es elegible [36]. Savaysa (edoxabán) apenas vende en EE. UU. (1.400 M JPY en FY2025) [11]. En Japón, el precio de cada fármaco se revisa cada año: la revisión de abril de 2026 bajó los precios un 4,02 % de media (4,67 % en 2024) [34] y recortó el de Lixiana, cuyas ventas en Japón cayeron un 12,2 % en 1T FY2026 [11, 16]. La patente de sustancia de edoxabán vence en Corea el 10 de noviembre de 2026 [33] y su certificado complementario en los Países Bajos, el 19 de diciembre de 2027 [32].</w:t>
      </w:r>
    </w:p>
    <w:p>
      <w:pPr>
        <w:pStyle w:val="Heading2"/>
      </w:pPr>
      <w:r>
        <w:t xml:space="preserve">Tendencias y disrupción</w:t>
      </w:r>
    </w:p>
    <w:p>
      <w:pPr>
        <w:spacing w:after="100"/>
      </w:pPr>
      <w:r>
        <w:t xml:space="preserve">Tres tendencias. Primera, ADC biespecíficos y nuevos agentes: BMS apuesta por un EGFRxHER3 chino [30] y Daiichi busca nuevas «tecnologías generadoras de avances» más allá del DXd (DS-3939, DS3790) antes de FY2030 [4, 16]. Segunda, el traslado de los ADC a enfermedad precoz, donde Daiichi lleva ventaja con Enhertu en mama HER2+ curativa [4]. Tercera, China como fuente de moléculas baratas licenciadas a Occidente, que presiona el precio de futuras licencias y el de los DXd de Merck. Daiichi gana con la primera y la segunda si mantiene la delantera clínica; pierde con la tercera.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anticuerpos conjugados (ADC) en oncología. Estimación propia: Enhertu (ventas combinadas de Daiichi y AstraZeneca, 4.982 M USD en 2025) y Datroway (47.600 M JPY de ventas de producto en FY2025) suman 828.130 M JPY, el 35,8 % de 2.314.957 M JPY de ventas de ADC de las empresas que publican el dato producto a producto (Daiichi/AstraZeneca, Roche, Pfizer, Gilead y AbbVie), convertidas al tipo de cierre de 2025 (156,67 JPY/USD y 197,65 JPY/CHF) [11, 23, 24, 25, 26, 27, 29]. Global Market Insights da a AstraZeneca, que consolida su parte de Enhertu y Datroway, el 28,9 % del mercado en 2025, y a los cinco primeros (AstraZeneca, Astellas, Daiichi Sankyo, Pfizer y Roche) el 70 % [28]. Fuera de oncología, Lixiana/edoxabán es el anticoagulante oral líder en Japón, pero esa franquicia está en su fase de pérdida de exclusividad [16,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12.158.637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Kadcyla (2.025 M CHF en 2025, +7 %) y Polivy (1.470 M CHF, +38 %): 3.495 M CHF en ADC. Kadcyla, el ADC anti-HER2 de primera generación, pierde terreno frente a Enhertu en mama HER2+ y figura en el puesto 42 de la lista de medicamentos elegibles para la negociación de Medicare de 2028. Ventas de 61.516 M CHF al cierre de 2025 (197,65 JPY/CHF) [27, 29,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 (Seagen)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9.804.252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Padcev (1.940 M USD en 2025, con Astellas), Adcetris (907 M USD, −17 %) y Tivdak (147 M USD), todos con la plataforma vedotina de Seagen (adquirida en 2023). Padcev domina en vejiga junto a pembrolizumab. Ingresos de 62.579 M USD. Pfizer no publica resultado de explotación: el margen es una estimación propia (ingresos menos coste de ventas, gastos comerciales, I+D, I+D adquirida, amortizaciones y reestructuración, sin otros gastos e ingresos netos: 14.244 M USD) [24,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Gilead Sciences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4.612.834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Trodelvy (sacituzumab govitecán, anti-TROP2): 1.397 M USD en 2025, +6 %, frenado por la retirada de la indicación de vejiga. Compite de frente con Datroway en mama triple negativo y HR+/HER2-. Ingresos de 29.443 M USD y beneficio operativo de 10.022 M USD [25,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 (ImmunoGen)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9.581.937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Elahere (mirvetuximab soravtansina, anti-receptor de folato alfa, ovario): 690 M USD en 2025, +44 %; además Emrelis (telisotuzumab vedotina, pulmón). Ingresos de 61.160 M USD y beneficio operativo de 15.075 M USD [26,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 (socio y competidor)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Daiichi en Enhertu y Datroway: registró 2.775 M USD de ingresos totales por Enhertu en 2025 y las ventas combinadas del producto fueron 4.982 M USD (+33 %). La cuota es la que le atribuye Global Market Insights para 2025 e incluye su parte de Enhertu y Datroway; desarrolla ADC propios. Ingresos de 58.739 M USD y beneficio operativo de 13.743 M USD [23,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Bristol Myers Squibb (SystImmune)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Ejemplo de la vía china: en diciembre de 2023 BMS pagó 800 M USD por adelantado (hasta 8.400 M USD en total) por BL-B01D1, un ADC biespecífico EGFRxHER3 de la china SystImmune (Sichuan Baili), en fase 1 entonces en pulmón; compite con HER3-DXd y Datroway en pulmón y mama. Sin ventas aún; ingresos y margen de BMS no recogidos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un fármaco. Lo más parecido es la inclusión en guías: la NCCN añadió Enhertu en neoadyuvancia HER2+ (categoría 2A) en 2026, y más de 240.000 pacientes se han tratado con Enhertu y Datroway [3,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oncólogo cambia de tratamiento cuando un ensayo de fase 3 lo justifica; la permanencia depende de la evidencia, no del contrato. Kadcyla, el ADC anti-HER2 anterior, sigue vendiendo 2.025 M CHF pese a Enhertu, lo que muestra inercia en las líneas ya establecidas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plataforma DXd es propia (litigio con Seagen resuelto a favor de Daiichi) [2] y genera cinco ADC en desarrollo o venta; terceros han pagado por ella 1.350 M USD por adelantado (AstraZeneca, Enhertu, 2019) y 4.000 M USD más 1.500 M de continuación (Merck, tres DXd, 2023) [7, 6]. El plan admite que en FY2031-FY2035 habrá que «superar el vencimiento de la patente de Enhertu»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es el único fabricante de los DXd en las dos alianzas [6, 7] y ha invertido unos 522.000 M JPY acumulados desde FY2021 en capacidad de suministro [1]. A cambio, entrega el 50 % del margen bruto fuera de Japón a los socios (305.600 M JPY en FY2025)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está aprobado en más de 95 países y regiones con más de 270 reembolsos por indicación [2]; la escala comercial la aporta en gran parte AstraZeneca. Los 4.982 M USD de Enhertu en 2025 superan a cualquier otro ADC [9, 10, 11, 13].</w:t>
            </w:r>
          </w:p>
        </w:tc>
      </w:tr>
    </w:tbl>
    <w:p>
      <w:pPr>
        <w:spacing w:after="160" w:before="0"/>
      </w:pPr>
    </w:p>
    <w:p>
      <w:pPr>
        <w:pStyle w:val="Heading2"/>
      </w:pPr>
      <w:r>
        <w:t xml:space="preserve">Amenazas</w:t>
      </w:r>
    </w:p>
    <w:p>
      <w:pPr>
        <w:spacing w:after="100"/>
      </w:pPr>
      <w:r>
        <w:t xml:space="preserve">La amenaza principal es la competencia de dianas idénticas a menor precio de entrada: las biotecnológicas chinas licencian ADC a Occidente con pagos iniciales muy inferiores a los de Daiichi (800 M USD de BMS por el biespecífico EGFRxHER3 de SystImmune frente a los 4.000 M USD de Merck por tres DXd) [20, 30], y Merck, socio de Daiichi en tres DXd, desarrolla también sacituzumab tirumotecán, un ADC anti-TROP2 licenciado en exclusiva de la china Kelun-Biotech que compite con Datroway [38]. En TROP2, Trodelvy ya está establecido (1.397 M USD) [25]. A medio plazo pesan el vencimiento de la exclusividad de Enhertu (en EE. UU., estimación propia: 12 años de exclusividad de biológico desde la aprobación de 2019, es decir, hacia finales de 2031) [16, 31] y la seguridad pulmonar (neumopatía intersticial en el 12 % de los pacientes, mortal en el 0,9 %) [31], que limita su uso en pacientes frágiles. Probabilidad de erosión relevante antes de FY2030: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1.601.688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spacing w:after="100"/>
      </w:pPr>
      <w:r>
        <w:t xml:space="preserve">Crecimiento anual compuesto FY2017-FY2025: ingresos </w:t>
      </w:r>
      <w:r>
        <w:rPr>
          <w:b/>
          <w:bCs/>
        </w:rPr>
        <w:t xml:space="preserve">10,4 %</w:t>
      </w:r>
      <w:r>
        <w:t xml:space="preserve">, EBITDA </w:t>
      </w:r>
      <w:r>
        <w:rPr>
          <w:b/>
          <w:bCs/>
        </w:rPr>
        <w:t xml:space="preserve">14,7 %</w:t>
      </w:r>
      <w:r>
        <w:t xml:space="preserve">, BPA </w:t>
      </w:r>
      <w:r>
        <w:rPr>
          <w:b/>
          <w:bCs/>
        </w:rPr>
        <w:t xml:space="preserve">22,2 %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960.195 M en FY2017 a 2.123.045 M en FY2025, casi todo orgánico: Enhertu sube de 43.500 a 819.500 M entre FY2020 y FY2025 y explica el 70 % del crecimiento [2, 9]. El I+D fue de 236.046 M en FY2017, 197.465 en FY2019, 260.326 en FY2021, 365.169 en FY2023, 435.965 en FY2024 y 466.005 en FY2025 (22,0 % de las ventas) [1, 5, 6, 7, 8]; no tiene campo propio y queda dentro del EBIT. El margen operativo reportado sube del 7,0 % (FY2021) al 17,6 % (FY2024) y cae al 12,2 % en FY2025 por dos cargos: la provisión de 169.498 M por compensaciones a fabricantes externos de ADC (CMO) por compras mínimas no cumplidas y 33.000 M de otros gastos no básicos (Odawara 19.300, suelos de Yasu 16.000) [1, 2]. El coste de ventas pasa del 22,0 % al 31,5 % de las ventas por la provisión. El SG&amp;A crece por el profit share pagado a socios (de 226.200 a 305.600 M) [2]. Tipo impositivo del 4,3 % en FY2025 por activos por impuesto diferido (456.195 M) [1, 2]. El EBITDA trimestral es el beneficio operativo más la amortización de cada trimestre, obtenida por diferencia de los datos acumulados [11, 15].</w:t>
      </w:r>
    </w:p>
    <w:p>
      <w:pPr>
        <w:pStyle w:val="Heading2"/>
      </w:pPr>
      <w:r>
        <w:t xml:space="preserve">Ajustes y partidas no recurrentes</w:t>
      </w:r>
    </w:p>
    <w:p>
      <w:pPr>
        <w:spacing w:after="100"/>
      </w:pPr>
      <w:r>
        <w:t xml:space="preserve">Cifras publicadas según NIIF. FY2025 con la corrección del 31-jul-2026: gastos generales de 780.683 a 751.725 M (−28.958), beneficio operativo de 229.089 a 258.047 M y beneficio atribuido de 259.874 a 279.728 M [1, 3]. </w:t>
      </w:r>
      <w:r>
        <w:rPr>
          <w:b/>
        </w:rPr>
        <w:t xml:space="preserve">No recurrentes dentro del EBITDA</w:t>
      </w:r>
      <w:r>
        <w:t xml:space="preserve">: gastos menos ingresos no básicos, sin la amortización de intangibles de producto (ya está en amortizaciones) y sin la compensación a fabricantes externos, que la empresa trata como recurrente desde FY2026 [16]. FY2025: 32.500 M (reestructuración 22.700, deterioros 6.000, Odawara y suelos de Yasu; menos 22.100 de ingresos por la liquidación de una filial y el litigio de Ranbaxy); FY2024: −19.100 (venta de DS Espha); FY2023: −16.400 (acuerdo con Novartis/Plexxikon); FY2021: 17.600 (deterioro de Zelboraf); FY2020: 15.000 [2, 12, 13, 14]. </w:t>
      </w:r>
      <w:r>
        <w:rPr>
          <w:b/>
        </w:rPr>
        <w:t xml:space="preserve">Ingresos por licencias</w:t>
      </w:r>
      <w:r>
        <w:t xml:space="preserve"> (pagos iniciales amortizados / hitos regulatorios / hitos de ventas, M JPY): FY2022 16.900/26.700/13.200; FY2023 29.400/12.400/29.600; FY2024 56.500/29.200/57.900; FY2025 65.100/25.900/86.000 [2, 12]. Los hitos de ventas de Enhertu se acaban en FY2026: 93.800 M previstos, tras 186.700 M cobrados hasta junio de 2026, y el plan 2026-2030 ya no cuenta con más [4, 16]; la amortización de pagos iniciales no trae caja.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574.740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transcripción en inglés de las preguntas de los analistas en la web de la empresa (ver huecos). </w:t>
      </w:r>
      <w:r>
        <w:rPr>
          <w:b/>
        </w:rPr>
        <w:t xml:space="preserve">4T FY2025 (11-may-2026)</w:t>
      </w:r>
      <w:r>
        <w:t xml:space="preserve"> [16]: cierre del plan 2021-2025 con ventas de 2,1 billones (objetivo 1,6) y presentación del plan 2026-2030: ventas &gt;3,0 billones de JPY, beneficio operativo &gt;600.000 M y BPA &gt;260 JPY en FY2030; 2,3 billones de ventas en oncología; asignación de 3,85 billones de caja (I+D ~2,9 billones, capex ~0,7 billones), DOE ajustado &gt;10 % y dividendo de 100 JPY en FY2026. Tres días antes (8-may-2026) la empresa había recortado la previsión de FY2025 por 153.000 M de gastos temporales: CMO 75.700, Odawara 19.300 [17]. </w:t>
      </w:r>
      <w:r>
        <w:rPr>
          <w:b/>
        </w:rPr>
        <w:t xml:space="preserve">1T FY2026 (31-jul-2026)</w:t>
      </w:r>
      <w:r>
        <w:t xml:space="preserve"> [4]: abre con la corrección de FY2025 (SG&amp;A sobrevalorado en 28.958 M por un error de agregación de cuentas a pagar a socios). Ventas +21,1 %, core OP +6,2 %, OP −12,0 % por 24.000 M de reestructuración de la unidad europea. Sube la previsión de FY2026 a 2,34 billones de ventas (+60.000 M por el dólar y Enhertu en EE. UU.) y a 320.000 M de OP (+5.000 M por la reversión de Odawara). Cambio de discurso: de «asegurar capacidad» a pagar compensaciones por capacidad comprometida que no se usará.</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1.897.754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2.105.619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2.085.178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1.272.053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2.221.402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1.350.872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3.996.285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1.684.033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Daiichi Sankyo Healthcare (OTC, 90.700 M JPY de ventas en FY2025) reclasificada como mantenida para la venta al 31-mar-2026 (122.162 M de activos y 31.552 M de pasivos, con 39.176 M de caja); sigue consolidada en la cuenta hasta perder el control (previsto el 1-jun-2027).; FY2023: Contrato con Merck &amp; Co. (oct-2023): 5.500 M USD cobrados por adelantado; el flujo operativo de FY2023 (599.258 M) incluye el cobro y el activo/pasivo por contrato salta de 321.112 a 737.602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sin arrendamientos sube de 101.332 M a 300.481 M en FY2025 por 200.000 M de bonos emitidos en oct-2025 (cupones 1,26 %-2,15 %) y a 500.480 M en jun-2026 por el préstamo sindicado [1, 11]. Con caja de 449.807 M la posición sigue siendo de caja neta. El circulante empeora: existencias de 514.910 a 692.378 M (materias primas de ADC 448.202 M) y clientes de 619.101 a 741.145 M [1]. El coste de la deuda es el cupón medio ponderado de los bonos (1,49 %); la vida media de 8,3 años es estimación propia con los vencimientos de la nota 18 [1]. Los vencimientos van por ejercicio fiscal; no incluyen el préstamo sindicado de 200.000 M (plazo no publicado en el 1T).</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646.835</w:t>
      </w:r>
      <w:r>
        <w:t xml:space="preserve">, conversión </w:t>
      </w:r>
      <w:r>
        <w:rPr>
          <w:b/>
          <w:bCs/>
        </w:rPr>
        <w:t xml:space="preserve">49 %</w:t>
      </w:r>
      <w:r>
        <w:t xml:space="preserve"> del beneficio neto; adquisiciones 42.113, dividendos 602.234, recompras 546.995.</w:t>
      </w:r>
    </w:p>
    <w:p>
      <w:pPr>
        <w:spacing w:after="100"/>
      </w:pPr>
      <w:r>
        <w:t xml:space="preserve">La conversión de beneficio en caja es irregular. FY2023: flujo operativo de 599.258 M inflado por el cobro anticipado de Merck (5.500 M USD) [5]. FY2024 y FY2025: solo 53.842 y 77.655 M pese a beneficios de 295.756 y 279.728 M, porque el circulante absorbió 206.000 y 302.000 M (clientes, existencias de ADC y anticipos a largo plazo a fabricantes) y por pagos de impuestos de 108.283 y 128.451 M; la provisión de CMO de FY2025 (169.498 M) aún no ha salido en caja [1]. El capex incluye compras de intangibles: 71.613 M en FY2024 (con 320 M USD de MK-6070 de Merck) y 20.637 M en FY2025 [1, 5]. El capex material sube de 31.245 M (FY2020) a 128.365 M (FY2025) por la capacidad propia de ADC; el plan 2026-2030 prevé ~0,7 billones de capex (200.000 M en FY2026) [11, 16]. No hay desglose de mantenimiento frente a crecimiento: la amortización de inmovilizado material (54.100 M en FY2025) es una aproximación al mantenimiento (estimación propia) [2]. Las desinversiones de FY2019 son la venta de una filial (37.128 M) y de FY2025 incluyen DS Espha.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AZSA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las cuentas corregidas de FY2025); cuestión clave de auditoría: la estimación de la provisión de 169.498 M por compensaciones a fabricantes de ADC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KPMG AZSA desde hace 21 años, con opinión favorable también sobre las cuentas corregidas [1]. Tres asuntos pesan más que los indicadores. </w:t>
      </w:r>
      <w:r>
        <w:rPr>
          <w:b/>
        </w:rPr>
        <w:t xml:space="preserve">Primero, la corrección de FY2025</w:t>
      </w:r>
      <w:r>
        <w:t xml:space="preserve">: un error al agregar las cuentas a pagar a socios infló los gastos generales en 28.958 M y se detectó dos meses y medio después de la junta; la empresa lo atribuye a un error individual y mantiene que el control interno es eficaz [3]. Que la corrección eleve el beneficio y además convierta en cumplidos dos objetivos del plan 2021-2025 ligados al variable (ROE del 15,8 al 16,9 %) obliga a vigilar la siguiente auditoría [18]. </w:t>
      </w:r>
      <w:r>
        <w:rPr>
          <w:b/>
        </w:rPr>
        <w:t xml:space="preserve">Segundo, la provisión de 169.498 M por compensaciones a fabricantes</w:t>
      </w:r>
      <w:r>
        <w:t xml:space="preserve">, cuestión clave de auditoría, sin calendario de pago y con las obligaciones a medio y largo plazo sin provisionar [1, 17]. </w:t>
      </w:r>
      <w:r>
        <w:rPr>
          <w:b/>
        </w:rPr>
        <w:t xml:space="preserve">Tercero, 65.100 M de ingresos no monetarios</w:t>
      </w:r>
      <w:r>
        <w:t xml:space="preserve"> por la amortización de pagos iniciales y 875.898 M de pasivos por contrato [1, 11]. El Altman Z de 2,98 (zona gris) y el Piotroski F de 3 reflejan el hundimiento del flujo operativo por la acumulación de existencias, no un problema de solvencia: la caja neta ajustada es de 405.320 M. El Beneish M de −1,99 queda en zona de vigilancia por el salto de clientes (+19,7 %) y existencias (+34,5 %) en FY2025.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las cuentas de FY2025 tras su publicación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31-jul-2026 la empresa corrigió el SG&amp;A de FY2025 (−28.958 M) por un error de agregación en las cuentas a pagar a socios; el beneficio atribuido sube de 259.874 a 279.728 M y el activo baja 9.104 M. Presentó una modificación del informe anual (Yuho) auditada por KPMG. La empresa lo atribuye a un error individual y sostiene que el control interno es eficaz, pero el error superaba el 10 % del beneficio operativo y se detectó dos meses y medio después de la junta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169.498 M por compensaciones a CMO de ADC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basada en planes de suministro y en la posibilidad de que los fabricantes recoloquen capacidad; el auditor la marca como cuestión clave. Sin calendario de pago. Revela que la demanda prevista quedó por debajo de la capacidad contratada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la definición del beneficio operativo básico desde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nueva definición excluye la amortización de intangibles de producto e incluye la compensación a CMO: el core OP de FY2025 pasa de 388.900 M (definición antigua) a 311.300 M (nueva). Las series no son comparables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no monetarios por amortización de pagos iniciales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65.100 M en FY2025 (3,1 % de las ventas y 25 % del OP) vienen de pagos ya cobrados; el saldo diferido es de 881.214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muy inferior al beneficio en FY2024-FY2025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+177.468 M y clientes +122.044 M en FY2025; anticipos a largo plazo de 192.906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del 4,3 %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Impuesto negativo de 39.800 M en 4T25 por activación de impuestos diferidos (456.195 M al cierre)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1.207.777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1.197.107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1.168.447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1.361.873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72,4 % · </w:t>
      </w:r>
      <w:r>
        <w:rPr>
          <w:b/>
          <w:bCs/>
        </w:rPr>
        <w:t xml:space="preserve">WACC</w:t>
      </w:r>
      <w:r>
        <w:t xml:space="preserve">: 7,3 %.</w:t>
      </w:r>
    </w:p>
    <w:p>
      <w:pPr>
        <w:spacing w:after="100"/>
      </w:pPr>
      <w:r>
        <w:t xml:space="preserve">Daiichi destruía o apenas cubría su coste de capital hasta FY2022 (ROIC del 5-10 % frente a un WACC del 7,3 %) y lo multiplica desde que Enhertu escala: 13,8 % en FY2023, 22,3 % en FY2024 y 20,4 % en FY2025. El motor es el margen, no la rotación (0,5-0,6 veces en toda la serie): el margen EBITDA pasa del 14,2 % de FY2021 al 20,2 % de FY2024. El ROIC incremental del periodo, del 72,4 %, mide sobre todo el apalancamiento de una plataforma cuyo coste de desarrollo comparten AstraZeneca y Merck. Dos matices: el capital invertido no descuenta los 875.898 M de pasivos por contrato (con ellos el ROIC sería mayor) y el beneficio incluye 65.100 M de ingresos no monetarios [1, 2]. Frente a sus comparables, Daiichi rinde menos que Chugai (43,7 %) y Roche (28,1 %) y más que AstraZeneca (16,1 %) y Merck (14,1 %) [65, 69, 70, 72]: el reparto del 50 % del margen bruto con los socios le pone techo.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-405.320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31-mar-2026: caja 449.807 M (más 39.176 M en la filial OTC mantenida para la venta), depósitos y bonos a coste amortizado corrientes 102.664 M (depósitos 41.010, bonos 61.654) y no corrientes 99.867 M; acciones cotizadas y no cotizadas a valor razonable (participaciones cruzadas) 50.291 M [1]. En 1T26 dispuso un préstamo sindicado de 200.000 M: caja de 637.850 M al 30-jun-2026 y deuda financiera de 500.480 M [10, 11]. El 1-jul-2026 cobró 73.950 M de Suntory por el primer 30 % de la filial OTC; el precio total previsto es de 246.500 M (40 % en jun-2027 y 30 % en jun-2029) [1,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AA, perspectiva estable (a-1+ a corto plazo). Moody's: A2, perspectiva estable. Sin rating de S&amp;P ni de JCR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Provisiones de 214.383 M al 31-mar-2026 (49.811 corrientes): compensación a CMO de ADC 169.498 M por compras mínimas no cumplidas, sin calendario de pago fijado; compensación por la cancelación de inversiones en Odawara 12.685 M (pago previsto en un año; en 1T26 se revirtieron 6.900 M); medio ambiente 27.192 M (suelos de la antigua planta de Yasugawa) [1, 11]. Anticipos a largo plazo de 192.906 M (pagos adelantados a proveedores) [1]. Pasivos por contrato de 881.214 M: ingresos diferidos que no son deuda pero se devolverían en parte si Merck termina un programa (1.000 M USD de anticipo de I+D reembolsable) [1]. La diferencia de 53.089 M entre el cobro de Suntory y el valor contable se registra en cuentas a pagar como ingreso diferido hasta la pérdida de control [10]. Pensiones netas de 1.452 M [1].</w:t>
      </w:r>
    </w:p>
    <w:p>
      <w:pPr>
        <w:pStyle w:val="Heading1"/>
      </w:pPr>
      <w:r>
        <w:t xml:space="preserve">12. Asignación de capital</w:t>
      </w:r>
    </w:p>
    <w:p>
      <w:pPr>
        <w:pStyle w:val="Confianza"/>
        <w:spacing w:after="100"/>
      </w:pPr>
      <w:r>
        <w:t xml:space="preserve">Confianza: Media</w:t>
      </w:r>
    </w:p>
    <w:p>
      <w:pPr>
        <w:spacing w:after="100"/>
      </w:pPr>
      <w:r>
        <w:t xml:space="preserve">Plan 2026-2030: dividendo progresivo con DOE ajustado (sobre patrimonio sin «otros componentes») superior al 10 % anual; recompras flexibles detrás de la inversión en crecimiento y del dividendo [16]. Dividendo por acción: 27 JPY (FY2020-FY2021), 30 (FY2022), 50 (FY2023), 60 (FY2024), 78 (FY2025) y 100 previstos en FY2026 [9, 16]. Recompras: 100.192 M en FY2020; 246.066 M pagados en FY2024 (programa de 250.000 M) y 150.458 M en FY2025, de los que 91.800 M (31,45 millones de acciones) corresponden al programa de abril de 2025 con límite de 200.000 M [1, 16]. Las 31.457.200 acciones recompradas se amortizaron el 10-jun-2026 (1,66 % del capital) [1]. Asignación 2026-2030: 3,85 billones de JPY de recursos (flujo operativo antes de I+D, ventas de activos y financiación) para ~2,9 billones de I+D, ~0,7 billones de capex y dividendos [16]. Política de participaciones cruzadas: reducirlas; en FY2025 vendió 13.500 M en 7 valores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HBT Labs (EE. UU., genéricos inyectables oncológicos y del sistema nervioso; para American Regent)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(29.962 M netos) y 2.131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American Regent cae de 217.200 M a 182.200 M en FY2025 por genéricos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MK-6070/DS3280 (anticuerpo triespecífico anti-DLL3 de Merck): entrada en el acuerdo de codesarrollo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170 M USD más la liberación de una obligación «quid» de 150 M USD; 320 M USD activados como intangible (en JPY, estimación propia al cambio medio de FY2024, 152,57)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desarrollo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Daiichi Sankyo Espha (genéricos de Japón)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en dos tramos; ganancia de 16.300 M en FY2024 y el 29 % restante el 1-abr-2025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temporal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Daiichi Sankyo Healthcare (OTC) a Suntory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en tres tramos: 30 % el 1-jul-2026 (73.950 M cobrados), 40 % el 1-jun-2027 y 30 % el 1-jun-2029; precio ajustable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contabiliza como una sola transacción hasta perder el control en jun-2027: los 53.089 M de exceso sobre el valor contable quedan como ingreso diferido y la plusvalía se reconocerá entonces [1, 10].</w:t>
            </w:r>
          </w:p>
        </w:tc>
      </w:tr>
    </w:tbl>
    <w:p>
      <w:pPr>
        <w:spacing w:after="160" w:before="0"/>
      </w:pPr>
    </w:p>
    <w:p>
      <w:pPr>
        <w:spacing w:after="100"/>
      </w:pPr>
      <w:r>
        <w:t xml:space="preserve">En nueve ejercicios (FY2017-FY2025) Daiichi generó 646.835 M de flujo libre y devolvió 1,15 billones (602.234 M en dividendos y 546.995 M en recompras): el exceso se pagó con el cobro anticipado de Merck (5.500 M USD en FY2023) y, desde octubre de 2025, con deuda (200.000 M en bonos y 200.000 M de préstamo sindicado en el 1T26) [1, 11]. Las recompras de FY2024-FY2025 (396.524 M) se hicieron con la acción por encima de los 2.702,5 JPY actuales: cerró FY2023 en 4.759 JPY y FY2024 en 3.511 [58]. El plan 2026-2030 prioriza el I+D (unos 2,9 billones) y el capex (0,7 billones) y deja las recompras como «flexibles», con un dividendo progresivo de 100 JPY (2,9 % de rentabilidad) [16]. La capacidad propia de ADC fue el error del ciclo: la empresa comprometió compras mínimas con fabricantes para una demanda «sin ajuste por riesgo» y ha tenido que provisionar 169.498 M y cancelar Odawara (19.300 M) [1, 17]. Las ventas de DS Espha y de Daiichi Sankyo Healthcare (246.500 M) sí ordenan la cartera hacia la oncología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casa desde 1986 (Sankyo); presidente de la unidad ASCA (2018), director financiero de 2021 a 2023 y presidente y COO de 2023 a marzo de 2025 [41]. CEO desde el 1-abr-2025, nombrado por el consejo el 31-ene-2025 a propuesta de la comisión de nombramientos [54]. Su primer año como CEO (FY2025) batió la guía de ingresos (2,12 billones frente a 2,00) pero dejó el beneficio operativo en 229.100 M frente a 350.000 M guiados por 153.000 M de gastos temporales (compensación a fabricantes y cancelación de Odawara), y terminó con una corrección de cuentas [3, 17, 47]. Tiene 61.378 acciones (50.941 un año antes) [41,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Ajinomoto (alimentación y aminoácidos) [19]. Consejero externo desde junio de 2023 y presidente del consejo desde la junta de junio de 2025, en sustitución de Kazuaki Kama [18]. 4.800 acciones [41]. En 2026 obtuvo el 94,88 % a favor, el segundo apoyo más bajo del consejo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Tomohiro Kodama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jefe global de planificación y gestión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carrera (antes jefe del departamento de finanzas y contabilidad) [52]. Figura como CFO en la estructura de dirección de abril de 2026 y presentó los resultados de mayo y julio de 2026, incluida la corrección de FY2025 [4, 16, 52]. No es consejero, por lo que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Amgen y Spectrum; en Daiichi Sankyo, Inc. desde 2014, CEO de la filial estadounidense desde 2019 y jefe de la unidad de oncología desde 2021; consejero desde junio de 2025 [41]. En su etapa los ingresos de oncología pasaron a 954.000 M en FY2025 frente a un objetivo de más de 600.000 M [4]. No tiene acciones; cobró 979 M JPY en FY2025, 3,6 veces lo del CEO [18,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Tsai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global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a Ken Takeshita el 1-abr-2026; viene de Syncona y antes fue jefe global de desarrollo y director médico de Novartis, director médico de Amgen y jefe de desarrollo tardío de BMS [53]. Sin historial medible en la compañía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Mackey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Amgen (Amgen Ventures) y Santaris; jefe global de desarrollo de negocio desde 2013 y consejero desde junio de 2026 [41]. Lidera las alianzas de oncología, entre ellas la de Merck de 2023: 4.000 M USD por adelantado, 1.500 M USD de pagos de continuidad y hasta 22.000 M USD en total [20]. Sin acciones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30-oct-2020: ingresos 960.000 M; beneficio operativo 60.000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962.516 M; beneficio operativo 63.795 M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990.000 M; core OP 70.000 M (abr-2021)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1.044.892 M; core OP 90.605 M [50,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1.150.000 M; core OP 105.000 M (abr-2022)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1.278.478 M; core OP 122.610 M [49,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1.450.000 M; core OP 140.000 M (abr-2023)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1.601.688 M; core OP 195.263 M [48,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1.750.000 M; core OP 210.000 M (abr-2024)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1.886.300 M; core OP 312.800 M [47,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2.000.000 M; core OP 350.000 M; beneficio operativo 350.000 M; beneficio atribuido 300.000 M (25-abr-2025); subida a 2.100.000 M de ingresos y bajada a 335.000 M de beneficio operativo en oct-2025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2.123.000 M; core OP 360.000 M publicado (388.900 M tras la corrección); beneficio operativo 229.100 M (258.000 M corregido) por 153.000 M de gastos temporales; beneficio atribuido 259.900 M (279.700 M corregido) [3, 17,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FY2021-FY2025 (plan a 5 años)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 billones; oncología &gt; 600.000 M; core OP antes de I+D 40 % de ingresos; ROE &gt; 16 %; DOE &gt; 8 % (a 105 JPY/USD)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billones; oncología 954.000 M; core OP antes de I+D 40,1 %; ROE 16,9 %; DOE 8,7 % (cifras tras la corrección; antes de ella eran 38,7 % y 15,8 %, por debajo del objetivo) [4,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 y FY2030 (plan 2026-2030)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ingresos 2.280.000 M, beneficio operativo 315.000 M (may-2026). FY2030: ingresos &gt; 3 billones, beneficio operativo &gt; 600.000 M, BPA &gt; 260 JPY, oncología 2,3 billones; DOE ajustado &gt; 10 % cada año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 FY2026: ingresos 574.700 M (+21,1 %); guía subida el 31-jul-2026 a 2.340.000 M de ingresos y 320.000 M de beneficio operativo, con el beneficio atribuido rebajado en 9.000 M a 251.000 M [4,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La dirección batió su guía anual de ingresos y core OP cinco años seguidos (FY2020-FY2024) y superó con holgura el plan 2021-2025 en ingresos y oncología, gracias a Enhertu y a las alianzas con AstraZeneca y Merck. El primer año de Okuzawa como CEO rompe la serie: 153.000 M de gastos temporales por la estrategia de suministro de ADC, resultados aplazados dos semanas y una corrección de cuentas que, además, convierte en cumplidos dos objetivos del plan (ROE y margen antes de I+D). </w:t>
      </w:r>
      <w:r>
        <w:rPr>
          <w:b/>
        </w:rPr>
        <w:t xml:space="preserve">El equipo se ha renovado casi entero en 24 meses</w:t>
      </w:r>
      <w:r>
        <w:t xml:space="preserve">: CEO (abr-2025), presidente del consejo (jun-2025), jefe de I+D (abr-2026), salida del presidente ejecutivo Manabe (jun-2026) y un CFO nuevo. La sucesión la decide una comisión de nombramientos solo de externos [19]. Los ejecutivos japoneses tienen participaciones simbólicas (&lt; 0,01 %) y los dos estadounidenses, ninguna.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 a Nombramientos y Retribuciones como representante de la ejecución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Takashi Matsumoto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Senior Executive Officer, CHRO y CCAO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Shizuko Ueno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Senior Executive Officer, jefa de la unidad de negocio de Japón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Stuart Mackey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Yasuhiro Komatsu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(médico y gestor hospitalario)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 Honma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(ex directivo de TI)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Akihiro Watanabe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(auditor de cuentas)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Reiko Kinoshita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las cuentas corregidas de FY2025); cuestión clave de auditoría: la estimación de la provisión de 169.498 M por compensaciones a fabricantes de ADC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 (fondos y planes de pensiones; beneficiarios no identificados)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19-sep-2025; no confirmada en el registro 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Life Insurance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6-feb-2026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Mizuho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5-sep-2025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60.523.331 acciones al 31-mar-2026 sobre 1.894.350.529 emitidas [18, 19]; en FY2025 se compraron 35,5 millones de acciones por 106.434 M y el 10-jun-2026 se amortizaron 31.457.200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of Norway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Shizuoka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regional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31-mar-2026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cobra, en objetivo, un 40 % fijo, un 30 % de bonus anual y un 30 % en acciones (restringidas y ligadas al plan) [19]. El bonus depende en un 80 % del beneficio atribuido frente a la guía anual, en un 20 % de los ingresos y el margen core, y de la evaluación individual [19]. El plan de acciones 2026-2030 (98,58 % a favor) mide ingresos, beneficio operativo, ROE, TSR frente al TOPIX, I+D y sostenibilidad, con un coeficiente de 0-200 %; las acciones se entregan tras la jubilación [41, 44]. Hay clawback por error contable material y malus [19]. </w:t>
      </w:r>
      <w:r>
        <w:rPr>
          <w:b/>
        </w:rPr>
        <w:t xml:space="preserve">La corrección de FY2025 sube el beneficio atribuido un 7,6 % y cumple dos objetivos del plan 2021-2025 (ROE y margen antes de I+D)</w:t>
      </w:r>
      <w:r>
        <w:t xml:space="preserve">, lo que eleva el variable. No hay indemnizaciones por cese ni planes de jubilación [19].</w:t>
      </w:r>
    </w:p>
    <w:p>
      <w:pPr>
        <w:pStyle w:val="Heading2"/>
      </w:pPr>
      <w:r>
        <w:t xml:space="preserve">Operaciones vinculadas, estructura de control y defensas</w:t>
      </w:r>
    </w:p>
    <w:p>
      <w:pPr>
        <w:spacing w:after="100"/>
      </w:pPr>
      <w:r>
        <w:t xml:space="preserve">No hay accionista de control ni sociedad matriz [19]. El capital está disperso: los dos mayores titulares son bancos custodios que agregan fondos de terceros (17,02 % y 7,00 %), y ninguna gestora declara más del 5,4 % [19]. Hay una sola clase de acciones y no hay medidas antiopa, aunque la empresa se reserva adoptarlas «caso a caso» [19]. Sin operaciones vinculadas materiales en FY2025 [1]. Las participaciones cruzadas bajan: al 31-mar-2026 quedaban 14 valores cotizados por 35.972 M (2,3 % del patrimonio atribuido) y 24 no cotizados por 3.029 M, tras vender siete cotizados por 13.528 M en el ejercicio [18, 19]. Nippon Life y el Banco de Shizuoka siguen entre los diez primeros [19]. Los consejeros tienen un mandato de un año; cinco de diez son independientes, y las dos comisiones voluntarias son solo de externos [19, 42].</w:t>
      </w:r>
    </w:p>
    <w:p>
      <w:pPr>
        <w:pStyle w:val="Heading2"/>
      </w:pPr>
      <w:r>
        <w:t xml:space="preserve">Señales de alerta</w:t>
      </w:r>
    </w:p>
    <w:p>
      <w:pPr>
        <w:pStyle w:val="ListParagraph"/>
        <w:numPr>
          <w:ilvl w:val="0"/>
          <w:numId w:val="2"/>
        </w:numPr>
        <w:spacing w:after="60"/>
      </w:pPr>
      <w:r>
        <w:rPr>
          <w:b/>
        </w:rPr>
        <w:t xml:space="preserve">Corrección de las cuentas de FY2025 (31-jul-2026).</w:t>
      </w:r>
      <w:r>
        <w:t xml:space="preserve"> Al preparar el 1T, la empresa detectó un error al agregar los pasivos devengados con socios comerciales: los gastos generales y las cuentas a pagar estaban inflados en 28.958 M. El core OP pasa de 360.000 M a 388.900 M, el beneficio operativo de 229.100 M a 258.000 M y el beneficio atribuido de 259.900 M a 279.700 M (+7,6 %) [3]. La empresa lo atribuye a un error individual de proceso y sostiene que el control interno sobre la información financiera es eficaz. Presentó un </w:t>
      </w:r>
      <w:r>
        <w:rPr>
          <w:i/>
        </w:rPr>
        <w:t xml:space="preserve">Securities Report</w:t>
      </w:r>
      <w:r>
        <w:t xml:space="preserve"> modificado y KPMG AZSA reemitió su informe [1, 3]. No se encontró cambio de auditor ni de director financiero, ni sanción; las medidas para evitar que se repita estaban «en evaluación» [3]. El error pasó la auditoría del </w:t>
      </w:r>
      <w:r>
        <w:rPr>
          <w:i/>
        </w:rPr>
        <w:t xml:space="preserve">Securities Report</w:t>
      </w:r>
      <w:r>
        <w:t xml:space="preserve"> del 19-jun-2026.</w:t>
      </w:r>
    </w:p>
    <w:p>
      <w:pPr>
        <w:pStyle w:val="ListParagraph"/>
        <w:numPr>
          <w:ilvl w:val="0"/>
          <w:numId w:val="2"/>
        </w:numPr>
        <w:spacing w:after="60"/>
      </w:pPr>
      <w:r>
        <w:rPr>
          <w:b/>
        </w:rPr>
        <w:t xml:space="preserve">Resultados aplazados y gastos de suministro (abr-may 2026).</w:t>
      </w:r>
      <w:r>
        <w:t xml:space="preserve"> El 24-abr-2026 la empresa retrasó los resultados de FY2025 del 27-abr al 11-may para revisar los planes de suministro de oncología, y la acción cayó cerca de un 11 % [55]. La revisión del 8-may añadió 153.000 M de gastos temporales: 75.700 M de compensación a fabricantes subcontratados (CMO) y 19.300 M por el deterioro y la cancelación de la inversión de Odawara. Las diferencias con las obligaciones mínimas de compra a medio y largo plazo </w:t>
      </w:r>
      <w:r>
        <w:rPr>
          <w:b/>
        </w:rPr>
        <w:t xml:space="preserve">no están provisionadas</w:t>
      </w:r>
      <w:r>
        <w:t xml:space="preserve"> [17].</w:t>
      </w:r>
    </w:p>
    <w:p>
      <w:pPr>
        <w:pStyle w:val="ListParagraph"/>
        <w:numPr>
          <w:ilvl w:val="0"/>
          <w:numId w:val="2"/>
        </w:numPr>
        <w:spacing w:after="60"/>
      </w:pPr>
      <w:r>
        <w:rPr>
          <w:b/>
        </w:rPr>
        <w:t xml:space="preserve">Retirada de la solicitud de I-DXd (25-sep-2026).</w:t>
      </w:r>
      <w:r>
        <w:t xml:space="preserve"> Daiichi Sankyo y Merck retiraron la solicitud de aprobación acelerada en EE. UU. de ifinatamab deruxtecan para cáncer de pulmón microcítico extendido tras hablar con la FDA: los datos, incluidos los del fase 2 IDeate-Lung01, no bastaban para una aprobación acelerada [56].</w:t>
      </w:r>
    </w:p>
    <w:p>
      <w:pPr>
        <w:pStyle w:val="ListParagraph"/>
        <w:numPr>
          <w:ilvl w:val="0"/>
          <w:numId w:val="2"/>
        </w:numPr>
        <w:spacing w:after="60"/>
      </w:pPr>
      <w:r>
        <w:rPr>
          <w:b/>
        </w:rPr>
        <w:t xml:space="preserve">Voto en contra del CEO al alza.</w:t>
      </w:r>
      <w:r>
        <w:t xml:space="preserve"> En la junta de 2026, el 12,10 % de los votos presentes fue contra la reelección de Okuzawa, frente al 2,1 % de 2025 y el 3,7 % de 2024; ningún otro consejero superó el 4,9 % en contra [44, 45, 46]. No se ha encontrado la causa publicada.</w:t>
      </w:r>
    </w:p>
    <w:p>
      <w:pPr>
        <w:pStyle w:val="ListParagraph"/>
        <w:numPr>
          <w:ilvl w:val="0"/>
          <w:numId w:val="2"/>
        </w:numPr>
        <w:spacing w:after="60"/>
      </w:pPr>
      <w:r>
        <w:rPr>
          <w:b/>
        </w:rPr>
        <w:t xml:space="preserve">Rotación de la cúpula en 24 meses</w:t>
      </w:r>
      <w:r>
        <w:t xml:space="preserve">: nuevo CEO (abr-2025), nuevo presidente del consejo (jun-2025), nuevo jefe de I+D externo (abr-2026), salida del presidente ejecutivo Manabe (jun-2026) y CFO nuevo, Kodama [18, 52, 53, 54].</w:t>
      </w:r>
    </w:p>
    <w:p>
      <w:pPr>
        <w:pStyle w:val="ListParagraph"/>
        <w:numPr>
          <w:ilvl w:val="0"/>
          <w:numId w:val="2"/>
        </w:numPr>
        <w:spacing w:after="60"/>
      </w:pPr>
      <w:r>
        <w:rPr>
          <w:b/>
        </w:rPr>
        <w:t xml:space="preserve">Auditor con 21 años de antigüedad</w:t>
      </w:r>
      <w:r>
        <w:t xml:space="preserve"> (KPMG AZSA) y sin comisión de auditoría: el consejo de auditores lo preside una auditora interna [18].</w:t>
      </w:r>
    </w:p>
    <w:p>
      <w:pPr>
        <w:pStyle w:val="ListParagraph"/>
        <w:numPr>
          <w:ilvl w:val="0"/>
          <w:numId w:val="2"/>
        </w:numPr>
        <w:spacing w:after="60"/>
      </w:pPr>
      <w:r>
        <w:rPr>
          <w:b/>
        </w:rPr>
        <w:t xml:space="preserve">Retribución de Keller</w:t>
      </w:r>
      <w:r>
        <w:t xml:space="preserve">: el jefe de oncología cobró 979 M JPY en FY2025 (465 M en incentivo a largo plazo en efectivo de la filial estadounidense), 3,6 veces lo del CEO, sin tener acciones de la compañía [18, 41].</w:t>
      </w:r>
    </w:p>
    <w:p>
      <w:pPr>
        <w:pStyle w:val="ListParagraph"/>
        <w:numPr>
          <w:ilvl w:val="0"/>
          <w:numId w:val="2"/>
        </w:numPr>
        <w:spacing w:after="60"/>
      </w:pPr>
      <w:r>
        <w:rPr>
          <w:b/>
        </w:rPr>
        <w:t xml:space="preserve">Desinversiones y reestructuración (contexto).</w:t>
      </w:r>
      <w:r>
        <w:t xml:space="preserve"> Venta escalonada de Daiichi Sankyo Healthcare a Suntory, firmada el 15-abr-2026: el 30 % se cobró el 1-jul-2026 por 73.950 M, el 40 % se venderá en jun-2027 (con pérdida de control) y el 30 % restante en jun-2029. La reestructuración de la unidad de especialidades de Europa costó 24.000 M en el 1T FY2026, y se revirtieron 6.900 M de la provisión de Odawara [4, 10].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FY2026 (abril 2026-marzo 2027) la empresa prevé ingresos de 2,34 billones de JPY, beneficio operativo core de 360.000 M, beneficio operativo de 320.000 M, beneficio atribuido de 251.000 M (BPA 137,94 JPY) y un dividendo de 100 JPY (50 + 50), 22 JPY más que en FY2025 [10]. La guía se revisó el 31 de julio de 2026 sobre la del 11 de mayo: ingresos +60.000 M (yen más débil y más ventas de Enhertu en EE. UU.), core sin cambios porque el reparto de beneficio con AstraZeneca absorbe el bruto adicional, operativo +5.000 M y atribuido −9.000 M por más impuestos; tipos supuestos desde el 2T: 155 JPY/USD y 180 JPY/EUR [4, 10]. El plan a cinco años (FY2026-FY2030) fija para FY2030 ingresos de más de 3 billones de JPY, beneficio operativo de más de 600.000 M, BPA de más de 260 JPY y DOE ajustado de más del 10 % con dividendo progresivo, y apunta a un beneficio operativo de en torno a 1 billón a comienzos de la década de 2030; prevé unos 2,9 billones de I+D y 0,7 billones de capex acumulados en cinco años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«2027», ejercicio a marzo de 2027), 16 analistas en cobertura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«2028», ejercicio a marzo de 2028)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401.622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(columna «2029», ejercicio a marzo de 2029) [61]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2.633.052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4.077,50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2.750,00 – 5.200,00</w:t>
            </w:r>
          </w:p>
        </w:tc>
      </w:tr>
    </w:tbl>
    <w:p>
      <w:pPr>
        <w:spacing w:after="160" w:before="0"/>
      </w:pPr>
    </w:p>
    <w:p>
      <w:pPr>
        <w:pStyle w:val="Heading2"/>
      </w:pPr>
      <w:r>
        <w:t xml:space="preserve">Revisiones de estimaciones</w:t>
      </w:r>
    </w:p>
    <w:p>
      <w:pPr>
        <w:spacing w:after="100"/>
      </w:pPr>
      <w:r>
        <w:t xml:space="preserve">MarketScreener y Stock Analysis no dan gratis el historial de revisiones del BPA ni del EBITDA a 3 y 12 meses [62, 63]. Lo que sí se ve: el consenso de ingresos de FY2026e (2,358 billones) queda un 0,8 % por encima de la guía revisada en julio (2,34 billones) y el BPA de FY2026e (151 JPY) un 9,5 % por encima de la guía (137,94 JPY) [10, 61]. Los datos reales de FY2025 que muestra MarketScreener (EBIT 229.100 M, beneficio 259.900 M) son los de antes de la corrección del 31 de julio de 2026 (258.047 M y 279.728 M) [4, 61], así que el proveedor no ha actualizado ese año.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doce meses la acción pierde un 31,6 % con dividendos, frente al +31,3 % del ETF del TOPIX (1305.T) y el +9,5 % del ETF sectorial farmacéutico (1621.T) [58]; la caída desde el máximo de julio de 2024 llega al 59,5 %. Tres sesiones explican buena parte del año. El 4 de noviembre de 2025 (−8,1 %) fue la primera sesión tras los resultados del 2T FY2025, publicados el 31 de octubre con el festivo del 3 de noviembre de por medio [58, 64]. El 24 de abril de 2026 (−10,4 %) la empresa aplazó del 27 de abril al 11 de mayo los resultados de FY2025 para revisar los planes de suministro de oncología y estimar las provisiones con fabricantes externos [55]; el 4T cerró con unos 133.200 M de gastos no recurrentes, de ellos 75.700 M de compensación a fabricantes [57]. El 31 de julio de 2026 (−11,1 %) llegaron los resultados del 1T FY2026, con el beneficio atribuido un 19,7 % abajo por la reestructuración en Europa, y la corrección de las cuentas de FY2025 por un error al agregar los gastos comerciales y generales [4, 10]. La beta es baja (0,72 frente al TOPIX, mensual a 5 años) para una volatilidad del 38 %: el riesgo es propio, no de mercado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11,9 veces el EBITDA y 18,9 veces el beneficio de los últimos 12 meses, Daiichi cotiza en el mínimo de nueve ejercicios: un 55 % y un 51 % por debajo de sus medias (26,3 y 38,7 veces) [58]. El cambio es estructural, no solo de humor: los múltiplos de FY2019-FY2023 pagaban una plataforma de ADC sin competencia y un beneficio que se multiplicaba por cuatro, y hoy el crecimiento de FY2027 es del 2,5 %, los competidores chinos licencian ADC con la misma diana y el JGB a 10 años rinde un 3,111 % [75]. No tomamos la media histórica como referencia de valor.</w:t>
      </w:r>
    </w:p>
    <w:p>
      <w:pPr>
        <w:pStyle w:val="Heading1"/>
      </w:pPr>
      <w:r>
        <w:t xml:space="preserve">18. Comparables cotizados</w:t>
      </w:r>
    </w:p>
    <w:p>
      <w:pPr>
        <w:pStyle w:val="Confianza"/>
        <w:spacing w:after="100"/>
      </w:pPr>
      <w:r>
        <w:t xml:space="preserve">Confianza: Media</w:t>
      </w:r>
    </w:p>
    <w:p>
      <w:pPr>
        <w:spacing w:after="100"/>
      </w:pPr>
      <w:r>
        <w:t xml:space="preserve">Cuatro farmacéuticas japonesas grandes del mismo mercado, con la misma tasa libre y el mismo tipo de cambio (Chugai, Takeda, Astellas y Otsuka), y cuatro globales con oncología relevante: AstraZeneca y Merck, socias de Daiichi en sus ADC, y Pfizer y Roche, que compiten con ADC propios (los de Seagen y Kadcyla) [65, 66, 67, 68, 69, 70, 71, 72]. Quedan fuera Eisai y Shionogi, sin oncología relevante, y Gilead y AbbVie, que pesan menos en ADC que las elegidas.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4.919.577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Chugai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Astellas Pharma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Otsuka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39.477.566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55.741.690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25.251.402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Roche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54.033.384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12,0x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16,5x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3,9x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3.751,64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5.006,50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6.643,01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Daiichi cotiza en la mediana de sus comparables: 11,9 veces el EBITDA de los últimos 12 meses (mediana de 12,0) y 16,3 veces el beneficio de los próximos 12 (mediana de 16,5), con un crecimiento de ventas a 12 meses del 7,2 %, algo mayor que el de la mediana (en torno al 6 %) [65, 66, 67, 68, 69, 70, 71, 72]. La lectura por múltiplos engaña en dos sentidos. Por un lado, el EV/ventas (2,0 veces frente a 3,9) parece barato, pero solo porque Daiichi entrega el 50 % del margen bruto de Enhertu y Datroway a sus socios: su margen EBITDA (17 %) es la mitad del de Merck, Roche o Chugai. Por otro, el PER de los próximos 12 meses se apoya en un BPA de consenso de FY2027 (180 JPY) que probablemente incluye la plusvalía de la venta de Daiichi Sankyo Healthcare. Usamos el PER (valor de 2.749,56 JPY) con un peso del 35 %, y no el EV/ventas. Takeda (40,8 veces) y Pfizer (crecimiento negativo) no mueven la mediana del PER.</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Seagen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6.803.749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USD por acción en efectivo y un valor empresa total de 43.000 M USD (6,80 billones de JPY al cambio de la fecha de corte). El EV/ventas va sobre los unos 2.200 M USD de ingresos que Seagen esperaba en 2023. Pfizer esperaba más de 10.000 M USD de ingresos ajustados por riesgo en 2030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Ambrx Biopharma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300.631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unos 2.000 M USD por las acciones y unos 1.900 M USD netos de caja (300.600 M JPY al cambio de la fecha de corte). Es una plataforma de ADC sin ventas, así que no hay múltiplo [74].</w:t>
            </w:r>
          </w:p>
        </w:tc>
      </w:tr>
    </w:tbl>
    <w:p>
      <w:pPr>
        <w:spacing w:after="160" w:before="0"/>
      </w:pPr>
    </w:p>
    <w:p>
      <w:pPr>
        <w:spacing w:after="160" w:before="0"/>
      </w:pPr>
    </w:p>
    <w:p>
      <w:pPr>
        <w:spacing w:after="100"/>
      </w:pPr>
      <w:r>
        <w:t xml:space="preserve">Las compras de ADC se pagan por la cartera, no por las ventas. Pfizer pagó 19,5 veces las ventas que Seagen esperaba en 2023, y Ambrx se compró sin ingresos [73, 74]. La referencia más directa del valor de la plataforma de Daiichi es el acuerdo de octubre de 2023 con Merck por tres DXd ADC (patritumab, ifinatamab y raludotatug deruxtecan). Merck pagaba 4.000 M USD por adelantado, 1.500 M en pagos de continuación durante 24 meses y hasta 16.500 M por hitos de ventas, hasta 22.000 M USD en total [20]. Con un flotante del 95,8 % y una capitalización de unos 4,9 billones de JPY [59], Daiichi es una presa al alcance de las grandes farmacéuticas, pero sus alianzas con AstraZeneca y Merck, en las que reparte beneficios, condicionan cualquier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+10,5 %: la guía es 2,34 billones de JPY (+10,2 %) con 155 JPY/USD desde el 2T, y el dólar cotiza a 158,2 [10, 76]; consenso +11,1 % [61]. </w:t>
      </w:r>
      <w:r>
        <w:rPr>
          <w:b/>
        </w:rPr>
        <w:t xml:space="preserve">FY2027e +2,5 %</w:t>
      </w:r>
      <w:r>
        <w:t xml:space="preserve">: se agotan los hitos de ventas de Enhertu (93.800 M en FY2026; el plan 2026-2030 no prevé más) [16] y sale del perímetro Daiichi Sankyo Healthcare en junio de 2027 (90.700 M de ventas) [1, 4]; el consenso da +2,0 % [61]. FY2028e +9,5 % (consenso +10,3 %) y 6,5 % y 5,5 % en FY2029e-FY2030e, que llevan las ventas a 2,96 billones, algo por debajo del objetivo de más de 3 billones del plan [16]. Después, 4 % a 0 % con el fin de la exclusividad de Enhertu en EE. UU. y la de Lixiana: TCAC del 4,1 % en diez años, frente al 10,4 % de FY2017-FY2025.</w:t>
      </w:r>
    </w:p>
    <w:p>
      <w:pPr>
        <w:keepNext/>
        <w:spacing w:after="100"/>
      </w:pPr>
      <w:r>
        <w:rPr>
          <w:b/>
          <w:bCs/>
        </w:rPr>
        <w:t xml:space="preserve">Márgenes.</w:t>
      </w:r>
    </w:p>
    <w:p>
      <w:pPr>
        <w:spacing w:after="100"/>
      </w:pPr>
      <w:r>
        <w:t xml:space="preserve">El margen EBITDA del DCF </w:t>
      </w:r>
      <w:r>
        <w:rPr>
          <w:b/>
        </w:rPr>
        <w:t xml:space="preserve">excluye la amortización de los pagos iniciales</w:t>
      </w:r>
      <w:r>
        <w:t xml:space="preserve"> (65.100 M en FY2025; unos 55.000 M en FY2026), porque esa caja entró entre 2019 y 2023 y ya está en el puente; contarla otra vez añadiría un 13,5 % al valor del DCF (estimación propia con el motor). FY2026e 15,0 %: el consenso (18,3 %) menos esos tres puntos [61]. FY2027e 14,5 % por la pérdida de los hitos de ventas, con un margen bruto del 100 %. Sube al 19,0 % en FY2031e con la escala de Enhertu y Datroway y los 200.000 M de ahorros del plan [16], y baja al 18,0 % al final por la erosión de Enhertu. Comparación: 14-16 % en FY2017-FY2023 y 20,2 % en FY2024 con los ingresos por licencias dentro; el plan de la empresa (beneficio operativo de más de 600.000 M en FY2030) implica unos 2,5 puntos más que nuestro FY2030e (548.000 M de EBITDA): con ellos el valor subiría un 15,7 %.</w:t>
      </w:r>
    </w:p>
    <w:p>
      <w:pPr>
        <w:keepNext/>
        <w:spacing w:after="100"/>
      </w:pPr>
      <w:r>
        <w:rPr>
          <w:b/>
          <w:bCs/>
        </w:rPr>
        <w:t xml:space="preserve">Inversión y circulante.</w:t>
      </w:r>
    </w:p>
    <w:p>
      <w:pPr>
        <w:spacing w:after="100"/>
      </w:pPr>
      <w:r>
        <w:t xml:space="preserve">Capex del 8,5 % de las ventas en FY2026e (200.000 M previstos) y del 4-5 % después: el plan reserva unos 0,7 billones en cinco años [11, 16]; en FY2025 fue el 7,0 %. Amortización del 3,6 % (77.460 M en FY2025). Circulante del 39 % en FY2026e, desde el 40,8 % de FY2025, y vuelta gradual al 30 % en FY2032e: las existencias (692.378 M, 378 días) se inflaron por las compras mínimas a fabricantes, y en FY2024 el circulante era el 29,4 % [1]; si se quedara en el 40,8 %, el valor bajaría un 5,7 %. Impuesto del 25 %: guía de FY2026 del 24 % y 24,9 % en el 1T26 [10]; el 4,3 % de FY2025 es una activación de impuestos diferidos.</w:t>
      </w:r>
    </w:p>
    <w:p>
      <w:pPr>
        <w:keepNext/>
        <w:spacing w:after="100"/>
      </w:pPr>
      <w:r>
        <w:rPr>
          <w:b/>
          <w:bCs/>
        </w:rPr>
        <w:t xml:space="preserve">Coste del capital.</w:t>
      </w:r>
    </w:p>
    <w:p>
      <w:pPr>
        <w:spacing w:after="100"/>
      </w:pPr>
      <w:r>
        <w:t xml:space="preserve">Tasa libre: JGB a 10 años al 3,111 % el 7-oct-2026 [75]. </w:t>
      </w:r>
      <w:r>
        <w:rPr>
          <w:b/>
        </w:rPr>
        <w:t xml:space="preserve">Beta 0,92</w:t>
      </w:r>
      <w:r>
        <w:t xml:space="preserve">, comparada frente a cuatro índices con cinco años de datos [58]: ETF del TOPIX 0,72 mensual y 0,76 semanal (0,81 y 0,84 ajustadas por Blume); Nikkei 225 0,32 y 0,51 (índice dominado por tecnología y semiconductores, mala referencia para una farmacéutica); TOPIX-17 farmacéutico 1,44 (Daiichi pesa mucho en ese índice: mide su peso, no el riesgo de mercado); salud mundial (IXJ) 0,75 semanal, pero en USD. Elegimos el TOPIX (el mercado del inversor en JPY) y promediamos su beta ajustada semanal (0,84) con la sectorial de Damodaran (farmacéuticas de Japón 0,98 desapalancada, 1,07 corregida por caja; mundo 1,00) [79]. Prima de mercado 4,23 % y prima país de Japón 0,91 % (5,14 % en total) [78]. Coste de la deuda del 1,5 % (cupón medio de los bonos, 1,49 %) [1] y peso del 9 % a valor de mercado.</w:t>
      </w:r>
    </w:p>
    <w:p>
      <w:pPr>
        <w:keepNext/>
        <w:spacing w:after="100"/>
      </w:pPr>
      <w:r>
        <w:rPr>
          <w:b/>
          <w:bCs/>
        </w:rPr>
        <w:t xml:space="preserve">Valor terminal.</w:t>
      </w:r>
    </w:p>
    <w:p>
      <w:pPr>
        <w:spacing w:after="100"/>
      </w:pPr>
      <w:r>
        <w:t xml:space="preserve">Gordon con crecimiento del 2,0 % en JPY: dentro de la regla (inflación esperada de Japón en torno al 2 % y tasa libre menos medio punto, 2,6 %). El valor terminal pesa un 64 % y equivale a 10,9 veces el EBITDA, por debajo de la mediana de los comparables (12,0 veces) y coherente con una cartera que pierde la exclusividad de su producto principal en los años de la proyección.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3.153.525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170.117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6.162.125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3.159.563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2.957,44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2.781,86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3.554,48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3.741,95</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7,3 %)</w:t>
            </w:r>
          </w:p>
        </w:tc>
      </w:tr>
    </w:tbl>
    <w:p>
      <w:pPr>
        <w:spacing w:after="160" w:before="0"/>
      </w:pPr>
    </w:p>
    <w:p>
      <w:pPr>
        <w:spacing w:after="100"/>
      </w:pPr>
      <w:r>
        <w:t xml:space="preserve">El DCF da </w:t>
      </w:r>
      <w:r>
        <w:rPr>
          <w:b/>
        </w:rPr>
        <w:t xml:space="preserve">2.957,44 JPY por acción, un 9,4 % por encima del precio</w:t>
      </w:r>
      <w:r>
        <w:t xml:space="preserve">, con el valor terminal en el 64 %. El DCF inverso dice que el precio descuenta un crecimiento del 2,2 % anual en diez años y un margen EBITDA del 16,8 %, frente al 4,1 % y el 18,0 % del caso base, y una rentabilidad implícita del 7,8 % frente a un WACC del 7,3 %. No es un precio exigente: si solo se cuentan los productos e indicaciones ya aprobados (sin I-DXd, R-DXd ni HER3-DXd, y sin Datroway en primera línea de pulmón), el DCF baja a 2.416 JPY (estimación propia con el motor: 3 puntos menos de crecimiento en FY2027-FY2031 y 1,5 de margen). </w:t>
      </w:r>
      <w:r>
        <w:rPr>
          <w:b/>
        </w:rPr>
        <w:t xml:space="preserve">El 18,3 % del valor base, unos 541 JPY por acción, depende de productos e indicaciones aún no aprobados</w:t>
      </w:r>
      <w:r>
        <w:t xml:space="preserve">, y el mercado paga algo más de la mitad. Tampoco hay margen de seguridad: con un punto menos de crecimiento terminal el valor cae a 2.667,70 y con medio punto más de WACC, a 2.716,57. La diferencia con el mercado no está en la tasa de descuento (las dos reglas dan lo mismo) sino en cuánto vale una cartera que, tras la retirada de la solicitud de I-DXd, ha perdido credibilidad.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y TROPION-Lung07/08 no mejoran la supervivencia y Datroway se queda en nichos; I-DXd fracasa en IDeate-Lung02 y Merck devuelve derechos; los ADC chinos licenciados (TROP2 de Kelun con Merck, HER2 de Hengrui) bajan precios, y un caso grave de neumonitis en adyuvancia frena Enhertu en pacientes curables. Ya le pasó a I-DXd en septiembre de 2026 [56]. Crecimiento 3 puntos menor cada año, margen 3 puntos menor, WACC medio punto más alto y crecimiento terminal del 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cumple la guía de FY2026 (894.900 M de ventas de producto) y gana la adyuvancia y la primera línea HER2+; Datroway crece en mama triple negativa y pulmón EGFR; los hitos de ventas se acaban en FY2026 y Daiichi Sankyo Healthcare sale en 2027. Las ventas llegan a 2,96 billones en FY2030 con un margen EBITDA del 18,5 %, por debajo del plan de la empresa, y caen ligeramente al perder Enhertu la exclusividad.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4.235,59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AVANZAR, TROPION-Lung07/08 e IDeate-Lung02 son positivos, R-DXd llega al ovario y la empresa cumple su plan: más de 3 billones de ventas y más de 600.000 M de beneficio operativo en FY2030, camino del billón a principios de la década [16]. Crecimiento 2,5 puntos mayor, margen 2,5 puntos mayor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2.977,24 JPY (+10,2 %).</w:t>
      </w:r>
    </w:p>
    <w:p>
      <w:pPr>
        <w:spacing w:after="100"/>
      </w:pPr>
      <w:r>
        <w:t xml:space="preserve">La asimetría es de 1,62 veces: el alcista gana un 56,7 % (4.235,59 JPY) y el bajista pierde un 34,9 % (1.758,50 JPY). El bajista no es cosmético: es lo que ya pasó con Datroway en pulmón y con I-DXd, extendido a toda la cartera. El ponderado (25/50/25) queda en 2.977 JPY, casi igual que el base, porque la cartera de I+D es binaria en los dos sentidos. Con una rentabilidad total esperada del 9,8 %, la asimetría no compensa la incertidumbre de las lecturas de 2026-2027: el precio de entrada que daría un 15 % es 2.585 JPY.</w:t>
      </w:r>
    </w:p>
    <w:p>
      <w:pPr>
        <w:pStyle w:val="Heading1"/>
      </w:pPr>
      <w:r>
        <w:t xml:space="preserve">22. Suma de partes</w:t>
      </w:r>
    </w:p>
    <w:p>
      <w:pPr>
        <w:pStyle w:val="Confianza"/>
        <w:spacing w:after="100"/>
      </w:pPr>
      <w:r>
        <w:t xml:space="preserve">Confianza: Media</w:t>
      </w:r>
    </w:p>
    <w:p>
      <w:pPr>
        <w:spacing w:after="100"/>
      </w:pPr>
      <w:r>
        <w:t xml:space="preserve">No aplica: un solo segmento NIIF y una plataforma (DXd) que reparte costes de I+D, fabricación y venta entre productos; separar Enhertu, Datroway y los tres DXd de Merck exigiría un rNPV por producto que el motor no tiene. La cartera se trata en los escenarios y en la estimación de lo que depende de productos no aprobados (lectura del DCF). Daiichi Sankyo Healthcare, vendida a Suntory, se valora a su precio de venta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2.716,01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2.888,64 JPY (+6,9 % sobre 2.702,50).</w:t>
      </w:r>
    </w:p>
    <w:p>
      <w:pPr>
        <w:spacing w:after="100"/>
      </w:pPr>
      <w:r>
        <w:t xml:space="preserve">Pesos: DCF 45 %, comparables 35 % y escenarios 20 %. El DCF manda porque es el único método que separa los ingresos no monetarios y la caída de los hitos de ventas; los comparables entran por el PER de los próximos 12 meses (mediana de 16,5 veces → 2.749,56 JPY), con dos reservas: el BPA de consenso de FY2027 (180 JPY) incluye probablemente la plusvalía de Daiichi Sankyo Healthcare, y el EV/EBITDA penaliza a Daiichi porque reparte el 50 % del margen bruto con sus socios. Las transacciones pesan 0: se pagan por carteras sin EBITDA. </w:t>
      </w:r>
      <w:r>
        <w:rPr>
          <w:b/>
        </w:rPr>
        <w:t xml:space="preserve">Puente</w:t>
      </w:r>
      <w:r>
        <w:t xml:space="preserve"> a 30-jun-2026: deuda de 500.480 M, arrendamientos de 49.700 M y liquidez de 666.100 M [10]; en «otros ajustes» suman valor el cobro de Daiichi Sankyo Healthcare (73.950 M el 1-jul-2026 y el valor actual de los 172.550 M de 2027 y 2029, unos 165.200 M al 3 %) y las participaciones en otras empresas a valor razonable (50.291 M) [1, 10]. No entran los 875.898 M de pasivos por contrato (no se devuelven, y su ingreso ya no está en el margen), ni la provisión de 169.498 M a fabricantes, que compensan en parte los 192.906 M de anticipos ya pagados a esos mismos fabricantes [1]. La dispersión es estrecha (2.750-2.977 JPY en los tres métodos): todos dicen que el precio está cerca del valor.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23-27 oct 2026 (ESMO)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HER3-DXd en melanoma (primera publicación), actualización de I-DXd en pulmón microcítico (IDeate-Lung01) y de R-DXd en ovario resistente a platino (REJOICE-Ovarian01/02)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pública tras la retirada de la solicitud acelerada de I-DXd; decide si el mercado vuelve a dar valor a los tres DXd de Merck, que hoy solo aportan ingresos por amortización de pagos iniciales.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y posible revisión de la guía (ingresos 2,34 billones, core OP 360.000 M JPY)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Enhertu en EE. UU. (219.200 M de ventas de producto en el 1T, +41 %) frente a la guía anual de 894.900 M; nuevas provisiones por compromisos con fabricantes.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FY2026 (oct 2026-mar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TROPION-Lung15 (Datroway en pulmón EGFR mutado tras osimertinib) y de AVANZAR (Datroway + durvalumab + quimioterapia en primera línea de pulmón no microcítico, 2S del año natural 2026)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es la llave del mercado de primera línea de pulmón, el mayor de los tumores sólidos: sin él, Datroway queda en nichos (pulmón EGFR, mama triple negativa).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anual de precios oficiales (NHI) en Japón.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precio de los productos maduros (Lixiana, que ya cayó un 12 % en el 1T FY2026)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primer año completo del plan FY2026-FY2030 (objetivos: ingresos &gt; 3 billones y beneficio operativo &gt; 600.000 M JPY en FY2030)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del primer año del plan tras un FY2025 con 153.000 M de gastos temporales y una corrección de cuentas.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Transmisión del 40 % de Daiichi Sankyo Healthcare a Suntory y pérdida de control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 98.600 M JPY si se paga al mismo precio por acción que el primer 30 %) y reconocimiento de la plusvalía diferida.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 (abr 2027-mar 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ensayos de fase 3 IDeate-Lung02 (I-DXd), TROPION-Lung07/08 (Datroway con pembrolizumab) y DESTINY-Breast09 en monoterapia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Determinan si I-DXd llega al mercado y cuánto del objetivo de 2,3 billones JPY de oncología en FY2030 es alcanzable.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no llega a la primera línea de pulmón (AVANZAR, TROPION-Lung07/08 negativos o con beneficio marginal)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la mitad del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ya está aprobado en mama HR+, triple negativa de primera línea y pulmón EGFR mutado [4]; el valor de Enhertu no depende de estos ensayos.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AVANZAR (2S del año natural 2026) y de TROPION-Lung07/08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mínimos con fabricantes externos sin provisionar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100.000 M de nuevas provisiones (55 JPY por acción antes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renegocia y reasigna capacidad a los cinco DXd y a nuevos candidatos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por compensación a fabricantes en los trimestres de FY2026, por encima de los 80.000 M JPY previstos en el año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ADC: TROP2 y HER2 de Merck/Kelun, Gilead y biotecnológicas chinas licenciadas a Occidente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(margen 3 puntos menor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datos de supervivencia en primera línea de mama HER2+ y en adyuvancia; cada nueva indicación la ancla antes que a sus rivales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nuevos pacientes de Enhertu en primera línea HER2+ en EE. UU. y precio neto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enfermedad pulmonar intersticial (neumonitis) de los 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clínico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−35 % (entre el caso de solo aprobados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conocido, en ficha técnica y con protocolo de vigilancia desde 2019; la tasa de casos mortales cayó con el manejo precoz.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Advertencias nuevas de la FDA o la EMA, o tasas de casos graves superiores en adyuvancia (pacientes curables).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los tres DXd de Merck (I-DXd, HER3-DXd, R-DXd)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(la mitad del valor de la cartera no aprobada)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(4.000 M USD más 1.500 M de pagos continuos) ya se cobraron y no se devuelven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IDeate-Lung02 en FY2027 y datos de ESMO de octubre de 2026 [4, 56].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contable y control interno tras la corrección de 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(medio punto más de WACC: 2.716,57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error fue de clasificación entre periodos y elevó el beneficio, no lo redujo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Salvedades del auditor, nuevas correcciones o cambio del director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precios en Japón y pérdida de exclusividad de Lixiana/edoxabán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pesa cada vez menos en los ingresos y Lixiana ya está en la proyección con caída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precios de abril de 2027 y entrada de genéricos de edoxabán.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Yen: el 60 % largo de los ingresos está en dólares y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(estimación propia: dólar a 145 en vez de 158, con el 35 % de las ventas en EE. UU. y parte de los costes en la misma divisa)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 los costes (reparto con AstraZeneca, I+D en EE. UU.) está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por debajo de 145 (la guía supone 155 desde el 2T) [4].</w:t>
            </w:r>
          </w:p>
        </w:tc>
      </w:tr>
    </w:tbl>
    <w:p>
      <w:pPr>
        <w:spacing w:after="160" w:before="0"/>
      </w:pPr>
    </w:p>
    <w:p>
      <w:pPr>
        <w:pStyle w:val="Heading2"/>
      </w:pPr>
      <w:r>
        <w:t xml:space="preserve">Pre-mortem</w:t>
      </w:r>
    </w:p>
    <w:p>
      <w:pPr>
        <w:spacing w:after="100"/>
      </w:pPr>
      <w:r>
        <w:t xml:space="preserve">Octubre de 2029: la acción vale 1.600 JPY. Empezó en el 2S de FY2026, cuando AVANZAR mostró un beneficio de supervivencia marginal y Datroway quedó fuera de la primera línea de pulmón; la empresa tuvo que provisionar parte de las compras mínimas a medio plazo con fabricantes que en mayo de 2026 dejó sin provisionar [17]. En 2027 IDeate-Lung02 repitió el patrón de la solicitud retirada en 2026 [56] y Merck priorizó su TROP2 de Kelun. Mientras, los ADC anti-HER2 chinos entraron en EE. UU. con descuentos del 30 % y el reparto al 50 % con AstraZeneca dejó a Daiichi sin margen para defender el precio. El plan a 2030 se recortó en mayo de 2028, el dividendo progresivo se mantuvo con deuda y el mercado pasó a valorar la empresa por los productos aprobados (2.416 JPY) menos la erosión de Enhertu. Las señales estaban a la vista: los resultados de AVANZAR, las provisiones trimestrales a fabricantes y la cuota de nuevos pacientes de Enhertu en la primera línea HER2+.</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la primera vez)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FTSE4Good Global Index por 17.º año consecutivo y en el FTSE Blossom Japan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MSCI Nihonkabu ESG Select Leaders Index por 7.º año consecutivo (la nota de MSCI no se ha verificado)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Dow Jones Indices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Dow Jones Best-in-Class Asia Pacific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Tres asuntos mueven las cifras. Primero, la seguridad del paciente y la evidencia clínica: la neumopatía intersticial de Enhertu condiciona su uso en líneas tempranas y en pacientes frágiles [31]. Segundo, el suministro estable de ADC complejos: Daiichi es el único fabricante en sus alianzas y fijó para el plan FY2021-FY2025 un máximo de 300.000 M JPY de inversión en suministro; decidió unos 226.000 M JPY solo en FY2024 (522.000 M acumulados desde FY2021) [9], y en 2026 anuló la inversión en la planta de Odawara, con una provisión por compensaciones que revirtió 6.900 M JPY en 1T FY2026 [4]. Tercero, el acceso y el precio: el 10 % de la retribución variable de la cúpula depende de indicadores ESG (DJSI, FTSE Russell y Access to Medicine Index) [9], y la presión de precios de Medicare y del NHI japonés afecta directamente a los ingresos [34, 35].</w:t>
      </w:r>
    </w:p>
    <w:p>
      <w:pPr>
        <w:pStyle w:val="Heading2"/>
      </w:pPr>
      <w:r>
        <w:t xml:space="preserve">Controversias</w:t>
      </w:r>
    </w:p>
    <w:p>
      <w:pPr>
        <w:spacing w:after="100"/>
      </w:pPr>
      <w:r>
        <w:t xml:space="preserve">Seguridad: la ficha técnica de Enhertu en EE. UU. (revisada en mayo de 2026) lleva un recuadro de advertencia por neumopatía intersticial y neumonitis; con 5,4 mg/kg en monoterapia la sufre el 12 % de los pacientes, con desenlace mortal en el 0,9 % [31]. Contable: el 31 de julio de 2026 Daiichi presentó a la Bolsa de Tokio la corrección de las cuentas de FY2025: los gastos generales y de venta bajaron 29.000 M JPY y el beneficio atribuido subió 19.900 M JPY; las ventas no cambian [4]. Litigio: el pleito de patentes con Seagen sobre la tecnología DXd quedó resuelto a favor de Daiichi [16]. No se han encontrado sanciones de reguladores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con fabricantes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sin provisionar de las obligaciones mínimas de compra con fabricantes externos a medio y largo plazo, año a año, y con qué supuesto de ventas de los cinco DXd se calcula?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reconoce que esas diferencias «pueden materializarse» y no las provisiona [17]; en FY2025 ya costaron 169.500 M JPY de compensación a fabricantes y en FY2026 se prevén 80.000 M [16]. Es un pasivo fuera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cuentas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 falló en la sobrestimación de 29.000 M JPY de gastos generales de FY2025 y qué ha cambiado en el cierre contable y en la supervisión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corrección de beneficio del 7,6 % en el mismo trimestre en que se aplazaron los resultados por las provisiones afecta a la fiabilidad de las cifras que sostienen la valoración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Datroway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objetivo de 2,3 billones JPY de ingresos de oncología en FY2030 depende de que AVANZAR y TROPION-Lung07/08 lleven a Datroway a la primera línea de pulmón?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vende 116.900 M previstos en FY2026 frente a 894.900 M de Enhertu [4]; el plan necesita que se multiplique.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iniciales e hitos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ingreso diferido queda por reconocer de los pagos iniciales de AstraZeneca y Merck, y con qué calendario? ¿Qué hitos de ventas quedan por cobrar de AstraZeneca tras los 93.800 M previstos en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y los hitos suman 205.000 M JPY en la guía de FY2026 (un 8,8 % de los ingresos) [4] y una parte no es caja ni se repite.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I-DXd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el reclutamiento de IDeate-Lung02 y qué diferencia de supervivencia necesita para una aprobación completa tras la retirada de la solicitud acelerada?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I-DXd es el primer activo del acuerdo con Merck que debía llegar al mercado; la retirada del 25-sep-2026 retrasa sus ingresos al menos un año [56].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Enhertu en China y en Asia se pierde ante los ADC anti-HER2 locales y qué precio espera tras la negociación de reembolso?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licencian ADC a Occidente con pagos iniciales bajos; en China ya compiten en precio en la misma diana.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recompras previstas en FY2026 con la acción un 35 % por debajo del máximo de 52 semanas y caja neta, y a qué se destinan los ≈ 246.500 M JPY de la venta de Daiichi Sankyo Healthcare?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recompró 250.000 M en FY2024 a precios más altos y 91.800 M en FY2025 [16]; el plan solo habla de recompras «flexibles».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a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pasa el beneficio operativo de 320.000 M (FY2026) a más de 600.000 M en FY2030 si el reparto del 50 % del margen bruto con AstraZeneca crece con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implica casi duplicar el beneficio con unos ingresos un 28 % mayores; depende de los 200.000 M de ahorros del plan y de los productos propios sin socio [16].</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17 controles correctos y 3 explicados. Fuentes: 80 (55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 explica la causa (créditos fiscales, regularizaciones, mezcla de países) y no lo proyectes en el DCF. Explicación: El 4,3 % de FY2025 se debe a la activación de impuestos diferidos (impuesto negativo de 39.800 M en el 4T) [1, 2]; el DCF usa el 25 %, en línea con la guía de FY2026 (beneficio antes de impuestos de 334.000 M y beneficio de 254.000 M) [10].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39,0 % frente a 40,8 % real: genera una variación de circulante de 49.301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-18,4 %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-21,3 %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Páginas de resultados de 2025 y 2026 y biblioteca de materiales de la web de inversores: sin transcripción ni Q&amp;A en inglés; 2) presentaciones de 4T FY2025 y 1T FY2026 (solo diapositivas);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resume solo los mensajes de la dirección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y BPA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Reference Data trimestrales: solo beneficio, no BPA del trimestre aislado salvo el 1T; 2) Tanshin trimestrales; 3) consenso previo no accesible sin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inversión en Odawara (importe total y lo invertido)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19 de las cuentas de FY2025 (solo la provisión de 12.685 M por compensaciones); 2) revisión de previsión de mayo-2026 y presentación del plan (19.300 M de pérdida, sin presupuesto); 3) Value Report 2025 (solo datos medioambientales)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y tipo del préstamo sindicado de 200.000 M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1T FY2026; 2) Reference Data 1T FY2026 (solo «Syndicated loan +200.0»); 3) presentación 1T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de los vencimientos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globales de Enhertu y Datroway (Daiichi + AstraZeneca) y número de países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Data (solo lo que reconoce Daiichi); 2) presentación del plan: Enhertu aprobado en más de 95 países/regiones [16]; 3) informe anual de AstraZeneca: da las ventas combinadas de 2025, pero no por ejercicio a marzo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KPI de ventas globales; países: 95+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iniciales de las licencias chinas Kelun-Merck, Hengrui, Duality-BioNTech, Hansoh-GSK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Merck: describe la licencia de sac-TMT con Kelun-Biotech pero no da el pago inicial; 2) búsqueda web de las notas de prensa: el límite de búsquedas compartido se agotó; 3) informes de AstraZeneca, Pfizer y AbbVie: no los recogen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BMS-SystImmune, 800 M USD, verificado)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Kelun-Biotech y de BMS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HKEX/informe anual de Kelun-Biotech: no consultado por tiempo; 2) EDGAR de BMS: no descargado; 3) proveedor de datos: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2021-2024 del mercado de ADC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Global Market Insights (junio 2026): solo 2025 y 2035; 2) Biochempeg: solo «más de 10.000 M USD» en 2023; 3) suma propia de cuentas de empresas: solo 2024 y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TCAC histórica (30,0 %) es 2023-2025, dos años, y la de 2023 es una cifra mínima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Lixiana en Japón y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de Daiichi: dice «superar el vencimiento de la patente de Lixiana» en FY2026-FY2030 sin fecha; 2) registro de SPC de los Países Bajos (19-12-2027) y prensa coreana (10-11-2026); 3) búsqueda web sin dato japonés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Japón y EE. UU.; se dan Países Bajos y Corea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compuesto de Enhertu y del enlazador DXd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solo «superar el vencimiento de la patente de Enhertu» en FY2031-FY2035; 2) ficha técnica FDA: aprobación inicial 2019; 3) derivado: 12 años de exclusividad de biológico en EE. UU. → finales de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farmacéuticos de EE. UU. (sección 232) y efecto en Daiichi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FY2025 y 1T FY2026: no lo mencionan; 2) búsqueda web: límite agotado; 3) Value Report 2025: no lo trata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MSCI ESG y de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«Results of ESG Evaluation» de Daiichi: solo índices, no la nota; 2) Value Report 2025 y Sustainability Report 2026: no la publican; 3) resumen de buscador decía MSCI AA: no verificado en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 en prensa de la corrección contable de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1T FY2026 (dato primario recogido); 2) búsqueda web: límite agotado; 3) no hay otra vía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solo el dato de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oficial: en Japón no hay registro público de operaciones de consejeros equivalente al Form 4; los informes de compraventa de directivos a la Oficina Financiera de Kanto no se publican; 2) Comparación de las acciones declaradas en las convocatorias de 2025 y 2026: Okuzawa pasa de 50.941 a 61.378 y Matsumoto de 45.404 a 49.242, aumentos que encajan con la entrega de acciones restringidas y no con compras en mercado; 3) Securities Report y Corporate Governance Report: solo dan las tenencias, no las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Tomohiro Kodama: fecha de nombramiento como CFO y participación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lo lista como CFO, pero no es consejero y no hay biografía ni tenencias; 2) Nota de la estructura de dirección de abril de 2026: sin fecha de nombramiento; 3) Presentaciones de resultados: firma como CFO desde mayo de 2026 y el resto de 2023-2025 no se revisó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Motivo del 12,10 % en contra de Okuzawa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Notificación de acuerdos y resultado de la votación: sin explicación; 2) Búsqueda de recomendaciones de ISS o Glass Lewis y de comunicados de la empresa sobre los asesores de voto: nada específico; 3) Informes de voto de gestoras (BlackRock): no revisados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y JCR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El Securities Report dice que la empresa solo pide nota a R&amp;I y Moody's; 2) Lista de JCR consultada: la URL con el código 4568 redirige a la lista general; 3) Búsqueda web: sin nota de S&amp;P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calificada por S&amp;P ni JCR según la propia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AbbVie-ImmunoGen (2023), Genmab-ProfoundBio (2024) y otras operaciones de ADC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AbbVie y Gilead (404) y DEFA14A de ImmunoGen en EDGAR (403 con descargar.mjs); 2) páginas de HBM Healthcare, EQS, Wachtell y Ropes &amp; Gray (404, 403 o sin cifras); 3) búsqueda web: solo resúmenes de buscador, que no se pueden usar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(gratis solo el de los últimos 12 meses y el PER adelantado); 2) previsiones de Stock Analysis (ingresos de uno o dos años; el EBITDA es de pago); 3) MarketScreener exige una búsqueda por empresa y su tabla de valoración sale vacía en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(gráficos sin texto); 2) Stock Analysis (de pago); 3) Minkabu y Kabutan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 Japón solo se publican las posiciones de más del 0,5 % (JPX), no consultado por el límite de llamadas; 2) Stock Analysis no da el dato para Tokio; 3) no hay otra fuente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o amortizaciones después del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noticias para inversores de la empresa (carga por JavaScript, sin texto); 2) MarketScreener usa 1.820.381 miles de acciones para las estimaciones, igual que el cálculo con el Tanshin; 3) el Tanshin del 1T no anuncia ningún programa nuevo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Amended Consolidated Financial Statements and Independent Auditor’s Report, FY2025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https://www.daiichisankyo.com/files/investors/library/quarterly_result/2025/FY2025_Amended_Consolidated_FS_and_Independent_Auditors_Report.pdf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Reference Data FY2025 (versión corregida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https://www.daiichisankyo.com/files/investors/library/quarterly_result/2025/Q4/FY2025Q4_Reference_Data_Corrections_E.pdf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(Correction) Partial Correction of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https://www.daiichisankyo.com/files/investors/library/quarterly_result/2025/Q4/FY2025Q4_Financial_Results_Corrections_E.pdf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Q1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https://www.daiichisankyo.com/files/investors/library/quarterly_result/2024/FY2024_Consolidated_FS_and_Independent_Auditors_Report.pdf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FY2022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https://www.daiichisankyo.com/files/investors/library/quarterly_result/2022/Consolidated%20Financial%20Statements%20and%20Independent%20Auditors%20Report_31.03.2023(for%20HP).pdf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FY2020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https://www.daiichisankyo.com/files/investors/library/quarterly_result/2020/pdf/Consolidated_FS_and_Independent_AR_31.03.2021.pdf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FY2018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https://www.daiichisankyo.com/files/investors/library/quarterly_result/2018/pdf/Consolidated%20Financial%20Statements%20and%20Independent%20Auditors%20Report%20for%20FY2018.pdf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 Report 2025 (10-Year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https://www.daiichisankyo.com/files/investors/library/annual_report/index/pdf/VR2025/ds_2025_en_all_1119.pdf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1T FY2026 (Consolidated Financial Results for Q1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https://www.daiichisankyo.com/files/investors/library/quarterly_result/2022/FY2022_Q4_ReferenceData_E4.pdf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2T y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https://www.daiichisankyo.com/files/investors/library/quarterly_result/2025/Q3/FY2025Q3_Reference_Data_E.pdf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https://www.daiichisankyo.com/files/investors/library/quarterly_result/2025/FY2025%20Financial%20Results%20and%205Year%20Business%20Plan%20Presentation_E_v2.pdf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Briefing on the Revision of the FY2025 Consolidated Financial Results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https://www.daiichisankyo.com/files/investors/library/materials/2026/Revision%20of%20the%20FY2025%20Consolidated%20Financial%20Results%20Forecast%20_E.pdf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Yuho (Securities Report) 21.º ejercicio, FY2025 (japonés)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https://www.daiichisankyo.co.jp/files/investors/library/securities_reports/index/FY2025_Q4_Securities_Report.pdf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https://www.daiichisankyo.com/files/about_us/governance/report/index/pdf/20260623_CG_Report_E.pdf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and Merck Enter Global Development and Commercialization Agreement for Three Daiichi Sankyo DXd ADCs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https://www.daiichisankyo.com/files/news/pressrelease/pdf/202310/20231020_E.pdf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and Daiichi Sankyo enter collaboration for novel HER2-targeting antibody-drug conjugate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https://www.astrazeneca.com/media-centre/press-releases/2019/astrazeneca-and-daiichi-sankyo-enter-collaboration-for-novel-her-2-targeting-antibody-drug-conjugate.html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as Pharma Innovator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https://www.daiichisankyo.com/about_us/mission-strength/history/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Full Year and Q4 2025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https://www.sec.gov/Archives/edgar/data/901832/000165495426001073/a3234s.htm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https://www.sec.gov/Archives/edgar/data/78003/000007800326000026/pfe-20251231.htm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https://www.sec.gov/Archives/edgar/data/882095/000088209526000006/gild-20251231.htm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https://www.sec.gov/Archives/edgar/data/1551152/000155115226000008/abbv-20251231.htm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Finance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Antibody Drug Conjugates Market Size &amp; Share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https://www.gminsights.com/industry-analysis/antibody-drug-conjugates-market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(cruces JPY/USD y JPY/CHF del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SystImmune and Bristol Myers Squibb Announce a Global Strategic Collaboration Agreement for BL-B01D1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 / SystImmune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https://www.biospace.com/systimmune-and-bristol-myers-squibb-announce-a-global-strategic-collaboration-agreement-for-the-development-and-commercialization-of-bl-b01d1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(fam-trastuzumab deruxtecan-nxki) US Prescribing Information (revisada 05/2026)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 FDA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https://daiichisankyo.us/prescribing-information-portlet/getPIContent?productName=Enhertu&amp;inline=true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certificados complementarios de protección: SPC 300760 (edoxabán, patente EP1405852)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Oficina de Patentes de los Países Bajos (RVO)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https://mijnoctrooi.rvo.nl/fo-eregister-view/search/detailsType/300760/SPC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Lixiana patent expiry and generic entry in Korea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Dailypharm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https://dailypharm.com/eng/user/news/7835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FY26 price revision (analyst comment)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Technology (GlobalData)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https://www.pharmaceutical-technology.com/analyst-comment/japan-fy26-price-revision/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Selected Drugs for Initial Price Applicability Year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https://www.cms.gov/files/document/factsheet-medicare-negotiation-selected-drug-list-ipay-2028.pdf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Top 50 Negotiation-Eligible Drugs, IPAY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https://www.cms.gov/files/document/factsheet-medicare-top-50-negotiation-eligible-drug-list-ipay-2028.pdf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Sales of ADCs in 2023 – Up to 10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Biochempeg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https://www.biochempeg.com/article/389.html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ESG Evaluation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https://daiichisankyo.com/sustainability/performance-reports/esg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recognized for the highest rating, the 'A List', in CDP climate change and water security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https://www.daiichisankyo.com/sustainability/performance-reports/news/detail/index_4660.html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https://www.daiichisankyo.com/files/investors/shareholders/meetings/index/pdf/21st/20260525_Convocation_Notice_E.pdf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 of Resolutions for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https://www.daiichisankyo.com/files/investors/shareholders/meetings/index/pdf/21st/Notification_21st_E.pdf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20th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https://www.daiichisankyo.com/files/investors/shareholders/meetings/index/pdf/20th/20250526_Convocation_Notice_E.pdf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第21回定時株主総会 (resultado de votaciones,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https://www.daiichisankyo.co.jp/files/investors/shareholders/meetings/index/pdf/21th/Repot%20of%20Final%20Tally%20of%20Voting%20Rights%20Exercised_20260623_J.pdf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第20回定時株主総会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https://www.daiichisankyo.co.jp/files/investors/shareholders/meetings/index/pdf/20th/20250623_Final_Tally_J.pdf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第19回定時株主総会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https://www.daiichisankyo.co.jp/files/investors/shareholders/meetings/past/index/pdf/19th/20240617_final_tally_19th.pdf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2024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https://www.daiichisankyo.com/files/investors/library/quarterly_result/2023/FY2023_Q4_Financial_Results_E.pdf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2023 (Fiscal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2022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https://www.daiichisankyo.com/files/investors/library/quarterly_result/2021/FY2021_Q4_Financial_Results_E.pdf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2021 (Fiscal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Announces Appointment of Chief Corporate Affairs Officer under the Global Management 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https://www.daiichisankyo.com/files/news/pressrelease/pdf/202604/20260416_E.pdf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Appoints John Tsai, MD as Global Head of R&amp;D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https://daiichisankyo.us/press-releases/-/article/daiichi-sankyo-appoints-john-tsai-md-as-global-head-of-r-d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Names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DCAT Value Chain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https://www.dcatvci.org/top-industry-news/daiichi-sanyko-names-new-ceo/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Shares of Japanese drugmaker Daiichi Sankyo tumble on delay in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https://www.marketscreener.com/news/shares-of-japanese-drugmaker-daiichi-sankyo-tumble-on-delay-in-earnings-ce7f59ded18ff326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Ifinatamab Deruxtecan Biologics License Application for Certain Patients with Previously Treated Extensive Stage Small Cell Lung Cancer Voluntarily Withdrawn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https://merck.com/news/ifinatamab-deruxtecan-biologics-license-application-for-certain-patients-with-previously-treated-extensive-stage-small-cell-lung-cancer-voluntarily-withdrawn/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 corrected version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https://www.daiichisankyo.com/files/investors/library/quarterly_result/2025/Q4/FY2025Q4_Presentation_Corrections_E.pdf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4568.T, 1305.T y 1621.T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https://finance.yahoo.com/quote/4568.T/history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cotización, capitalización, valor empresa y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Investors (calendario: FY2026 Q2 Financial Results Briefing, 30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datos financieros y estimaciones (ejercicios a marzo de 2022-2029)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(TYO:4568)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https://stockanalysis.com/quote/tyo/4568/forecast/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Q2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https://www.daiichisankyo.com/files/investors/library/quarterly_result/2025/Q2/FY2025Q2_Financial_Results_Presentation_E.pdf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Chugai Pharmaceutical (TYO:4519)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https://stockanalysis.com/quote/tyo/4519/statistics/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Takeda Pharmaceutical (TYO:4502)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Astellas Pharma (TYO:4503)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Otsuka Holdings (TYO:4578)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https://stockanalysis.com/quote/tyo/4578/statistics/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AstraZeneca (AZN)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Merck &amp; Co. (MRK)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https://stockanalysis.com/stocks/mrk/statistics/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Pfizer (PFE)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https://stockanalysis.com/stocks/pfe/statistics/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Roche Holding (SWX:ROG)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Invests $43 Billion to Battle Cancer (comunicado de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https://www.biospace.com/pfizer-invests-43-billion-to-battle-cancer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Ambrx, Advancing Next Generation Antibody Drug Conjugates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https://www.jnj.com/media-center/press-releases/johnson-johnson-to-acquire-ambrx-advancing-next-generation-antibody-drug-conjugates-to-transform-the-treatment-of-cancer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constant maturity yields),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Finanzas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demonstrated statistically significant PFS improvement in DESTINY-Lung04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https://www.daiichisankyo.com/files/news/pressrelease/pdf/202608/20260817_E.pdf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ninguna</w:t>
      </w:r>
      <w:r>
        <w:t xml:space="preserve"> · Generado el 8 oct 2026.</w:t>
      </w:r>
    </w:p>
    <w:p>
      <w:pPr>
        <w:pStyle w:val="Nota"/>
        <w:spacing w:after="100"/>
      </w:pPr>
      <w:r>
        <w:t xml:space="preserve">Una sola línea: Bolsa de Tokio (Prime), código 4568; el ADR sin patrocinio (DSNKY) no se usa. Cuentas NIIF en JPY. </w:t>
      </w:r>
      <w:r>
        <w:rPr>
          <w:b/>
        </w:rPr>
        <w:t xml:space="preserve">Ejercicio a marzo con la etiqueta de la empresa</w:t>
      </w:r>
      <w:r>
        <w:t xml:space="preserve">: «FY2025» es abril de 2025 a marzo de 2026 y los trimestres se nombran con ella («1T26» = abril-junio de 2026) [10]. </w:t>
      </w:r>
      <w:r>
        <w:rPr>
          <w:b/>
        </w:rPr>
        <w:t xml:space="preserve">Precio</w:t>
      </w:r>
      <w:r>
        <w:t xml:space="preserve">: cierre del 7-oct-2026 (2.702,5 JPY); la sesión del 8 había terminado, pero Yahoo Finance aún no publicaba su cierre al calcular [58]. </w:t>
      </w:r>
      <w:r>
        <w:rPr>
          <w:b/>
        </w:rPr>
        <w:t xml:space="preserve">FY2025 con las cifras corregidas</w:t>
      </w:r>
      <w:r>
        <w:t xml:space="preserve"> el 31-jul-2026 (gastos generales −28.958 M) [3]. </w:t>
      </w:r>
      <w:r>
        <w:rPr>
          <w:b/>
        </w:rPr>
        <w:t xml:space="preserve">Dos definiciones de beneficio operativo básico</w:t>
      </w:r>
      <w:r>
        <w:t xml:space="preserve">: hasta FY2025, sin ingresos y gastos temporales; desde FY2026, sin amortización de intangibles de producto y con la compensación a fabricantes dentro [16]; el informe usa el beneficio operativo publicado y aparta los no recurrentes con el mismo criterio en todos los años [2]. </w:t>
      </w:r>
      <w:r>
        <w:rPr>
          <w:b/>
        </w:rPr>
        <w:t xml:space="preserve">Ingresos diferidos</w:t>
      </w:r>
      <w:r>
        <w:t xml:space="preserve">: el margen EBITDA del DCF excluye la amortización no monetaria de los pagos iniciales de AstraZeneca y Merck, cuya caja ya está en el balance [1]. Los comparables extranjeros se pasan a JPY con los tipos del BCE del 7-oct-2026 [76]. Sin transcripción pública de las preguntas de los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Daiichi Sankyo Company, Limited (4568)</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Enhertu (trastuzumab deruxtecán)</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43500</c:v>
                </c:pt>
                <c:pt idx="1">
                  <c:v>80800</c:v>
                </c:pt>
                <c:pt idx="2">
                  <c:v>258400</c:v>
                </c:pt>
                <c:pt idx="3">
                  <c:v>449200</c:v>
                </c:pt>
                <c:pt idx="4">
                  <c:v>651400</c:v>
                </c:pt>
                <c:pt idx="5">
                  <c:v>819500</c:v>
                </c:pt>
              </c:numCache>
            </c:numRef>
          </c:val>
        </c:ser>
        <c:ser>
          <c:idx val="1"/>
          <c:order val="1"/>
          <c:tx>
            <c:strRef>
              <c:f>Hoja1!$C$1</c:f>
              <c:strCache>
                <c:ptCount val="1"/>
                <c:pt idx="0">
                  <c:v>Datroway (datopotamab deruxtecán)</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3900</c:v>
                </c:pt>
                <c:pt idx="1">
                  <c:v>6100</c:v>
                </c:pt>
                <c:pt idx="2">
                  <c:v>7100</c:v>
                </c:pt>
                <c:pt idx="3">
                  <c:v>6400</c:v>
                </c:pt>
                <c:pt idx="4">
                  <c:v>7800</c:v>
                </c:pt>
                <c:pt idx="5">
                  <c:v>56100</c:v>
                </c:pt>
              </c:numCache>
            </c:numRef>
          </c:val>
        </c:ser>
        <c:ser>
          <c:idx val="2"/>
          <c:order val="2"/>
          <c:tx>
            <c:strRef>
              <c:f>Hoja1!$D$1</c:f>
              <c:strCache>
                <c:ptCount val="1"/>
                <c:pt idx="0">
                  <c:v>Tres DXd con Merck &amp; Co. (HER3-DXd, I-DXd, R-DXd)</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0</c:v>
                </c:pt>
                <c:pt idx="1">
                  <c:v>0</c:v>
                </c:pt>
                <c:pt idx="2">
                  <c:v>0</c:v>
                </c:pt>
                <c:pt idx="3">
                  <c:v>12900</c:v>
                </c:pt>
                <c:pt idx="4">
                  <c:v>41800</c:v>
                </c:pt>
                <c:pt idx="5">
                  <c:v>49700</c:v>
                </c:pt>
              </c:numCache>
            </c:numRef>
          </c:val>
        </c:ser>
        <c:ser>
          <c:idx val="3"/>
          <c:order val="3"/>
          <c:tx>
            <c:strRef>
              <c:f>Hoja1!$E$1</c:f>
              <c:strCache>
                <c:ptCount val="1"/>
                <c:pt idx="0">
                  <c:v>Edoxabán (Lixiana/Savaysa)</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165900</c:v>
                </c:pt>
                <c:pt idx="1">
                  <c:v>205600</c:v>
                </c:pt>
                <c:pt idx="2">
                  <c:v>244000</c:v>
                </c:pt>
                <c:pt idx="3">
                  <c:v>287700</c:v>
                </c:pt>
                <c:pt idx="4">
                  <c:v>344000</c:v>
                </c:pt>
                <c:pt idx="5">
                  <c:v>367700</c:v>
                </c:pt>
              </c:numCache>
            </c:numRef>
          </c:val>
        </c:ser>
        <c:ser>
          <c:idx val="4"/>
          <c:order val="4"/>
          <c:tx>
            <c:strRef>
              <c:f>Hoja1!$F$1</c:f>
              <c:strCache>
                <c:ptCount val="1"/>
                <c:pt idx="0">
                  <c:v>American Regent (hierro IV y genéricos inyectables, EE. UU.)</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121700</c:v>
                </c:pt>
                <c:pt idx="1">
                  <c:v>149500</c:v>
                </c:pt>
                <c:pt idx="2">
                  <c:v>187400</c:v>
                </c:pt>
                <c:pt idx="3">
                  <c:v>203400</c:v>
                </c:pt>
                <c:pt idx="4">
                  <c:v>217200</c:v>
                </c:pt>
                <c:pt idx="5">
                  <c:v>182200</c:v>
                </c:pt>
              </c:numCache>
            </c:numRef>
          </c:val>
        </c:ser>
        <c:ser>
          <c:idx val="5"/>
          <c:order val="5"/>
          <c:tx>
            <c:strRef>
              <c:f>Hoja1!$G$1</c:f>
              <c:strCache>
                <c:ptCount val="1"/>
                <c:pt idx="0">
                  <c:v>Daiichi Sankyo Healthcare (OTC, en venta a Suntory)</c:v>
                </c:pt>
              </c:strCache>
            </c:strRef>
          </c:tx>
          <c:spPr>
            <a:solidFill>
              <a:srgbClr val="0083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Hoja1!$G$2:$G$7</c:f>
              <c:numCache>
                <c:formatCode>#,##0</c:formatCode>
                <c:ptCount val="6"/>
                <c:pt idx="0">
                  <c:v>67200</c:v>
                </c:pt>
                <c:pt idx="1">
                  <c:v>64700</c:v>
                </c:pt>
                <c:pt idx="2">
                  <c:v>70300</c:v>
                </c:pt>
                <c:pt idx="3">
                  <c:v>76000</c:v>
                </c:pt>
                <c:pt idx="4">
                  <c:v>86700</c:v>
                </c:pt>
                <c:pt idx="5">
                  <c:v>90700</c:v>
                </c:pt>
              </c:numCache>
            </c:numRef>
          </c:val>
        </c:ser>
        <c:ser>
          <c:idx val="6"/>
          <c:order val="6"/>
          <c:tx>
            <c:strRef>
              <c:f>Hoja1!$H$1</c:f>
              <c:strCache>
                <c:ptCount val="1"/>
                <c:pt idx="0">
                  <c:v>Otros</c:v>
                </c:pt>
              </c:strCache>
            </c:strRef>
          </c:tx>
          <c:spPr>
            <a:solidFill>
              <a:srgbClr val="4A3AA7"/>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Hoja1!$H$2:$H$7</c:f>
              <c:numCache>
                <c:formatCode>#,##0</c:formatCode>
                <c:ptCount val="6"/>
                <c:pt idx="0">
                  <c:v>560316</c:v>
                </c:pt>
                <c:pt idx="1">
                  <c:v>538192</c:v>
                </c:pt>
                <c:pt idx="2">
                  <c:v>511278</c:v>
                </c:pt>
                <c:pt idx="3">
                  <c:v>566088</c:v>
                </c:pt>
                <c:pt idx="4">
                  <c:v>537356</c:v>
                </c:pt>
                <c:pt idx="5">
                  <c:v>557145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Enhertu (trastuzumab deruxtecán)</c:v>
                </c:pt>
                <c:pt idx="1">
                  <c:v>Datroway (datopotamab deruxtecán)</c:v>
                </c:pt>
                <c:pt idx="2">
                  <c:v>Tres DXd con Merck &amp; Co. (HER3-DXd, I-DXd, R-DXd)</c:v>
                </c:pt>
                <c:pt idx="3">
                  <c:v>Edoxabán (Lixiana/Savaysa)</c:v>
                </c:pt>
                <c:pt idx="4">
                  <c:v>American Regent (hierro IV y genéricos inyectables, EE. UU.)</c:v>
                </c:pt>
                <c:pt idx="5">
                  <c:v>Daiichi Sankyo Healthcare (OTC, en venta a Suntory)</c:v>
                </c:pt>
                <c:pt idx="6">
                  <c:v>Otros</c:v>
                </c:pt>
              </c:strCache>
            </c:strRef>
          </c:cat>
          <c:val>
            <c:numRef>
              <c:f>Hoja1!$B$2:$B$8</c:f>
              <c:numCache>
                <c:formatCode>General</c:formatCode>
                <c:ptCount val="7"/>
                <c:pt idx="0">
                  <c:v>38.6</c:v>
                </c:pt>
                <c:pt idx="1">
                  <c:v>2.6</c:v>
                </c:pt>
                <c:pt idx="2">
                  <c:v>2.3</c:v>
                </c:pt>
                <c:pt idx="3">
                  <c:v>17.3</c:v>
                </c:pt>
                <c:pt idx="4">
                  <c:v>8.6</c:v>
                </c:pt>
                <c:pt idx="5">
                  <c:v>4.3</c:v>
                </c:pt>
                <c:pt idx="6">
                  <c:v>26.2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Japón</c:v>
                </c:pt>
                <c:pt idx="2">
                  <c:v>Europa</c:v>
                </c:pt>
                <c:pt idx="3">
                  <c:v>Otros (Asia, Latinoamérica y resto)</c:v>
                </c:pt>
              </c:strCache>
            </c:strRef>
          </c:cat>
          <c:val>
            <c:numRef>
              <c:f>Hoja1!$B$2:$B$5</c:f>
              <c:numCache>
                <c:formatCode>0"%"</c:formatCode>
                <c:ptCount val="4"/>
                <c:pt idx="0">
                  <c:v>35.3</c:v>
                </c:pt>
                <c:pt idx="1">
                  <c:v>27.3</c:v>
                </c:pt>
                <c:pt idx="2">
                  <c:v>23.4</c:v>
                </c:pt>
                <c:pt idx="3">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2023 de Biochempeg (cifra mínima, «más de 10.000»), 2025 de Global Market Insights; 2026e-2030e, estimación propia aplicando la TCAC del 11,2 %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2023</c:v>
                </c:pt>
                <c:pt idx="1">
                  <c:v>2025</c:v>
                </c:pt>
                <c:pt idx="2">
                  <c:v>2026e</c:v>
                </c:pt>
                <c:pt idx="3">
                  <c:v>2027e</c:v>
                </c:pt>
                <c:pt idx="4">
                  <c:v>2028e</c:v>
                </c:pt>
                <c:pt idx="5">
                  <c:v>2029e</c:v>
                </c:pt>
                <c:pt idx="6">
                  <c:v>2030e</c:v>
                </c:pt>
              </c:strCache>
            </c:strRef>
          </c:cat>
          <c:val>
            <c:numRef>
              <c:f>Hoja1!$B$2:$B$8</c:f>
              <c:numCache>
                <c:formatCode>#,##0</c:formatCode>
                <c:ptCount val="7"/>
                <c:pt idx="0">
                  <c:v>10000</c:v>
                </c:pt>
                <c:pt idx="1">
                  <c:v>16900</c:v>
                </c:pt>
                <c:pt idx="2">
                  <c:v>18793</c:v>
                </c:pt>
                <c:pt idx="3">
                  <c:v>20898</c:v>
                </c:pt>
                <c:pt idx="4">
                  <c:v>23238</c:v>
                </c:pt>
                <c:pt idx="5">
                  <c:v>25841</c:v>
                </c:pt>
                <c:pt idx="6">
                  <c:v>28735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Daiichi Sankyo</c:v>
                </c:pt>
                <c:pt idx="1">
                  <c:v>Roche</c:v>
                </c:pt>
                <c:pt idx="2">
                  <c:v>Pfizer (Seagen)</c:v>
                </c:pt>
                <c:pt idx="3">
                  <c:v>Gilead Sciences</c:v>
                </c:pt>
                <c:pt idx="4">
                  <c:v>AbbVie (ImmunoGen)</c:v>
                </c:pt>
                <c:pt idx="5">
                  <c:v>AstraZeneca (socio y competidor)</c:v>
                </c:pt>
                <c:pt idx="6">
                  <c:v>Bristol Myers Squibb (SystImmune)</c:v>
                </c:pt>
              </c:strCache>
            </c:strRef>
          </c:cat>
          <c:val>
            <c:numRef>
              <c:f>Hoja1!$B$2:$B$8</c:f>
              <c:numCache>
                <c:formatCode>0.0"%"</c:formatCode>
                <c:ptCount val="7"/>
                <c:pt idx="0">
                  <c:v>13.7</c:v>
                </c:pt>
                <c:pt idx="1">
                  <c:v>30</c:v>
                </c:pt>
                <c:pt idx="2">
                  <c:v>22.8</c:v>
                </c:pt>
                <c:pt idx="3">
                  <c:v>34</c:v>
                </c:pt>
                <c:pt idx="4">
                  <c:v>24.6</c:v>
                </c:pt>
                <c:pt idx="5">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960195</c:v>
                </c:pt>
                <c:pt idx="1">
                  <c:v>929717</c:v>
                </c:pt>
                <c:pt idx="2">
                  <c:v>981793</c:v>
                </c:pt>
                <c:pt idx="3">
                  <c:v>962516</c:v>
                </c:pt>
                <c:pt idx="4">
                  <c:v>1044892</c:v>
                </c:pt>
                <c:pt idx="5">
                  <c:v>1278478</c:v>
                </c:pt>
                <c:pt idx="6">
                  <c:v>1601688</c:v>
                </c:pt>
                <c:pt idx="7">
                  <c:v>1886256</c:v>
                </c:pt>
                <c:pt idx="8">
                  <c:v>2123045</c:v>
                </c:pt>
                <c:pt idx="9">
                  <c:v>2345965</c:v>
                </c:pt>
                <c:pt idx="10">
                  <c:v>2404614</c:v>
                </c:pt>
                <c:pt idx="11">
                  <c:v>2633052</c:v>
                </c:pt>
                <c:pt idx="12">
                  <c:v>2804201</c:v>
                </c:pt>
                <c:pt idx="13">
                  <c:v>2958432</c:v>
                </c:pt>
                <c:pt idx="14">
                  <c:v>3076769</c:v>
                </c:pt>
                <c:pt idx="15">
                  <c:v>3138304</c:v>
                </c:pt>
                <c:pt idx="16">
                  <c:v>3138304</c:v>
                </c:pt>
                <c:pt idx="17">
                  <c:v>3106921</c:v>
                </c:pt>
                <c:pt idx="18">
                  <c:v>3153525</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122962</c:v>
                </c:pt>
                <c:pt idx="1">
                  <c:v>129874</c:v>
                </c:pt>
                <c:pt idx="2">
                  <c:v>177711</c:v>
                </c:pt>
                <c:pt idx="3">
                  <c:v>136177</c:v>
                </c:pt>
                <c:pt idx="4">
                  <c:v>148870</c:v>
                </c:pt>
                <c:pt idx="5">
                  <c:v>190369</c:v>
                </c:pt>
                <c:pt idx="6">
                  <c:v>254834</c:v>
                </c:pt>
                <c:pt idx="7">
                  <c:v>381474</c:v>
                </c:pt>
                <c:pt idx="8">
                  <c:v>368007</c:v>
                </c:pt>
                <c:pt idx="9">
                  <c:v>351895</c:v>
                </c:pt>
                <c:pt idx="10">
                  <c:v>348669</c:v>
                </c:pt>
                <c:pt idx="11">
                  <c:v>408123</c:v>
                </c:pt>
                <c:pt idx="12">
                  <c:v>476714</c:v>
                </c:pt>
                <c:pt idx="13">
                  <c:v>547310</c:v>
                </c:pt>
                <c:pt idx="14">
                  <c:v>584586</c:v>
                </c:pt>
                <c:pt idx="15">
                  <c:v>596278</c:v>
                </c:pt>
                <c:pt idx="16">
                  <c:v>580586</c:v>
                </c:pt>
                <c:pt idx="17">
                  <c:v>559246</c:v>
                </c:pt>
                <c:pt idx="18">
                  <c:v>567634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64</c:v>
                </c:pt>
                <c:pt idx="1">
                  <c:v>60.8</c:v>
                </c:pt>
                <c:pt idx="2">
                  <c:v>65</c:v>
                </c:pt>
                <c:pt idx="3">
                  <c:v>64.9</c:v>
                </c:pt>
                <c:pt idx="4">
                  <c:v>66.2</c:v>
                </c:pt>
                <c:pt idx="5">
                  <c:v>71.6</c:v>
                </c:pt>
                <c:pt idx="6">
                  <c:v>74.1</c:v>
                </c:pt>
                <c:pt idx="7">
                  <c:v>78</c:v>
                </c:pt>
                <c:pt idx="8">
                  <c:v>68.5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12.8</c:v>
                </c:pt>
                <c:pt idx="1">
                  <c:v>14</c:v>
                </c:pt>
                <c:pt idx="2">
                  <c:v>18.1</c:v>
                </c:pt>
                <c:pt idx="3">
                  <c:v>14.1</c:v>
                </c:pt>
                <c:pt idx="4">
                  <c:v>14.2</c:v>
                </c:pt>
                <c:pt idx="5">
                  <c:v>14.9</c:v>
                </c:pt>
                <c:pt idx="6">
                  <c:v>15.9</c:v>
                </c:pt>
                <c:pt idx="7">
                  <c:v>20.2</c:v>
                </c:pt>
                <c:pt idx="8">
                  <c:v>17.3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7.9</c:v>
                </c:pt>
                <c:pt idx="1">
                  <c:v>9</c:v>
                </c:pt>
                <c:pt idx="2">
                  <c:v>12.7</c:v>
                </c:pt>
                <c:pt idx="3">
                  <c:v>8.2</c:v>
                </c:pt>
                <c:pt idx="4">
                  <c:v>8.7</c:v>
                </c:pt>
                <c:pt idx="5">
                  <c:v>9.6</c:v>
                </c:pt>
                <c:pt idx="6">
                  <c:v>12.2</c:v>
                </c:pt>
                <c:pt idx="7">
                  <c:v>16.6</c:v>
                </c:pt>
                <c:pt idx="8">
                  <c:v>13.7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6.3</c:v>
                </c:pt>
                <c:pt idx="1">
                  <c:v>10</c:v>
                </c:pt>
                <c:pt idx="2">
                  <c:v>13.1</c:v>
                </c:pt>
                <c:pt idx="3">
                  <c:v>7.9</c:v>
                </c:pt>
                <c:pt idx="4">
                  <c:v>6.4</c:v>
                </c:pt>
                <c:pt idx="5">
                  <c:v>8.5</c:v>
                </c:pt>
                <c:pt idx="6">
                  <c:v>12.5</c:v>
                </c:pt>
                <c:pt idx="7">
                  <c:v>15.7</c:v>
                </c:pt>
                <c:pt idx="8">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Hoja1!$B$2:$B$9</c:f>
              <c:numCache>
                <c:formatCode>0.0"%"</c:formatCode>
                <c:ptCount val="8"/>
                <c:pt idx="0">
                  <c:v>18.9</c:v>
                </c:pt>
                <c:pt idx="1">
                  <c:v>8.5</c:v>
                </c:pt>
                <c:pt idx="2">
                  <c:v>21.1</c:v>
                </c:pt>
                <c:pt idx="3">
                  <c:v>8.8</c:v>
                </c:pt>
                <c:pt idx="4">
                  <c:v>12.1</c:v>
                </c:pt>
                <c:pt idx="5">
                  <c:v>15.1</c:v>
                </c:pt>
                <c:pt idx="6">
                  <c:v>13.7</c:v>
                </c:pt>
                <c:pt idx="7">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88</c:v>
                </c:pt>
                <c:pt idx="1">
                  <c:v>165</c:v>
                </c:pt>
                <c:pt idx="2">
                  <c:v>115</c:v>
                </c:pt>
                <c:pt idx="3">
                  <c:v>88</c:v>
                </c:pt>
                <c:pt idx="4">
                  <c:v>93</c:v>
                </c:pt>
                <c:pt idx="5">
                  <c:v>100</c:v>
                </c:pt>
                <c:pt idx="6">
                  <c:v>104</c:v>
                </c:pt>
                <c:pt idx="7">
                  <c:v>120</c:v>
                </c:pt>
                <c:pt idx="8">
                  <c:v>127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182</c:v>
                </c:pt>
                <c:pt idx="1">
                  <c:v>176</c:v>
                </c:pt>
                <c:pt idx="2">
                  <c:v>184</c:v>
                </c:pt>
                <c:pt idx="3">
                  <c:v>217</c:v>
                </c:pt>
                <c:pt idx="4">
                  <c:v>225</c:v>
                </c:pt>
                <c:pt idx="5">
                  <c:v>303</c:v>
                </c:pt>
                <c:pt idx="6">
                  <c:v>385</c:v>
                </c:pt>
                <c:pt idx="7">
                  <c:v>452</c:v>
                </c:pt>
                <c:pt idx="8">
                  <c:v>378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239</c:v>
                </c:pt>
                <c:pt idx="1">
                  <c:v>313</c:v>
                </c:pt>
                <c:pt idx="2">
                  <c:v>288</c:v>
                </c:pt>
                <c:pt idx="3">
                  <c:v>321</c:v>
                </c:pt>
                <c:pt idx="4">
                  <c:v>335</c:v>
                </c:pt>
                <c:pt idx="5">
                  <c:v>426</c:v>
                </c:pt>
                <c:pt idx="6">
                  <c:v>490</c:v>
                </c:pt>
                <c:pt idx="7">
                  <c:v>509</c:v>
                </c:pt>
                <c:pt idx="8">
                  <c:v>310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70431</c:v>
                </c:pt>
                <c:pt idx="1">
                  <c:v>25420</c:v>
                </c:pt>
                <c:pt idx="2">
                  <c:v>134246</c:v>
                </c:pt>
                <c:pt idx="3">
                  <c:v>115208</c:v>
                </c:pt>
                <c:pt idx="4">
                  <c:v>48449</c:v>
                </c:pt>
                <c:pt idx="5">
                  <c:v>32588</c:v>
                </c:pt>
                <c:pt idx="6">
                  <c:v>460922</c:v>
                </c:pt>
                <c:pt idx="7">
                  <c:v>-151014</c:v>
                </c:pt>
                <c:pt idx="8">
                  <c:v>-89415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60282</c:v>
                </c:pt>
                <c:pt idx="1">
                  <c:v>93409</c:v>
                </c:pt>
                <c:pt idx="2">
                  <c:v>129074</c:v>
                </c:pt>
                <c:pt idx="3">
                  <c:v>75958</c:v>
                </c:pt>
                <c:pt idx="4">
                  <c:v>66972</c:v>
                </c:pt>
                <c:pt idx="5">
                  <c:v>109188</c:v>
                </c:pt>
                <c:pt idx="6">
                  <c:v>200731</c:v>
                </c:pt>
                <c:pt idx="7">
                  <c:v>295756</c:v>
                </c:pt>
                <c:pt idx="8">
                  <c:v>279728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5.3</c:v>
                </c:pt>
                <c:pt idx="1">
                  <c:v>7.2</c:v>
                </c:pt>
                <c:pt idx="2">
                  <c:v>9.5</c:v>
                </c:pt>
                <c:pt idx="3">
                  <c:v>7</c:v>
                </c:pt>
                <c:pt idx="4">
                  <c:v>8.2</c:v>
                </c:pt>
                <c:pt idx="5">
                  <c:v>10.1</c:v>
                </c:pt>
                <c:pt idx="6">
                  <c:v>13.8</c:v>
                </c:pt>
                <c:pt idx="7">
                  <c:v>22.3</c:v>
                </c:pt>
                <c:pt idx="8">
                  <c:v>20.4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7.3</c:v>
                </c:pt>
                <c:pt idx="1">
                  <c:v>7.3</c:v>
                </c:pt>
                <c:pt idx="2">
                  <c:v>7.3</c:v>
                </c:pt>
                <c:pt idx="3">
                  <c:v>7.3</c:v>
                </c:pt>
                <c:pt idx="4">
                  <c:v>7.3</c:v>
                </c:pt>
                <c:pt idx="5">
                  <c:v>7.3</c:v>
                </c:pt>
                <c:pt idx="6">
                  <c:v>7.3</c:v>
                </c:pt>
                <c:pt idx="7">
                  <c:v>7.3</c:v>
                </c:pt>
                <c:pt idx="8">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5.3</c:v>
                </c:pt>
                <c:pt idx="1">
                  <c:v>7.8</c:v>
                </c:pt>
                <c:pt idx="2">
                  <c:v>10.1</c:v>
                </c:pt>
                <c:pt idx="3">
                  <c:v>5.9</c:v>
                </c:pt>
                <c:pt idx="4">
                  <c:v>5.1</c:v>
                </c:pt>
                <c:pt idx="5">
                  <c:v>7.8</c:v>
                </c:pt>
                <c:pt idx="6">
                  <c:v>12.8</c:v>
                </c:pt>
                <c:pt idx="7">
                  <c:v>17.9</c:v>
                </c:pt>
                <c:pt idx="8">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-0.63</c:v>
                </c:pt>
                <c:pt idx="1">
                  <c:v>0.13</c:v>
                </c:pt>
                <c:pt idx="2">
                  <c:v>-0.89</c:v>
                </c:pt>
                <c:pt idx="3">
                  <c:v>-1.13</c:v>
                </c:pt>
                <c:pt idx="4">
                  <c:v>-3.02</c:v>
                </c:pt>
                <c:pt idx="5">
                  <c:v>-1.31</c:v>
                </c:pt>
                <c:pt idx="6">
                  <c:v>-1.93</c:v>
                </c:pt>
                <c:pt idx="7">
                  <c:v>-1.27</c:v>
                </c:pt>
                <c:pt idx="8">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FY2026</c:v>
                </c:pt>
                <c:pt idx="1">
                  <c:v>FY2027</c:v>
                </c:pt>
                <c:pt idx="2">
                  <c:v>FY2028</c:v>
                </c:pt>
                <c:pt idx="3">
                  <c:v>FY2030</c:v>
                </c:pt>
                <c:pt idx="4">
                  <c:v>FY2032</c:v>
                </c:pt>
                <c:pt idx="5">
                  <c:v>FY2035+</c:v>
                </c:pt>
              </c:strCache>
            </c:strRef>
          </c:cat>
          <c:val>
            <c:numRef>
              <c:f>Hoja1!$B$2:$B$7</c:f>
              <c:numCache>
                <c:formatCode>#,##0</c:formatCode>
                <c:ptCount val="6"/>
                <c:pt idx="0">
                  <c:v>404</c:v>
                </c:pt>
                <c:pt idx="1">
                  <c:v>816</c:v>
                </c:pt>
                <c:pt idx="2">
                  <c:v>20000</c:v>
                </c:pt>
                <c:pt idx="3">
                  <c:v>70000</c:v>
                </c:pt>
                <c:pt idx="4">
                  <c:v>70000</c:v>
                </c:pt>
                <c:pt idx="5">
                  <c:v>140000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0</c:v>
                </c:pt>
                <c:pt idx="1">
                  <c:v>0</c:v>
                </c:pt>
                <c:pt idx="2">
                  <c:v>0</c:v>
                </c:pt>
                <c:pt idx="3">
                  <c:v>4401</c:v>
                </c:pt>
                <c:pt idx="4">
                  <c:v>0</c:v>
                </c:pt>
                <c:pt idx="5">
                  <c:v>30812</c:v>
                </c:pt>
                <c:pt idx="6">
                  <c:v>6900</c:v>
                </c:pt>
                <c:pt idx="7">
                  <c:v>0</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46420</c:v>
                </c:pt>
                <c:pt idx="1">
                  <c:v>45339</c:v>
                </c:pt>
                <c:pt idx="2">
                  <c:v>45356</c:v>
                </c:pt>
                <c:pt idx="3">
                  <c:v>48946</c:v>
                </c:pt>
                <c:pt idx="4">
                  <c:v>51730</c:v>
                </c:pt>
                <c:pt idx="5">
                  <c:v>54616</c:v>
                </c:pt>
                <c:pt idx="6">
                  <c:v>67080</c:v>
                </c:pt>
                <c:pt idx="7">
                  <c:v>114317</c:v>
                </c:pt>
                <c:pt idx="8">
                  <c:v>128430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50085</c:v>
                </c:pt>
                <c:pt idx="1">
                  <c:v>45</c:v>
                </c:pt>
                <c:pt idx="2">
                  <c:v>85</c:v>
                </c:pt>
                <c:pt idx="3">
                  <c:v>100192</c:v>
                </c:pt>
                <c:pt idx="4">
                  <c:v>15</c:v>
                </c:pt>
                <c:pt idx="5">
                  <c:v>24</c:v>
                </c:pt>
                <c:pt idx="6">
                  <c:v>25</c:v>
                </c:pt>
                <c:pt idx="7">
                  <c:v>246066</c:v>
                </c:pt>
                <c:pt idx="8">
                  <c:v>150458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5</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The Master Trust Bank of Japan (cuenta fiduciaria)</c:v>
                </c:pt>
                <c:pt idx="1">
                  <c:v>Custody Bank of Japan (cuenta fiduciaria)</c:v>
                </c:pt>
                <c:pt idx="2">
                  <c:v>Sumitomo Mitsui Trust Asset Management</c:v>
                </c:pt>
                <c:pt idx="3">
                  <c:v>Nippon Life Insurance Company</c:v>
                </c:pt>
                <c:pt idx="4">
                  <c:v>Capital Research and Management Company</c:v>
                </c:pt>
                <c:pt idx="5">
                  <c:v>Mizuho Bank</c:v>
                </c:pt>
                <c:pt idx="6">
                  <c:v>Autocartera</c:v>
                </c:pt>
                <c:pt idx="7">
                  <c:v>Government of Norway</c:v>
                </c:pt>
                <c:pt idx="8">
                  <c:v>The Shizuoka Bank</c:v>
                </c:pt>
              </c:strCache>
            </c:strRef>
          </c:cat>
          <c:val>
            <c:numRef>
              <c:f>Hoja1!$B$2:$B$10</c:f>
              <c:numCache>
                <c:formatCode>0.0"%"</c:formatCode>
                <c:ptCount val="9"/>
                <c:pt idx="0">
                  <c:v>17.02</c:v>
                </c:pt>
                <c:pt idx="1">
                  <c:v>7</c:v>
                </c:pt>
                <c:pt idx="2">
                  <c:v>5.36</c:v>
                </c:pt>
                <c:pt idx="3">
                  <c:v>3.88</c:v>
                </c:pt>
                <c:pt idx="4">
                  <c:v>3.83</c:v>
                </c:pt>
                <c:pt idx="5">
                  <c:v>3.25</c:v>
                </c:pt>
                <c:pt idx="6">
                  <c:v>3.19</c:v>
                </c:pt>
                <c:pt idx="7">
                  <c:v>1.31</c:v>
                </c:pt>
                <c:pt idx="8">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26.2</c:v>
                </c:pt>
                <c:pt idx="2">
                  <c:v>21.6</c:v>
                </c:pt>
                <c:pt idx="3">
                  <c:v>108.6</c:v>
                </c:pt>
                <c:pt idx="4">
                  <c:v>48</c:v>
                </c:pt>
                <c:pt idx="5">
                  <c:v>-16.5</c:v>
                </c:pt>
                <c:pt idx="6">
                  <c:v>46.6</c:v>
                </c:pt>
                <c:pt idx="7">
                  <c:v>-8.2</c:v>
                </c:pt>
                <c:pt idx="8">
                  <c:v>13.8</c:v>
                </c:pt>
                <c:pt idx="9">
                  <c:v>-21.5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18.3</c:v>
                </c:pt>
                <c:pt idx="2">
                  <c:v>25.6</c:v>
                </c:pt>
                <c:pt idx="3">
                  <c:v>26.3</c:v>
                </c:pt>
                <c:pt idx="4">
                  <c:v>44.9</c:v>
                </c:pt>
                <c:pt idx="5">
                  <c:v>31.5</c:v>
                </c:pt>
                <c:pt idx="6">
                  <c:v>47.3</c:v>
                </c:pt>
                <c:pt idx="7">
                  <c:v>33.9</c:v>
                </c:pt>
                <c:pt idx="8">
                  <c:v>16.2</c:v>
                </c:pt>
                <c:pt idx="9">
                  <c:v>13.6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26.3</c:v>
                </c:pt>
                <c:pt idx="1">
                  <c:v>26.3</c:v>
                </c:pt>
                <c:pt idx="2">
                  <c:v>26.3</c:v>
                </c:pt>
                <c:pt idx="3">
                  <c:v>26.3</c:v>
                </c:pt>
                <c:pt idx="4">
                  <c:v>26.3</c:v>
                </c:pt>
                <c:pt idx="5">
                  <c:v>26.3</c:v>
                </c:pt>
                <c:pt idx="6">
                  <c:v>26.3</c:v>
                </c:pt>
                <c:pt idx="7">
                  <c:v>26.3</c:v>
                </c:pt>
                <c:pt idx="8">
                  <c:v>26.3</c:v>
                </c:pt>
                <c:pt idx="9">
                  <c:v>26.3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Daiichi Sankyo</c:v>
                </c:pt>
                <c:pt idx="1">
                  <c:v>Chugai Pharmaceutical</c:v>
                </c:pt>
                <c:pt idx="2">
                  <c:v>Takeda Pharmaceutical</c:v>
                </c:pt>
                <c:pt idx="3">
                  <c:v>Astellas Pharma</c:v>
                </c:pt>
                <c:pt idx="4">
                  <c:v>Otsuka Holdings</c:v>
                </c:pt>
                <c:pt idx="5">
                  <c:v>AstraZeneca</c:v>
                </c:pt>
                <c:pt idx="6">
                  <c:v>Merck &amp; Co.</c:v>
                </c:pt>
                <c:pt idx="7">
                  <c:v>Pfizer</c:v>
                </c:pt>
                <c:pt idx="8">
                  <c:v>Roche Holding</c:v>
                </c:pt>
              </c:strCache>
            </c:strRef>
          </c:cat>
          <c:val>
            <c:numRef>
              <c:f>Hoja1!$B$2:$B$10</c:f>
              <c:numCache>
                <c:formatCode>0.0"x"</c:formatCode>
                <c:ptCount val="9"/>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36326</c:v>
                </c:pt>
                <c:pt idx="1">
                  <c:v>183322</c:v>
                </c:pt>
                <c:pt idx="2">
                  <c:v>174175</c:v>
                </c:pt>
                <c:pt idx="3">
                  <c:v>252766</c:v>
                </c:pt>
                <c:pt idx="4">
                  <c:v>291542</c:v>
                </c:pt>
                <c:pt idx="5">
                  <c:v>335959</c:v>
                </c:pt>
                <c:pt idx="6">
                  <c:v>365366</c:v>
                </c:pt>
                <c:pt idx="7">
                  <c:v>344429</c:v>
                </c:pt>
                <c:pt idx="8">
                  <c:v>338749</c:v>
                </c:pt>
                <c:pt idx="9">
                  <c:v>320293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1814142</c:v>
                </c:pt>
                <c:pt idx="1">
                  <c:v>3159563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2.702,50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1758.5</c:v>
                </c:pt>
                <c:pt idx="1">
                  <c:v>2957.44</c:v>
                </c:pt>
                <c:pt idx="2">
                  <c:v>4235.59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