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Sartorius Stedim Biotech S.A.</w:t>
      </w:r>
    </w:p>
    <w:p>
      <w:pPr>
        <w:spacing w:after="60"/>
        <w:rPr>
          <w:color w:val="52514E"/>
          <w:sz w:val="22"/>
          <w:szCs w:val="22"/>
        </w:rPr>
      </w:pPr>
      <w:r>
        <w:rPr>
          <w:color w:val="52514E"/>
          <w:sz w:val="22"/>
          <w:szCs w:val="22"/>
        </w:rPr>
        <w:t xml:space="preserve">DIM · Euronext París · ISIN FR0013154002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210,60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217,11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+3,4 % (base +12,1 %)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100,58 EUR · mercado 125,95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20.491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21,9x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Sartorius Stedim Biotech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DIM / FR0013154002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 (bioprocesado)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Aubagne (Francia) · 1978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https://www.sartorius.com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210,60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225,00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20.491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17,7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217,11 EUR</w:t>
      </w:r>
      <w:r>
        <w:t xml:space="preserve"> frente a 210,60 · Rentabilidad a 12 meses </w:t>
      </w:r>
      <w:r>
        <w:rPr>
          <w:b/>
          <w:bCs/>
        </w:rPr>
        <w:t xml:space="preserve">+3,4 % (base +12,1 %)</w:t>
      </w:r>
      <w:r>
        <w:t xml:space="preserve"> · Valor intrínseco 100,58 EUR · con la prima implícita del mercado: 125,95 (-40,2 %) · Alcista / bajista -46,9 % / -69,4 %</w:t>
      </w:r>
    </w:p>
    <w:p>
      <w:pPr>
        <w:spacing w:after="100"/>
      </w:pPr>
      <w:r>
        <w:rPr>
          <w:b/>
        </w:rPr>
        <w:t xml:space="preserve">La recomendación y por qué.</w:t>
      </w:r>
      <w:r>
        <w:t xml:space="preserve"> Mantener con convicción media. Nuestro objetivo a 12 meses es de 217,11 EUR, que con el dividendo da una rentabilidad ponderada del 3,4 % y del 12,1 % en el caso base, frente a un precio de 210,60 EUR (cierre del 23-oct-2026). El valor intrínseco es de 100,58 EUR, un 52,2 % por debajo, y el objetivo medio de los 14 analistas (246,86) queda por encima de nuestro base (235,30). La asimetría es mala (0,65): el alcista gana un 21,0 % y el bajista pierde un 31,4 %. La regla del valor intrínseco daría Vender (−51,9 % hasta 100,58 EUR), pero manda la de 12 meses: es una empresa cara sin catalizador bajista con fecha, no una venta a un año. La convicción es media porque las dos reglas de 12 meses coinciden y la ponderada está lejos de los umbrales; pasaría a Vender por encima de 241,99 EUR o con una guía de 2027 por debajo del 8 % el 23-feb.</w:t>
      </w:r>
    </w:p>
    <w:p>
      <w:pPr>
        <w:spacing w:after="100"/>
      </w:pPr>
      <w:r>
        <w:rPr>
          <w:b/>
        </w:rPr>
        <w:t xml:space="preserve">Qué ha cambiado desde el 14-oct.</w:t>
      </w:r>
      <w:r>
        <w:t xml:space="preserve"> Los resultados de 9M26 confirmaron la guía sin sorpresa: +7,8 % operativo, margen subyacente del 31,3 % y BPA subyacente de 3,59 EUR (+9,4 %); el capex se rebajó al 13 % y la deuda bajó a 2,26 veces el EBITDA [12]. Subimos las ventas de 2026 (+5,4 % frente a +4,8 %) y el BPA de 2028 (6,50 frente a 6,44), el Bund baja al 3,39 % y el precio baja un 2,7 %. Por eso la ponderada pasa del 1,6 % al 3,4 % y el base del 10,4 % al 12,1 % [55]. La señal no cambia.</w:t>
      </w:r>
    </w:p>
    <w:p>
      <w:pPr>
        <w:spacing w:after="100"/>
      </w:pPr>
      <w:r>
        <w:rPr>
          <w:b/>
        </w:rPr>
        <w:t xml:space="preserve">El negocio.</w:t>
      </w:r>
      <w:r>
        <w:t xml:space="preserve"> Sartorius Stedim es uno de los cuatro grandes proveedores de bioprocesado, con un 86 % de ventas recurrentes que quedan fijadas en el expediente regulatorio de cada medicamento [3]. El foso es amplio, pero la empresa no crea valor con su capital: ROIC del 6,0 % frente a un WACC del 8,76 %, tras pagar 2.400 M por Polyplus. La sostenibilidad del crecimiento es «En parte»: el 7,2 % medio es financiable con la capacidad construida, pero el ROIC total sigue bajo el WACC y la empresa incumplió su último plan (4.400 M en 2025; real, 2.967 M).</w:t>
      </w:r>
    </w:p>
    <w:p>
      <w:pPr>
        <w:spacing w:after="100"/>
      </w:pPr>
      <w:r>
        <w:rPr>
          <w:b/>
        </w:rPr>
        <w:t xml:space="preserve">Equipo y gobierno.</w:t>
      </w:r>
      <w:r>
        <w:t xml:space="preserve"> Resta. Sartorius AG tiene el 71,5 % del capital y el 82,9 % de los votos, presta casi toda la deuda y cobra servicios y un canon de marca que ya resta 25 pb de margen [1, 13]. En la junta de 2026 el 66 % del capital libre votó contra la remuneración del consejero delegado [16]. La dirección descartó el 22-oct excluir SSB de bolsa: la opción de una oferta con prima pierde fuerza [15].</w:t>
      </w:r>
    </w:p>
    <w:p>
      <w:pPr>
        <w:spacing w:after="100"/>
      </w:pPr>
      <w:r>
        <w:rPr>
          <w:b/>
        </w:rPr>
        <w:t xml:space="preserve">Valoración.</w:t>
      </w:r>
      <w:r>
        <w:t xml:space="preserve"> El DCF inverso exige un crecimiento del 21,4 % anual hasta 2033 o un margen del 56 %. La acción cotiza a 36,9 veces nuestro BPA subyacente de 2027, sobre la mediana limpia de cinco años (35,5x) y muy sobre los comparables (27,4x). La v2 de control da un 19,9 % (solo tres años limpios al cierre); decide la v3.</w:t>
      </w:r>
    </w:p>
    <w:p>
      <w:pPr>
        <w:spacing w:after="100"/>
      </w:pPr>
      <w:r>
        <w:rPr>
          <w:b/>
        </w:rPr>
        <w:t xml:space="preserve">Riesgos y catalizadores.</w:t>
      </w:r>
      <w:r>
        <w:t xml:space="preserve"> Primero, que el múltiplo vuelva al mínimo (25,3x: −31 %). Segundo, una guía de 2027 floja el 23-feb: la dirección no quiso adelantarla y sitúa los pedidos de capacidad de finales de 2027 a 2028 [15]. La IA es un riesgo bajo: los consumibles se gastan en cada lote comercial. Los foros apenas debatieron los resultados.</w:t>
      </w:r>
    </w:p>
    <w:p>
      <w:pPr>
        <w:spacing w:after="100"/>
      </w:pPr>
      <w:r>
        <w:rPr>
          <w:b/>
        </w:rPr>
        <w:t xml:space="preserve">Qué cambiaría la decisión.</w:t>
      </w:r>
      <w:r>
        <w:t xml:space="preserve"> Comprar por debajo de 100,58 EUR (manda el valor intrínseco); vender por encima de 241,99 EUR. Pasaríamos a Vender si la guía de 2027 queda por debajo del 8 % o si el margen subyacente del 4T26 baja del 30,5 %.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217,11 EUR</w:t>
      </w:r>
      <w:r>
        <w:t xml:space="preserve"> (rentabilidad +3,4 % (base +12,1 %)) · Valor intrínseco: 100,58 EUR (-52,2 % sobre 210,60) · con la prima implícita del mercado: 125,95 (-40,2 %)</w:t>
      </w:r>
    </w:p>
    <w:p>
      <w:pPr>
        <w:spacing w:after="100"/>
      </w:pPr>
      <w:r>
        <w:t xml:space="preserve">Sartorius Stedim Biotech fabrica los consumibles y equipos con los que se producen los medicamentos biológicos. El 86 % de sus ventas es recurrente y queda fijado en el expediente regulatorio de cada fármaco, lo que le da un foso amplio y un margen EBITDA subyacente del 31,3 % en 9M26 [3, 12]. Tras el auge de la pandemia y el desestocaje de 2023-2024, las ventas vuelven a crecer (+9,6 % en 2025, +7,8 % operativo en 9M26).</w:t>
      </w:r>
    </w:p>
    <w:p>
      <w:pPr>
        <w:spacing w:after="100"/>
      </w:pPr>
      <w:r>
        <w:t xml:space="preserve">El precio de 210,60 EUR descuenta mucho: 36,9 veces nuestro BPA subyacente de 2027, 21,9 veces el EBITDA de los próximos 12 meses y, en el DCF inverso, un crecimiento del 21,4 % anual hasta 2033 con un WACC del 8,76 %. Los comparables cotizan a una mediana de 27,4 veces.</w:t>
      </w:r>
    </w:p>
    <w:p>
      <w:pPr>
        <w:spacing w:after="100"/>
      </w:pPr>
      <w:r>
        <w:t xml:space="preserve">El mercado acierta en la calidad del negocio y en la recuperación del ciclo, pero ya la cobra. Para invertir hay que creer que la empresa cumplirá esta vez su plan del 9-12 % anual, que el múltiplo no volverá a la zona de 25-30 veces de 2017-2018 y que el ROIC volverá a superar al WACC. Con nuestra proyección, en el extremo bajo del plan, el objetivo a 12 meses apenas mejora el precio (+3,4 %).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 × 5,68 = 143,70 · 36,2x × 6,50 = 235,30 · 36,2x × 7,02 = 254,12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 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246,86 (nuestro base -4,7 %)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 / -69,4 %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frente a 8,8 %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 frente a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100,58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100,58 y 241,99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241,99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241,99 EUR: Vender (ponderada a 12 meses ≤ −10 %).</w:t>
      </w:r>
    </w:p>
    <w:p>
      <w:pPr>
        <w:pStyle w:val="ListParagraph"/>
        <w:numPr>
          <w:ilvl w:val="0"/>
          <w:numId w:val="2"/>
        </w:numPr>
        <w:spacing w:after="60"/>
      </w:pPr>
      <w:r>
        <w:t xml:space="preserve">Precio por debajo de 100,58 EUR: Comprar (el valor intrínseco limita; con la regla a 12 meses sola, la ponderada pasaría del 15 % por debajo de ≈189 EUR).</w:t>
      </w:r>
    </w:p>
    <w:p>
      <w:pPr>
        <w:pStyle w:val="ListParagraph"/>
        <w:numPr>
          <w:ilvl w:val="0"/>
          <w:numId w:val="2"/>
        </w:numPr>
        <w:spacing w:after="60"/>
      </w:pPr>
      <w:r>
        <w:t xml:space="preserve">Guía de 2027 (23-feb) por debajo del 8 % de crecimiento a tipos constantes: Vender.</w:t>
      </w:r>
    </w:p>
    <w:p>
      <w:pPr>
        <w:pStyle w:val="ListParagraph"/>
        <w:numPr>
          <w:ilvl w:val="0"/>
          <w:numId w:val="2"/>
        </w:numPr>
        <w:spacing w:after="60"/>
      </w:pPr>
      <w:r>
        <w:t xml:space="preserve">Margen EBITDA subyacente del 4T26 por debajo del 30,5 % o equipos en negativo: Vender.</w:t>
      </w:r>
    </w:p>
    <w:p>
      <w:pPr>
        <w:pStyle w:val="ListParagraph"/>
        <w:numPr>
          <w:ilvl w:val="0"/>
          <w:numId w:val="2"/>
        </w:numPr>
        <w:spacing w:after="60"/>
      </w:pPr>
      <w:r>
        <w:t xml:space="preserve">Oferta de Sartorius AG por los minoritarios: revisar con la prima ofrecida.</w:t>
      </w:r>
    </w:p>
    <w:p>
      <w:pPr>
        <w:pStyle w:val="Heading2"/>
      </w:pPr>
      <w:r>
        <w:t xml:space="preserve">Dónde discrepamos del mercado</w:t>
      </w:r>
    </w:p>
    <w:p>
      <w:pPr>
        <w:keepNext/>
        <w:spacing w:after="100"/>
      </w:pPr>
      <w:r>
        <w:rPr>
          <w:b/>
          <w:bCs/>
        </w:rPr>
        <w:t xml:space="preserve">Lo que descuenta el precio.</w:t>
      </w:r>
    </w:p>
    <w:p>
      <w:pPr>
        <w:spacing w:after="100"/>
      </w:pPr>
      <w:r>
        <w:t xml:space="preserve">Una vuelta al crecimiento de dos dígitos desde 2027 (consenso de ventas +11,1 %), un margen que sube hacia el 33-34 % y un múltiplo que se mantiene cerca de 37-40 veces el beneficio subyacente, como en 2024-2025. Los 14 analistas (consenso «comprar») ponen el objetivo medio en 246,86 EUR y lo han subido tras los resultados.</w:t>
      </w:r>
    </w:p>
    <w:p>
      <w:pPr>
        <w:keepNext/>
        <w:spacing w:after="100"/>
      </w:pPr>
      <w:r>
        <w:rPr>
          <w:b/>
          <w:bCs/>
        </w:rPr>
        <w:t xml:space="preserve">Lo que creemos nosotros.</w:t>
      </w:r>
    </w:p>
    <w:p>
      <w:pPr>
        <w:spacing w:after="100"/>
      </w:pPr>
      <w:r>
        <w:t xml:space="preserve">Crecimiento del 9,0-9,5 % (el extremo bajo del plan), margen subyacente del 32,7 % en 2028 y un múltiplo que converge despacio hacia su mediana limpia (35,5x). Nuestro precio base queda un 4,7 % bajo el de los analistas; la diferencia está en el riesgo: la asimetría es mala y el valor intrínseco está muy lejos.</w:t>
      </w:r>
    </w:p>
    <w:p>
      <w:pPr>
        <w:keepNext/>
        <w:spacing w:after="100"/>
      </w:pPr>
      <w:r>
        <w:rPr>
          <w:b/>
          <w:bCs/>
        </w:rPr>
        <w:t xml:space="preserve">Por qué podemos tener razón.</w:t>
      </w:r>
    </w:p>
    <w:p>
      <w:pPr>
        <w:spacing w:after="100"/>
      </w:pPr>
      <w:r>
        <w:t xml:space="preserve">La empresa ya incumplió su plan anterior por un 33 %; el ROIC (6,0 %) está por debajo del WACC después de las compras; y el gobierno resta (canon de marca creciente, minoritarios que votan en contra sin efecto, sin salida de bolsa a la vista). Nada de eso está en el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0,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Foso regulatorio</w:t>
      </w:r>
      <w:r>
        <w:t xml:space="preserve">: el 86 % de las ventas es recurrente y queda fijado en el proceso validado de cada fármaco [3].</w:t>
      </w:r>
    </w:p>
    <w:p>
      <w:pPr>
        <w:pStyle w:val="ListParagraph"/>
        <w:numPr>
          <w:ilvl w:val="0"/>
          <w:numId w:val="2"/>
        </w:numPr>
        <w:spacing w:after="60"/>
      </w:pPr>
      <w:r>
        <w:rPr>
          <w:b/>
        </w:rPr>
        <w:t xml:space="preserve">Recuperación confirmada</w:t>
      </w:r>
      <w:r>
        <w:t xml:space="preserve">: +7,8 % operativo en 9M26 y +7,4 % en el 3T, por encima del +5,0 % de Danaher Biotecnología [12, 27].</w:t>
      </w:r>
    </w:p>
    <w:p>
      <w:pPr>
        <w:pStyle w:val="ListParagraph"/>
        <w:numPr>
          <w:ilvl w:val="0"/>
          <w:numId w:val="2"/>
        </w:numPr>
        <w:spacing w:after="60"/>
      </w:pPr>
      <w:r>
        <w:rPr>
          <w:b/>
        </w:rPr>
        <w:t xml:space="preserve">Caja al alza</w:t>
      </w:r>
      <w:r>
        <w:t xml:space="preserve">: flujo libre de 264,3 M en 9M26 (+58,5 %) con el capex rebajado al 10,1 % de las ventas [12].</w:t>
      </w:r>
    </w:p>
    <w:p>
      <w:pPr>
        <w:pStyle w:val="ListParagraph"/>
        <w:numPr>
          <w:ilvl w:val="0"/>
          <w:numId w:val="2"/>
        </w:numPr>
        <w:spacing w:after="60"/>
      </w:pPr>
      <w:r>
        <w:rPr>
          <w:b/>
        </w:rPr>
        <w:t xml:space="preserve">Deuda a la baja</w:t>
      </w:r>
      <w:r>
        <w:t xml:space="preserve">: 2,26 veces el EBITDA subyacente en septiembre y «algo por encima de 2» a final de año [12].</w:t>
      </w:r>
    </w:p>
    <w:p>
      <w:pPr>
        <w:pStyle w:val="ListParagraph"/>
        <w:numPr>
          <w:ilvl w:val="0"/>
          <w:numId w:val="2"/>
        </w:numPr>
        <w:spacing w:after="60"/>
      </w:pPr>
      <w:r>
        <w:rPr>
          <w:b/>
        </w:rPr>
        <w:t xml:space="preserve">Analistas al alza</w:t>
      </w:r>
      <w:r>
        <w:t xml:space="preserve">: objetivo medio de 246,86 EUR, de 232 en julio; BNP a 260 tras los resultados [32, 42].</w:t>
      </w:r>
    </w:p>
    <w:p>
      <w:pPr>
        <w:pStyle w:val="Heading2"/>
      </w:pPr>
      <w:r>
        <w:t xml:space="preserve">En contra</w:t>
      </w:r>
    </w:p>
    <w:p>
      <w:pPr>
        <w:pStyle w:val="ListParagraph"/>
        <w:numPr>
          <w:ilvl w:val="0"/>
          <w:numId w:val="2"/>
        </w:numPr>
        <w:spacing w:after="60"/>
      </w:pPr>
      <w:r>
        <w:rPr>
          <w:b/>
        </w:rPr>
        <w:t xml:space="preserve">Valoración exigente</w:t>
      </w:r>
      <w:r>
        <w:t xml:space="preserve">: 36,9 veces el BPA subyacente de 2027 y valor intrínseco de 100,58 EUR (−52,2 %).</w:t>
      </w:r>
    </w:p>
    <w:p>
      <w:pPr>
        <w:pStyle w:val="ListParagraph"/>
        <w:numPr>
          <w:ilvl w:val="0"/>
          <w:numId w:val="2"/>
        </w:numPr>
        <w:spacing w:after="60"/>
      </w:pPr>
      <w:r>
        <w:rPr>
          <w:b/>
        </w:rPr>
        <w:t xml:space="preserve">ROIC bajo</w:t>
      </w:r>
      <w:r>
        <w:t xml:space="preserve">: 6,0 % frente a un WACC del 8,76 % tras pagar 2.400 M por Polyplus.</w:t>
      </w:r>
    </w:p>
    <w:p>
      <w:pPr>
        <w:pStyle w:val="ListParagraph"/>
        <w:numPr>
          <w:ilvl w:val="0"/>
          <w:numId w:val="2"/>
        </w:numPr>
        <w:spacing w:after="60"/>
      </w:pPr>
      <w:r>
        <w:rPr>
          <w:b/>
        </w:rPr>
        <w:t xml:space="preserve">Historial de objetivos incumplidos</w:t>
      </w:r>
      <w:r>
        <w:t xml:space="preserve">: 4.400 M y &gt; 35 % de margen prometidos para 2025; real, 2.967 M y 30,8 % [7].</w:t>
      </w:r>
    </w:p>
    <w:p>
      <w:pPr>
        <w:pStyle w:val="ListParagraph"/>
        <w:numPr>
          <w:ilvl w:val="0"/>
          <w:numId w:val="2"/>
        </w:numPr>
        <w:spacing w:after="60"/>
      </w:pPr>
      <w:r>
        <w:rPr>
          <w:b/>
        </w:rPr>
        <w:t xml:space="preserve">Gobierno de filial</w:t>
      </w:r>
      <w:r>
        <w:t xml:space="preserve">: 66 % de los votos libres contra la remuneración del consejero delegado y un canon de marca que resta 25 pb de margen [13, 16].</w:t>
      </w:r>
    </w:p>
    <w:p>
      <w:pPr>
        <w:pStyle w:val="ListParagraph"/>
        <w:numPr>
          <w:ilvl w:val="0"/>
          <w:numId w:val="2"/>
        </w:numPr>
        <w:spacing w:after="60"/>
      </w:pPr>
      <w:r>
        <w:rPr>
          <w:b/>
        </w:rPr>
        <w:t xml:space="preserve">Asimetría desfavorable</w:t>
      </w:r>
      <w:r>
        <w:t xml:space="preserve">: +21,0 % en el alcista frente a −31,4 % en el bajista.</w:t>
      </w:r>
    </w:p>
    <w:p>
      <w:pPr>
        <w:pStyle w:val="Heading2"/>
      </w:pPr>
      <w:r>
        <w:t xml:space="preserve">Qué tiene que pasar para que la tesis funcione</w:t>
      </w:r>
    </w:p>
    <w:p>
      <w:pPr>
        <w:spacing w:after="100"/>
      </w:pPr>
      <w:r>
        <w:t xml:space="preserve">La tesis depende de que los equipos sigan creciendo y de que el margen subyacente pase del 31 % al 32-33 % en 2027 sin ayudas técnicas de aranceles ni nuevos cargos de la matriz. La señal de que no se cumple: una guía de 2027 por debajo del 8 % de crecimiento a tipos constantes el 23-feb-2027 o equipos en negativo en el 4T26. Vigilar también el canon y los servicios de Sartorius AG con el modelo operativo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en 9M26 (7,8 %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 (9M26); 31,1 % en el 3T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+60-85 pb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equipos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Ligero crecimiento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cíclica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a final de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algo por encima de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extraordinarias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M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 M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Distancia entre BPA subyacente y publicado.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 / 21,9x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63,2x / 44,2x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Sartorius nació en Gotinga en 1870 como taller de balanzas; Stedim, en Aubagne, fabricaba bolsas de un solo uso para la industria farmacéutica. En 2007 Sartorius AG aportó su división de biotecnología a la cotizada francesa Stedim y nació Sartorius Stedim Biotech, controlada por la matriz alemana. Con la sustitución del acero por el plástico de un solo uso en la fabricación de biológicos, las ventas pasaron de ≈1.000 M en 2015 a 3.493 M en 2022, con un salto por la pandemia; en 2023 el desestocaje de los clientes las bajó un 18,7 % y la compra de Polyplus (2.400 M) disparó la deuda [1, 7, 22]. Desde 2023 el consejero delegado es René Fáber; Joachim Kreuzburg, presidente desde 2007, dejó el consejo en junio de 2025 y le sustituyó Michael Grosse, consejero delegado de Sartorius AG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Stedim empieza en Aubagne con bolsas de un solo uso para soluciones parenterales.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la biotecnología de Sartorius AG con Stedim: nace Sartorius Stedim Biotech, controlada por Sartorius AG.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6 por 1; entra en el SBF 120 y luego en el CAC 40 (2017).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ventas +33 % y +51 %; compras de BIA Separations, Biosafe y CellGenix.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4.400 M de ventas y margen &gt; 35 % para 2025 (luego incumplido: 2.967 M y 30,8 %).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ventas −18,7 % a tipos constantes; compra de Polyplus por 2.400 M financiada con deuda de la matriz.</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1.194 M para bajar la deuda; ventas planas.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(+9,6 %); Michael Grosse sustituye a Kreuzburg en la presidencia.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con objetivos del 9-12 % anual desde 2027; devolución de aranceles de EE. UU.; 9M26 +7,8 % operativo y guía confirmada (22-oct).</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Sartorius Stedim Biotech (SSB) vende la tecnología con la que las farmacéuticas, las biotecnológicas y los fabricantes por encargo producen medicamentos biológicos: líneas celulares y medios de cultivo, biorreactores de un solo uso (de 15 ml a 2.000 litros, con el Ambr para desarrollo), bolsas y sistemas para manipular y almacenar fluidos, filtros y membranas, cromatografía y purificación, y software de análisis de proceso [1]. Con Polyplus (2023) añadió reactivos de transfección para terapias génicas. Fabrica en Francia (Aubagne), Alemania (Gotinga), EE. UU., Reino Unido, Suiza, India, China y Corea (Songdo) [1]. Vende en todo el mundo: EMEA 42,9 %, Américas 34,2 % y Asia-Pacífico 22,9 % de las ventas de 9M26 [12]. Tiene un único segmento (Biopharm); el 86,3 % de las ventas del 1S26 fueron consumibles y servicios y el 13,7 %, equipos [3]. Desde 2027 el grupo Sartorius informará de un segmento «Bioprocessing Solutions» que coincide con SSB [13].</w:t>
      </w:r>
    </w:p>
    <w:p>
      <w:pPr>
        <w:pStyle w:val="Heading2"/>
      </w:pPr>
      <w:r>
        <w:t xml:space="preserve">Cómo gana dinero</w:t>
      </w:r>
    </w:p>
    <w:p>
      <w:pPr>
        <w:spacing w:after="100"/>
      </w:pPr>
      <w:r>
        <w:t xml:space="preserve">El negocio es de «cuchilla y maquinilla»: el biorreactor o el sistema se vende una vez y después cada lote de producción consume bolsas, filtros, medios y resinas que el cliente no puede cambiar sin revalidar el proceso ante la FDA o la EMA. Por eso el 86 % de las ventas es recurrente y el margen EBITDA subyacente ronda el 31 % (31,3 % en 9M26) [3, 12]. El margen depende sobre todo del volumen: con fábricas dimensionadas para la demanda de la pandemia, la caída de ventas de 2023 bajó el margen del 35,0 % de 2022 al 28,3 %, y la recuperación lo ha devuelto al 30,8 % en 2025 [2]. Los equipos tienen menos margen y son cíclicos (dependen de la inversión en capacidad de los clientes). Parte del margen se va a la matriz: el canon de marca subió en 2026 y restó 25 pb en 9M26 [13]. No hay estacionalidad marcada; sí ciclos de existencias de los clientes, como el desestocaje de 2023-2024.</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 y servicios (recurrente)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(no recurrente)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 y servicios (recurrente)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(no recurrente)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grandes farmacéuticas, biotecnológicas y fabricantes por encargo (CDMO como Lonza, Samsung Biologics o Fujifilm). La empresa no publica la concentración, pero sí que ningún cliente pesa de forma material [1]. La relación es larga: el proveedor entra en el expediente regulatorio del medicamento y sale cuando el medicamento deja de fabricarse. El poder de precios se vio en la inflación de 2022-2023, cuando la empresa subió precios y elevó su objetivo de ventas para 2025 «por los mayores precios» [7]; en 2025 repercutió los aranceles de EE. UU. a los clientes y en 2026 les devuelve los recargos tras la sentencia del Tribunal Supremo: 28 M restados de las ventas de 9M26, hasta 35 M en el año [12]. El poder de precios es bueno en consumibles y débil en equipos.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(2025); 6,5 % en 9M26 (7,8 % operativo sin compensación de aranceles)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desestocaje; 3T26 +6,8 % (+7,4 % operativo)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(2025); 31,3 % en 9M26 (3T26: 31,1 %)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escala; mezcla y canon de marca (−25 pb) en contra [2,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negocio recurrente (consumibles y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vuelven a crecer ligeramente en el 2T26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(2025); 2,26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algo por encima de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(2025); 10,1 %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rebajada a ≈13 % (antes 13,3 %)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10.265 (2025); 10.483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todo producción [2,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tecnologías y consumibles para fabricar medicamentos biológicos (bioprocesado): biorreactores y bolsas de un solo uso, medios de cultivo y reactivos, filtración y membranas, cromatografía, gestión de fluidos y analítica de proceso, en todo el mundo. Excluye la fabricación por encargo (CDMO como Lonza o Samsung Biologics, que son clientes) y los instrumentos de laboratorio. Los estudios de mercado dan cifras muy dispares (48.000-67.000 M USD «de equipos») porque suman perímetros distintos; usamos la estimación ascendente de la ficha sectorial: ≈27.000 M EUR en 2025, contrastada con la suma de ingresos de bioprocesado de Danaher (Cytiva), Thermo Fisher, Merck KGaA, Sartorius y Repligen [17, 19, 20,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27.000 M EUR en 2025 (estimación propia ascendente de la ficha sectorial [24]; Next Move estima ≈ 48.680 M USD con un perímetro más amplio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biológicos (anticuerpos, GLP-1 biológicos, ADC)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biofármacos +10 % en 2025 hasta 617.000 M USD, 51 % del mercado farmacéutico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 recurrentes ligados a la producción comercial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las ventas de SSB son recurrentes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clientes en capacidad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de bioprocesado con caída de dos cifras en 2025 en Danaher; en SSB vuelven a crecer ligeramente en 2026 y la dirección espera los pedidos de las plantas nuevas de finales de 2027 a 2028 [3, 15,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2023-2024: SSB −18,7 % en 2023 y +0,6 % en 2024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de la producción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anulados en feb-26; quedan otros aranceles; anuncios de fábricas de farmacéuticas en EE. UU.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Biosimilares y presión de precios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chinos de bolsas y medios citados como riesgo por la empresa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(Cytiva, Thermo, Merck, Sartorius) con márgenes EBITDA del 25-35 %; la rivalidad es en innovación y servicio más que en precio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farmacéuticas y CDMO compran mucho, pero los consumibles pesan poco en el coste del medicamento y cambiar de proveedor exige revalidar el proceso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Polímeros, resinas y componentes con varios proveedores; la integración vertical (membranas en Gotinga) reduce la dependencia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y de validación altas; los entrantes chinos ganan en su mercado, todavía poco fuera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acero inoxidable y el proceso continuo cambian la mezcla, no eliminan los consumibles; Sartorius vende ambos [1].</w:t>
            </w:r>
          </w:p>
        </w:tc>
      </w:tr>
    </w:tbl>
    <w:p>
      <w:pPr>
        <w:spacing w:after="160" w:before="0"/>
      </w:pPr>
    </w:p>
    <w:p>
      <w:pPr>
        <w:pStyle w:val="Heading2"/>
      </w:pPr>
      <w:r>
        <w:t xml:space="preserve">Ciclo</w:t>
      </w:r>
    </w:p>
    <w:p>
      <w:pPr>
        <w:spacing w:after="100"/>
      </w:pPr>
      <w:r>
        <w:t xml:space="preserve">El sector vivió un auge con la pandemia (2020-2022), un desestocaje profundo en 2023 (Sartorius −18,7 %, Repligen y Cytiva con caídas parecidas) y una recuperación desde 2025 liderada por consumibles; los equipos siguen débiles por la prudencia de los clientes en capacidad [11, 17]. En 2009 el negocio apenas cayó (consumibles ligados a la producción). Indicadores: crecimiento de consumibles de los cuatro grandes, pedidos de equipos y tono de China. En el 3T26 los consumibles de SSB siguen creciendo a un dígito alto (+7,4 % operativo en el trimestre) frente al +5,0 % básico de Danaher Biotecnología, y los equipos se estabilizan: recuperación, aún no expansión [12, 27].</w:t>
      </w:r>
    </w:p>
    <w:p>
      <w:pPr>
        <w:pStyle w:val="Heading2"/>
      </w:pPr>
      <w:r>
        <w:t xml:space="preserve">Regulación</w:t>
      </w:r>
    </w:p>
    <w:p>
      <w:pPr>
        <w:spacing w:after="100"/>
      </w:pPr>
      <w:r>
        <w:t xml:space="preserve">La fabricación de biológicos está regulada por la FDA y la EMA: cada proceso validado fija sus consumibles y su proveedor, lo que da costes de cambio altos. Cambios en curso: la BIOSECURE Act en EE. UU. (limita a proveedores biotecnológicos chinos; favorece a los occidentales), la política arancelaria de EE. UU. (aranceles IEEPA anulados por el Tribunal Supremo el 20-feb-2026; otros siguen en vigor) y la restricción europea de PFAS, que afecta a membranas y filtros (Sartorius ya lanzó un filtro sin PFAS) [1, 3].</w:t>
      </w:r>
    </w:p>
    <w:p>
      <w:pPr>
        <w:pStyle w:val="Heading2"/>
      </w:pPr>
      <w:r>
        <w:t xml:space="preserve">Tendencias y disrupción</w:t>
      </w:r>
    </w:p>
    <w:p>
      <w:pPr>
        <w:spacing w:after="100"/>
      </w:pPr>
      <w:r>
        <w:t xml:space="preserve">Proceso continuo e intensificado (Sartorius lanzó módulos Pionic), terapias celulares y génicas (plataforma Eveo, Polyplus), digitalización y datos para el desarrollo con IA (Ambr), y relocalización de la capacidad en EE. UU. y Asia (nueva planta en Songdo) [1, 3, 4]. Sartorius gana con el proceso continuo y el un solo uso; pierde si las terapias génicas siguen creciendo menos de lo esperado (Polyplus).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3-4 mundial en bioprocesado (≈11 % de un mercado de ≈27.000 M EUR, estimación propia) tras Cytiva (Danaher) y junto a Thermo Fisher y Merck KGaA; cuotas «de dos dígitos altos» en bolsas de un solo uso, biorreactores y filtración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 (Cytiva, Pall): segmento Biotecnología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cromatografía, resinas y filtración; bioprocesado de más de 6.000 M USD, 80 % ligado a anticuerpos; crecimiento básico del 5,0 % en el 3T26 [17,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Life Sciences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Bioproducción (medios, bolsas, resinas) dentro de un segmento más amplio; compró filtración de Solventum por ≈4.000 M USD en 2025 [18,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 Life Science (Process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medios y servicios de proceso; margen EBITDA pre del segmento ≈29 %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Repligen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RGEN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filtración de flujo tangencial y cromatografía; cotiza a 78 veces el beneficio esperado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Avantor y fabricantes chinos (Tofflon, Bioengine)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en precio en consumibles estándar, sobre todo en China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queda fijado en el expediente regulatorio del medicamento; 86 % de ventas recurrentes [1,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en membranas, Ambr y plataformas de un solo uso; I+D de 133 M (4,5 % de las ventas) [21].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subyacente del 30,8 %, cerca de Danaher Biotecnología pero sin ventaja de escala clara frente a Cytiva [3, 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proveedores globales comparten un mercado concentrado (CR5 ≈60 %) [11].</w:t>
            </w:r>
          </w:p>
        </w:tc>
      </w:tr>
    </w:tbl>
    <w:p>
      <w:pPr>
        <w:spacing w:after="160" w:before="0"/>
      </w:pPr>
    </w:p>
    <w:p>
      <w:pPr>
        <w:pStyle w:val="Heading2"/>
      </w:pPr>
      <w:r>
        <w:t xml:space="preserve">Amenazas</w:t>
      </w:r>
    </w:p>
    <w:p>
      <w:pPr>
        <w:spacing w:after="100"/>
      </w:pPr>
      <w:r>
        <w:t xml:space="preserve">La amenaza principal no es la entrada sino la concentración del poder de compra (CDMO grandes como Lonza o Samsung Biologics que negocian volumen) y los proveedores chinos, que ya ganan cuota en China y pueden exportar si la BIOSECURE Act no les cierra EE. UU. Segunda amenaza: que las terapias celulares y génicas, en las que Sartorius pagó Polyplus, sigan creciendo poco. Probabilidad media en los dos casos [1,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2020-2025: ingresos </w:t>
      </w:r>
      <w:r>
        <w:rPr>
          <w:b/>
          <w:bCs/>
        </w:rPr>
        <w:t xml:space="preserve">9,2 %</w:t>
      </w:r>
      <w:r>
        <w:t xml:space="preserve">, EBITDA </w:t>
      </w:r>
      <w:r>
        <w:rPr>
          <w:b/>
          <w:bCs/>
        </w:rPr>
        <w:t xml:space="preserve">8,1 %</w:t>
      </w:r>
      <w:r>
        <w:t xml:space="preserve">, BPA </w:t>
      </w:r>
      <w:r>
        <w:rPr>
          <w:b/>
          <w:bCs/>
        </w:rPr>
        <w:t xml:space="preserve">-5,6 %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1.910 M en 2020 a 3.493 M en 2022 con la demanda de la pandemia (vacunas y acopio de consumibles) y cayeron un 18,7 % a tipos constantes en 2023 por el desestocaje de los clientes; 2024 quedó plano (+0,6 %) y 2025 volvió a crecer un 9,6 % a tipos constantes (6,7 % publicado por el dólar) hasta 2.967,5 M [2, 11]. El EBITDA subyacente pasó del 35,8 % en 2021 al 28,0 % en 2024 (pérdida de apalancamiento operativo y mezcla) y se recuperó al 30,8 % en 2025 y al 31,4 % en el 1S26 [2, 3]. Polyplus, consolidada desde julio de 2023, aporta ventas de medios y reactivos de margen alto, pero también 112-117 M anuales de amortización de intangibles de compras [2]. En los nueve primeros meses de 2026 las ventas subieron un 4,3 % (6,5 % a tipos constantes; 7,8 % sin la compensación de aranceles a clientes, 28 M), el EBITDA subyacente un 4,8 % hasta 716,0 M (31,3 %, +20 pb) y el beneficio neto un 26,7 % hasta 276,6 M, con menos extraordinarias (19,4 M frente a 43,9 M) y menos gasto financiero (78,3 M frente a 109,5 M) [12]. El 3T26 creció un 8,0 % (6,8 % a tipos constantes) con un margen subyacente del 31,1 % (31,3 % un año antes): el volumen compensó la mezcla y el canon de marca pagado a la matriz restó 25 pb [12, 13]. La devolución de aranceles de EE. UU. va al coste de ventas y la compensación a clientes se resta de las ventas; la empresa la da por neutral en el margen [12].</w:t>
      </w:r>
    </w:p>
    <w:p>
      <w:pPr>
        <w:pStyle w:val="Heading2"/>
      </w:pPr>
      <w:r>
        <w:t xml:space="preserve">Ajustes y partidas no recurrentes</w:t>
      </w:r>
    </w:p>
    <w:p>
      <w:pPr>
        <w:spacing w:after="100"/>
      </w:pPr>
      <w:r>
        <w:t xml:space="preserve">La empresa publica EBITDA subyacente (sin partidas extraordinarias) y BPA subyacente (sin extraordinarias ni amortización de intangibles de compras, con resultado financiero normalizado y un tipo del 26 %). En 2025: BPA subyacente 4,40 frente a 2,73 publicado; en 2024, 3,49 frente a 1,81 [2, 6]. La diferencia de 2025 (1,67 EUR) es 70,0 M de extraordinarias, 112,6 M de amortización de compras y 22,6 M de diferencias de cambio y valoración en el resultado financiero, netos de impuestos [2]. Las extraordinarias se repiten todos los años (26,5 M en 2021, 46,3 M en 2022, 99,1 M en 2023, 106,7 M en 2024, 70,0 M en 2025 y 15,1 M en 1S26) [2, 7, 10]: no son no recurrentes. En la cuenta usamos el EBITDA publicado (EBIT + amortizaciones), y en el DCF las tratamos como gasto (≈1 % de las ventas).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(23-jul) el discurso pasó a «impulso positivo y mercados finales que mejoran gradualmente»: equipos volvieron a crecer ligeramente, Asia-Pacífico creció un 12,5 % con la recuperación de China y el margen subió al 32,1 % en el 2T [3]. Lo que cambió entre una y otra: la sentencia del Tribunal Supremo de EE. UU. (20-feb-2026) que anuló los aranceles IEEPA; la empresa cobró la devolución a final de junio y compensará a los clientes hasta 35 M, lo que deja el crecimiento de 2026 en la mitad baja de la guía del 6-10 % (operativo, hacia el punto medio) [3]. En el 9M26 (22-oct) el mensaje fue continuidad: consumibles creciendo a un dígito alto, equipos con «ligero crecimiento» en el año y guía confirmada (operativo hacia el punto medio del 6-10 %, publicado en la mitad baja; margen algo por encima del 31 %; capex rebajado a ≈13 %) [12, 13]. En la conferencia los analistas preguntaron sobre todo por 2027: la dirección se negó a dar guía («no need right now»), dijo que los pedidos no recurrentes de las nuevas plantas llegarán de finales de 2027 a 2028 y que no atribuye la demanda a la relocalización en EE. UU.; sobre la normalización de equipos, «no hacemos juicios sin datos» [15]. Bernstein preguntó por la permanencia de la cotización de SSB: «no está en los planes» excluirla [15]. No contestó cuánto pesan el canon de marca ni el efecto de la devolución de aranceles en 2027. Columnas EBITDA y BPA de la tabla: subyacentes. En el 3T26 «en línea» con lo esperado, según la prensa (sin cifra de consenso publicada)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Polyplus (≈2.400 M), consolidada desde julio de 2023: entra entera en el balance de 2023 y solo medio año en la cuenta.; 2022: Compras de Albumedix, de la división de purificación de Novasep y de BIA Separations (cerrada a finales de 2020) que cambian el perímetro de 2021-2022.).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saltó de 1.025 M en 2022 a 3.567 M en 2023 por Polyplus y bajó con la ampliación de capital de 1.194 M de 2024 y la caja libre: deuda bruta de 2.599 M (con arrendamientos) a dic-25 y 2.403 M a jun-26; y 2.310 M a sep-26 (préstamos 2.141,2 M y arrendamientos 169,2 M); deuda neta de 2.138 M, 2,26 veces el EBITDA subyacente de 12 meses (946,7 M) [12]. En 9M26 devolvió 562,7 M de préstamos y tomó 294,8 M [12]. El circulante comercial cayó de 1.178 M en 2022 a 606 M en 2025 al deshacer el exceso de existencias; parte de la caída de clientes (192,8 M a dic-25 frente a 265,9 M) es factoring, no cobro: con los 307,8 M vendidos, los días de cobro reales rondan los 60 [1]. A sep-26 el circulante comercial subió a 729 M (existencias 751,1, clientes 266,5, proveedores 288,4) con el crecimiento [12].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1.303</w:t>
      </w:r>
      <w:r>
        <w:t xml:space="preserve">, conversión </w:t>
      </w:r>
      <w:r>
        <w:rPr>
          <w:b/>
          <w:bCs/>
        </w:rPr>
        <w:t xml:space="preserve">55 %</w:t>
      </w:r>
      <w:r>
        <w:t xml:space="preserve"> del beneficio neto; adquisiciones 3.369, dividendos 477, recompras 5.</w:t>
      </w:r>
    </w:p>
    <w:p>
      <w:pPr>
        <w:spacing w:after="100"/>
      </w:pPr>
      <w:r>
        <w:t xml:space="preserve">El flujo operativo se movió entre 612 y 815 M en 2021-2025 aunque el EBITDA cayó un tercio en 2023-2024: la liberación de existencias (207,6 M en 2024) sostuvo la caja en la parte baja del ciclo [2, 10]. El capex ha sido muy alto (17,1 % de las ventas en 2023, 13,3 % en 2025) por las ampliaciones de Aubagne, Gotinga, Songdo y Marlborough; la empresa no separa mantenimiento y crecimiento, y con la amortización sin compras en ≈205 M (6,9 % de las ventas) estimamos el capex de mantenimiento en ≈7 % de las ventas (estimación propia) [2]. Los intereses se pagan en financiación (153,6 M en 2025). La caja libre de 2025 después de intereses y arrendamientos fue de ≈125 M. En 9M26 el flujo operativo subió un 11,6 % hasta 497,6 M y el capex bajó a 231,9 M (10,1 % de las ventas), con un flujo libre de 264,3 M según la empresa (antes de intereses, 121,7 M pagados) [12]; la devolución de aranceles ayudó y el circulante restó 93 M [12]. Los pagos de arrendamientos de 2023 no se han podido separar (van con la devolución de préstamos).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KPMG S.A. (cotitulares, obligatorio en Francia)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revisión limitada sin salvedades del 1S26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cuadran entre el XBRL ESEF, el Excel de la empresa y el URD: ingresos (RevenueFromContractsWithCustomers) iguales a las ventas publicadas todos los años y deuda financiera = préstamos a largo más corto plazo (2.424,6 M en 2025 = 1.867,3 + 557,3) [1, 9]. El XBRL no recoge los arrendamientos dentro de la deuda (174,6 M aparte), ni el factoring (307,8 M), ni la opción de CellGenix: los añadimos al puente. La contabilidad tiene tres puntos que vigilar. Primero, el BPA «subyacente» que guía al mercado excluye cada año extraordinarias que se repiten (70-107 M en 2023-2025) y la amortización de compras (112,6 M). Segundo, el factoring creciente (269,7 → 307,8 M) mejora la caja y los días de cobro publicados. Tercero, las operaciones con el grupo Sartorius: 103,7 M de servicios centrales, 19,6 M de canon de marca (12,0 M en 2024) y 2.426 M de deuda con el grupo [1]. El 1S26 lleva un efecto técnico de aranceles (devolución en coste de ventas y compensación a clientes en ventas) que la empresa declara neutral en el margen del semestre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«extraordinarias» que se repiten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46,3 / 99,1 / 106,7 / 70,0 M en 2021-2025: inflan el EBITDA y el BPA subyacentes [2, 7,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 sin recurso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307,8 M de clientes vendidos a dic-25 (+38 M en el año): deuda económica fuera del balance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Canon de marca a la matriz +63 %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 M en 2025 frente a 12,0 M en 2024 [1]; en 9M26 «el canon de marca más alto» restó 25 pb al margen [13,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técnico de la devolución de aranceles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Devolución en coste de ventas, compensación de ≈23 M restada de ventas; hasta 35 M en el año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2.884 M en 2025 (el 46 % del capital invertido medio); ha subido más de un 5 % en 3 de 5 años: comprador en serie. ROIC publicado 6,0 %; sin fondo de comercio, 11,1 %.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0,7 % · </w:t>
      </w:r>
      <w:r>
        <w:rPr>
          <w:b/>
          <w:bCs/>
        </w:rPr>
        <w:t xml:space="preserve">WACC</w:t>
      </w:r>
      <w:r>
        <w:t xml:space="preserve">: 8,8 %.</w:t>
      </w:r>
    </w:p>
    <w:p>
      <w:pPr>
        <w:spacing w:after="100"/>
      </w:pPr>
      <w:r>
        <w:t xml:space="preserve">Sartorius Stedim Biotech no crea valor hoy con su capital total: el ROIC fue del 6,0 % en 2025 (4,8 % en 2024 y 7,2 % en 2023) frente a un WACC del 8,76 %, casi 3 puntos por debajo. Hasta 2022 era otra empresa: ROIC del 26,9 % en 2021 y 27,3 % en 2022. La caída tiene dos causas. Primera, el margen: el beneficio operativo bajó a la mitad con el desestocaje. Segunda, el capital: Polyplus y las compras de 2020-2022 llevaron el capital invertido de 2.062 M en 2021 a 6.257 M en 2025, casi la mitad fondo de comercio [2]. Sin el fondo de comercio el ROIC es del 11,1 %, y sin todo el capital pagado en compras el negocio orgánico rinde más del 20 % (estimación propia: NOPAT antes de la amortización de compras ≈470 M sobre ≈1.900 M de capital tangible). El ROIC incremental histórico es del 0,7 %: el crecimiento orgánico crea valor; la asignación de capital de 2020-2023, no. En 9M26 el EBIT sube un 12,2 % con el capital casi plano, así que el ROIC de 2026 mejorará hacia el 7 %, todavía bajo el WACC [12]. Lonza rinde el 9,3 % [54]; Mettler-Toledo, sin grandes compras, el 47,6 % [37].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172,0 M (sep-26) + línea de crédito de 260 M de Sartorius AG (0,4 M dispuestos a dic-25) + líneas bilaterales bancarias de ≈129 M sin usar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propio (los bonos los emite Sartorius Finance B.V., filial de Sartorius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Casi toda la deuda (2.419,7 M de 2.424,7 M a dic-25) son préstamos de Sartorius Finance B.V. con las mismas condiciones que los bonos de 3.000 M que emitió Sartorius AG en 2023 para pagar Polyplus (cupones del 4,25 % al 4,875 %, vencimientos 2026-2035), más una comisión de tesorería «a coste más margen»; sin covenants [1]. En mayo de 2026 el tramo de 520 M con vencimiento en septiembre se refinanció: SSB pagó 537,2 M y recibió 295 M en préstamos al 3,75 % (bono nuevo de 500 M de Sartorius Finance) [3]. Otros pasivos asimilables a deuda: venta sin recurso de clientes por ≈307,8 M a dic-25 (269,7 M en 2024) [1]; compensación de aranceles a clientes: 23 M reconocidos como pasivo financiero a jun-26 y 28 M restados de las ventas en 9M26 (hasta 35 M en el año) [3, 12]; pensiones 33,8 M a sep-26 [12]. La opción de venta del 24 % de CellGenix se liquidó en 2026 (70,9 M en el estado de flujos de 9M26) [12]. Los otros pasivos financieros a largo subieron de 2,2 a 32,0 M en 9M26 sin explicación en el comunicado [12]. Compromiso de servicios con una empresa conjunta hasta 2033 (≈94 M) [1].</w:t>
      </w:r>
    </w:p>
    <w:p>
      <w:pPr>
        <w:pStyle w:val="Heading1"/>
      </w:pPr>
      <w:r>
        <w:t xml:space="preserve">12. Asignación de capital</w:t>
      </w:r>
    </w:p>
    <w:p>
      <w:pPr>
        <w:pStyle w:val="Confianza"/>
        <w:spacing w:after="100"/>
      </w:pPr>
      <w:r>
        <w:t xml:space="preserve">Confianza: Alta</w:t>
      </w:r>
    </w:p>
    <w:p>
      <w:pPr>
        <w:spacing w:after="100"/>
      </w:pPr>
      <w:r>
        <w:t xml:space="preserve">Dividendo de en torno al 15-20 % del beneficio subyacente: 0,69 EUR por 2024 y por 2025 (67 M), frente a 1,44 EUR por 2022 [2]. No hay recompras: la junta de 2026 solo renovó la autorización técnica (resolución 12) [16]. La prioridad declarada es invertir en capacidad (capex en torno al 13 % de las ventas en 2026), reducir la deuda a algo más de 2 veces el EBITDA y compras selectivas [3,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Polyplus (vectores de transfección y reactivos para terapias génicas)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de Sartorius AG financiados con bonos de 3.000 M; ampliación de capital de 1.194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pero las terapias génicas crecieron menos de lo previsto; añade ≈112 M anuales de amortización y la mayor parte de los 2.884 M de fondo de comercio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Albumedix y división de purificación de Novasep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la matriz</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medios y cromatografía;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CellGenix (76 %; el 24 % restante comprado en 2026 por 70,9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con la matriz</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venta liquidada en 2026 [3,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BIA Separations y unidades de Danaher (Biosafe, purificación)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con la matriz</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aplazados de BIA liquidados en 2022-2023 [7].</w:t>
            </w:r>
          </w:p>
        </w:tc>
      </w:tr>
    </w:tbl>
    <w:p>
      <w:pPr>
        <w:spacing w:after="160" w:before="0"/>
      </w:pPr>
    </w:p>
    <w:p>
      <w:pPr>
        <w:spacing w:after="100"/>
      </w:pPr>
      <w:r>
        <w:t xml:space="preserve">La dirección compró caro en el pico: Polyplus por 2.400 M en marzo de 2023, con ventas «de dos cifras altas» de millones, justo antes del desestocaje; el ROIC del grupo cayó del 25-30 % de 2021-2022 a un dígito y la deuda neta llegó a 4,5 veces el EBITDA, lo que obligó a una ampliación de 1.194 M en 2024 (5,15 M de acciones nuevas, +5,6 % de dilución) [1, 2]. Desde entonces la asignación es prudente: sin compras grandes, capex alto pero decreciente y deuda a la baja. La remuneración variable a largo plazo (crecimiento orgánico, BPA y CO2) no premia el rendimiento sobre el capital, y eso explica en parte el historial.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Fáber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miembro del comité ejecutivo de Sartorius AG, responsable de Bioprocess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Sartorius desde 2016 (marketing y producto en bioprocesado); consejero de SSB desde 2019 y consejero delegado desde marzo de 2023, justo al inicio del desestocaje. Con él las ventas bajaron un 18,7 % en 2023 y volvieron a crecer un 9,6 % en 2025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Grosse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de Sartorius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Sartorius AG desde 2025; sustituyó a Joachim Kreuzburg en la presidencia de SSB el 1-jul-2025 por cooptación, ratificada en la junta de 2026 con el 21,6 % de los votos libres en contra [1,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Lothar Kappich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dominical (presidente del consejo de supervisión de Sartorius AG y albacea de la herencia de Horst Sartorius)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 los intereses de la familia Sartorius en 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Joachim Kreuzburg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hasta el 30-jun-2025 (antes presidente y consejero delegado, 2007-2023)</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Arquitecto de la estrategia de un solo uso y de las compras de 2020-2023, incluida Polyplus; salió del grupo en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 (objetivo a medio plazo para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≈4.400 M y margen EBITDA subyacente &gt; 35 % en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2.967,5 M y 30,8 %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Ene-24: ventas + un dígito medio-alto, margen &gt; 30 %; jul-24: entre −un dígito bajo y +un dígito bajo, margen 27-29 %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 y 28,0 %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Ene-25: aumento moderado de ventas y margen; abr-25: ≈+7 % (±2 pp) y 30-31 %; oct-25: ≈+9 % y ≈31 %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y 30,8 %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Feb-26: +6-10 % a tipos constantes y margen algo &gt; 31 %; jul-26: confirmada, en la mitad baja por la compensación de aranceles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+6,5 % (7,8 % operativo) y 31,3 %; oct-26: confirmada y capex rebajado a ≈13 %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se dañó en 2023-2024: el objetivo de 2025 (4.400 M y &gt; 35 %) se quedó un 33 % corto en ventas, y la guía de 2024 hubo que recortarla a mitad de año. Desde 2025 la dirección guía con rangos amplios y los cumple. El equipo es estable pero muy ligado a la matriz: el consejero delegado y el presidente son a la vez directivos de Sartorius AG, y las funciones centrales (finanzas, relación con inversores, jurídico) las presta una filial de la matriz [1, 5, 7, 11]. No hay un plan de sucesión propio de SSB distinto del del grupo. Desde el 1-ene-2027 el grupo se reorganiza: Fáber pasa a director de producto de todo Sartorius (I+D, gestión de producto, fabricación) y el segmento Bioprocessing Solutions del grupo coincidirá con SSB; la dirección dice que SSB seguirá cotizada y con información propia («not in the cards» excluirla) [13, 15].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Grosse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Fáber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Lothar Kappich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Pascale Boissel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Dexter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Anne-Marie Graffin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Dussart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Nowers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Romaine Fernandes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revisión limitada sin salvedades del 1S26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158,30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AG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(82,5 % de los votos por el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750.000 acciones a su filial Sartorius Lab Holding el 10-dic-2025 (operación interna)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Lab Holding GmbH (100 % de Sartorius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750.000 acciones a 211,10 EUR a su matriz (dic-25)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26,4 % al 28,5 % con la ampliación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33.986 acciones (dic-25)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AG (persona vinculada a M. Grosse, R. Fáber y L. Kappich)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René Fáber cargada a SSB fue de 1,72 M en 2025 (0,85 M fijo, 0,62 M de variable anual y 0,25 M de variable a largo plazo), +42 % sobre 2024; la paga Sartorius AG y SSB la reembolsa [1]. El variable a largo plazo depende del crecimiento orgánico, el BPA y el CO2, no del ROIC ni del rendimiento para el accionista de SSB [1]. En la junta de 2026 la política de remuneración del consejero delegado salió con el 92,0 % a favor, pero solo por el voto de Sartorius AG: de los 18,6 M de votos libres (por correspondencia), 12,4 M (66,4 %) votaron en contra; el informe de remuneraciones (resolución 5) tuvo un 54,4 % en contra del capital libre [16]. La AFG emitió una alerta por la falta de comités separados de nombramientos y de remuneración [28].</w:t>
      </w:r>
    </w:p>
    <w:p>
      <w:pPr>
        <w:pStyle w:val="Heading2"/>
      </w:pPr>
      <w:r>
        <w:t xml:space="preserve">Operaciones vinculadas, estructura de control y defensas</w:t>
      </w:r>
    </w:p>
    <w:p>
      <w:pPr>
        <w:spacing w:after="100"/>
      </w:pPr>
      <w:r>
        <w:t xml:space="preserve">Sartorius AG controla el 71,5 % del capital y el 82,9 % de los votos gracias al voto doble francés (acciones nominativas con más de cuatro años) [1]; nombra al presidente y al consejero delegado, que son directivos suyos, y presta a SSB casi toda su deuda (2.420 M) y sus funciones centrales (103,7 M de servicios, 19,6 M de canon de marca) [1]. Cinco de nueve consejeros son independientes y la comisión de auditoría la preside una independiente, pero las operaciones con la matriz son la parte central de la relación y los minoritarios no tienen capacidad de bloqueo. En mayo de 2026 se publicó que Elliott había tomado una participación en Sartorius AG (y en Bio-Rad, que tiene ≈28 % de la matriz) para presionar por valor [30]: una simplificación de la estructura (fusión o compra de los minoritarios de SSB) es posible pero no anunciada.</w:t>
      </w:r>
    </w:p>
    <w:p>
      <w:pPr>
        <w:pStyle w:val="Heading2"/>
      </w:pPr>
      <w:r>
        <w:t xml:space="preserve">Señales de alerta</w:t>
      </w:r>
    </w:p>
    <w:p>
      <w:pPr>
        <w:pStyle w:val="ListParagraph"/>
        <w:numPr>
          <w:ilvl w:val="0"/>
          <w:numId w:val="2"/>
        </w:numPr>
        <w:spacing w:after="60"/>
      </w:pPr>
      <w:r>
        <w:t xml:space="preserve">Los minoritarios votaron en contra de la política de remuneración del consejero delegado (66,4 % del capital libre) y del informe de remuneraciones (54,4 %) en la junta de 2026; salieron adelante por el voto de Sartorius AG [16].</w:t>
      </w:r>
    </w:p>
    <w:p>
      <w:pPr>
        <w:pStyle w:val="ListParagraph"/>
        <w:numPr>
          <w:ilvl w:val="0"/>
          <w:numId w:val="2"/>
        </w:numPr>
        <w:spacing w:after="60"/>
      </w:pPr>
      <w:r>
        <w:t xml:space="preserve">Canon de marca a la matriz de 19,6 M en 2025, +63 % sobre 2024, y deuda con el grupo de 2.426 M con comisión de tesorería [1].</w:t>
      </w:r>
    </w:p>
    <w:p>
      <w:pPr>
        <w:pStyle w:val="ListParagraph"/>
        <w:numPr>
          <w:ilvl w:val="0"/>
          <w:numId w:val="2"/>
        </w:numPr>
        <w:spacing w:after="60"/>
      </w:pPr>
      <w:r>
        <w:t xml:space="preserve">Sin comités separados de nombramientos y remuneración (alerta de la AFG, 2026) [28].</w:t>
      </w:r>
    </w:p>
    <w:p>
      <w:pPr>
        <w:pStyle w:val="ListParagraph"/>
        <w:numPr>
          <w:ilvl w:val="0"/>
          <w:numId w:val="2"/>
        </w:numPr>
        <w:spacing w:after="60"/>
      </w:pPr>
      <w:r>
        <w:t xml:space="preserve">Elliott en el accionariado de Sartorius AG y de Bio-Rad (mayo de 2026): posible cambio en la estructura del grupo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(3-feb-2026; confirmada el 23-abr, el 23-jul y el 22-oct): ventas +6-10 % a tipos constantes, con el negocio operativo hacia el punto medio y el publicado en la mitad baja por la compensación de aranceles a clientes (hasta 35 M); margen EBITDA subyacente algo por encima del 31 %; capex rebajado el 22-oct a ≈13 % de las ventas (antes 13,3 %); deuda neta algo por encima de 2 veces el EBITDA subyacente [12]. Datos para modelizar 2026: amortización de 205-215 M, resultado financiero normalizado de −105 a −115 M, efecto divisa de −1,2 puntos [13]. Objetivo a medio plazo (día del inversor, marzo de 2026): crecimiento orgánico del 9-12 % anual desde 2027 y +60-85 pb de margen al año; sin guía de 2027 hasta febrero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377,4 M ÷ 97,3 M de acciones: BPA publicado), estimaciones del 7-oct sin revisar tras el 22-oct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 – 281,00</w:t>
            </w:r>
          </w:p>
        </w:tc>
      </w:tr>
    </w:tbl>
    <w:p>
      <w:pPr>
        <w:spacing w:after="160" w:before="0"/>
      </w:pPr>
    </w:p>
    <w:p>
      <w:pPr>
        <w:pStyle w:val="Heading2"/>
      </w:pPr>
      <w:r>
        <w:t xml:space="preserve">Revisiones de estimaciones</w:t>
      </w:r>
    </w:p>
    <w:p>
      <w:pPr>
        <w:spacing w:after="100"/>
      </w:pPr>
      <w:r>
        <w:t xml:space="preserve">El objetivo medio sube: 232 EUR tras el 1S26 (julio, rango 208-262), 235,50 en septiembre (S&amp;P Global vía Stock Analysis) y 246,86 EUR el 26-oct (MarketScreener, 14 analistas, rango 210-281) [32, 33]. Subidas recientes: ODDO BHF de 239 a 281 EUR y Barclays de 240 a 250 (30-sep/2-oct), AlphaValue a 253 (9-oct) y BNP Paribas de 245 a 260 tras los resultados (26-oct); UBS mantiene 260 y Jefferies, JP Morgan, Goldman Sachs y RBC reiteraron comprar el 22-26 oct [32, 42, 46]. Las estimaciones anuales de MarketScreener siguen siendo las del 7-oct (BPA publicado 3,88 / 4,96 / 6,07); el BPA ajustado del consenso de S&amp;P Global es de 5,00 EUR en 2026 y 6,00 en 2027 (8-sep) [33]. El reparto de recomendaciones (13 comprar, 1 mantener) es el de septiembre.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ocho entre 2017 y noviembre de 2021 (máximo de ≈590 EUR) con el un solo uso y la pandemia, y cayó un 71,8 % hasta julio de 2024 con el desestocaje, la compra de Polyplus y la ampliación de capital [31]. En los últimos 12 meses queda plana (−0,5 % de precio frente al −5,4 % del CAC 40), pero con caídas fuertes: −14,2 % el 23-abr-2026 (1T con equipos débiles y margen plano), −7,5 % el 21-jul (resultados de Danaher) y −6,4 % el 23-jul (1S26) [31, 44]. Desde el mínimo de 150 EUR del 30-abr ha subido un 40 %, con la mejora de UBS en agosto y la recuperación del sector [31, 45]. Los resultados de 9M26 no la movieron: −2,9 % el 22-oct (de 215,40 a 209,20) y +0,7 % el 23-oct [31]. Volatilidad del 39,7 %, el doble que el índice.</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 +25,7 % / +37,3 % / +3,0 %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 +42,0 %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4-feb, al día siguiente de los resultados preliminares de 2025 y de la guía de 2026 (+6-10 %) que el mercado leyó como prudente [31,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3-mar sin noticia propia localizada en la búsqueda de 12 meses (movimiento del sector) [31,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−14,2 % el 23-abr con el 1T26 (equipos débiles, margen plano, guía prudente) y mínimo de 150 EUR el 30-abr; peor mes de los seis últimos hasta el 15-may [31,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18-jun sin noticia propia localizada [31,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el 21-jul por los resultados y la guía del 3T de Danaher y −6,4 % el 23-jul con el 1S26 «pegado al centro de la guía»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hasta el 25-ago con la mejora de UBS a comprar (objetivo 260 EUR, 20-ago) y la recuperación del sector [31,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 +7,8 % operativo, margen del 31,3 %, guía confirmada y capex rebajado; la acción cayó un 2,9 % ese día [12,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BNP Paribas sube el objetivo de 245 a 260 EUR («surperformance»); Jefferies, Goldman Sachs, JP Morgan y RBC reiteran comprar (22-26 oct) [32,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ODDO BHF sube el objetivo de 239 a 281 EUR; Barclays de 240 a 250 (30-sep)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pasa a comprar con objetivo de 260 EUR («contexto mucho más favorable en 2027»)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toma una participación en Sartorius AG (matriz, 71,5 % de SSB); sin propuesta sobre los minoritarios de SSB; el 22-oct la dirección dijo que excluir SSB de bolsa «no está en los planes» [12,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(anuales de 2026 y guía de 2027) el 23-feb-2027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26 % en tres meses y está a un 3,5 % del máximo de 52 semanas (aviso P2): lo explican la mejora de UBS en agosto, la recuperación de los consumibles y una cadena de subidas de objetivos (ODDO 281, Barclays 250, BNP 260). Los resultados de 9M26 confirmaron la guía sin sorpresa y la acción no se movió (−2,9 % y +0,7 %). No hay colocaciones, ampliaciones, litigios ni operaciones pendientes: la matriz no vende y la exclusión de bolsa está descartada por la dirección. Los próximos resultados son el 23-feb-2027. Veredicto: no cambia; el precio ya incorpora la recuperación.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subyacente, la acción cotizó a 36,7 veces en 2018 y 51,8 en 2019, subió a 64-70 en 2020-2021 (pico de la pandemia) y quedó a 47,7 veces el BPA de 2025 al cierre de 2025 [2]. Sobre el BPA del año siguiente (base adelantada), 25,3x en 2017, 30,6x en 2018, 35,5x en 2019, 42,9x en 2024 y 42,3x en 2025 (sobre nuestro BPA subyacente de 2026e, 4,96); hoy, 36,9x nuestro BPA subyacente de 2027e (5,70). Excluimos 2020-2022 de la comparación con el beneficio publicado porque los beneficios de la pandemia y el desestocaje no son repetibles.</w:t>
      </w:r>
    </w:p>
    <w:p>
      <w:pPr>
        <w:pStyle w:val="Heading1"/>
      </w:pPr>
      <w:r>
        <w:t xml:space="preserve">18. Comparables cotizados</w:t>
      </w:r>
    </w:p>
    <w:p>
      <w:pPr>
        <w:pStyle w:val="Confianza"/>
        <w:spacing w:after="100"/>
      </w:pPr>
      <w:r>
        <w:t xml:space="preserve">Confianza: Media</w:t>
      </w:r>
    </w:p>
    <w:p>
      <w:pPr>
        <w:spacing w:after="100"/>
      </w:pPr>
      <w:r>
        <w:t xml:space="preserve">Proveedores de herramientas y consumibles para fabricar biológicos y ciencias de la vida con BPA ajustado: Thermo Fisher, Danaher (Cytiva), Merck KGaA (Life Science), Mettler-Toledo, Repligen (puro de bioprocesado) y Lonza (CDMO, cliente y comparable de ciclo). Thermo Fisher y Danaher, de sus análisis del repositorio del 26-oct (precio del 23-oct, tras sus resultados del 3T26); Merck KGaA, Mettler-Toledo, Lonza y Repligen, de sus análisis del 7-14-oct llevados al cierre del 23-oct con la variación del precio (capitalización y PER en proporción; EV/EBITDA y EV/ventas moviendo solo la parte del capital). Todo en euros con el BCE del 23-oct. Sartorius AG se deja fuera de la mediana: tiene a SSB dentro (71,5 %) y su PER es contable [21, 37,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Stedim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Lonza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Repligen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 / 23,6x / 26,9x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 / 27,4x / 32,0x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6,8x / 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Sartorius Stedim cotiza a 44,2 veces el BPA publicado de los próximos 12 meses y a unas 38 veces el subyacente (estimación propia: 210,60 ÷ ≈5,58), frente a una mediana de 27,4 veces de los comparables (BPA ajustado), y a 21,9 veces el EBITDA de los próximos 12 meses. Es la segunda más cara de la tabla tras Repligen (77,3x), con un ROIC (6,0 %) por debajo del de Thermo Fisher (9,0 %), Lonza (9,3 %) o Merck (7,5 %). La prima solo se justifica por un crecimiento esperado más alto: el consenso espera +11,1 % de ventas en 2027 frente al 5,7 % de Thermo Fisher o el 2,5 % de Mettler-Toledo, y SSB es, con Repligen, el único puro de bioprocesado cotizado. El valor implícito por PER (130,32 EUR con la mediana; ≈150 EUR con el BPA subyacente, estimación propia) y por EV/EBITDA (192,31 EUR) queda por debajo del precio. Frente a Lonza (29,5 veces su BPA core tras subir un 8 % desde el 14-oct, con un crecimiento parecido y un ROIC mayor), SSB paga un 25-30 % más de múltiplo por un negocio con más margen bruto pero más cíclico en equipos [54].</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Bio-Techne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Reactivos y herramientas de ciencias de la vida; ≈26,5 veces el EBITDA esperado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purificación de Solventum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USD por un negocio de ≈1.000 M USD de ventas en 2024 (≈750 M en 2025)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Polyplus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Sartorius Stedim Biotech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dos cifras altas de millones» y margen EBITDA «muy alto» en 2023: más de 20 veces las ventas (estimación)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Cytiva (biofarma de GE)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compra que creó al líder del sector [40].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25-30 veces el EBITDA (Bio-Techne 26,5x) y a más de 20 veces las ventas en activos de terapias génicas (Polyplus); solo dos operaciones tienen múltiplo publicado. SSB no es candidata a una compra de terceros mientras Sartorius AG tenga el 71,5 %; la operación posible es interna: que la matriz compre a los minoritarios o fusione las dos sociedades, algo que la entrada de Elliott en Sartorius AG en mayo de 2026 hace algo más probable [30]. Sin peso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crecen un 5,4 % en 2026 (9M26: +4,3 % publicado y +6,5 % a tipos constantes; guía en la mitad baja del 6-10 % y divisa de −1,2 puntos en el año con +1,7 en el 4T): ≈3.128 M, igual que el consenso [12, 13, 32]. El año queda fijo. Desde 2027 proyectamos un 9,0-9,5 % anual, el extremo bajo del objetivo del 9-12 % orgánico del día del inversor y el ritmo del mercado de bioprocesado (8-10 %) [3]: la empresa incumplió su objetivo anterior y no le damos el crecimiento por encima del mercado. Bajamos al 3,5 % en 2033e. Medio: 7,2 %. El consenso espera +11,1 % en 2027 y +10,9 % en 2028 [32]: vamos 2 puntos por debajo cada año. La dirección no dio guía de 2027 y sitúa los pedidos de capacidad entre finales de 2027 y 2028 [15].</w:t>
      </w:r>
    </w:p>
    <w:p>
      <w:pPr>
        <w:keepNext/>
        <w:spacing w:after="100"/>
      </w:pPr>
      <w:r>
        <w:rPr>
          <w:b/>
          <w:bCs/>
        </w:rPr>
        <w:t xml:space="preserve">Márgenes.</w:t>
      </w:r>
    </w:p>
    <w:p>
      <w:pPr>
        <w:spacing w:after="100"/>
      </w:pPr>
      <w:r>
        <w:t xml:space="preserve">Margen EBITDA publicado = subyacente − ≈1 punto de extraordinarias que se repiten (70 M en 2025, 19,4 M en 9M26). Subyacente del 31,3 % en 2026 (9M26 real; guía «algo por encima del 31 %»), +70 pb al año en 2027-2028 (abajo del rango de +60-85 pb del plan, por el canon de marca, que restó 25 pb en 9M26) y convergencia al 34,5 % subyacente (33,5 % publicado) en 2032, por debajo del 35-36 % de 2021-2022, que llevaba precios y volúmenes de la pandemia [2, 12, 13]. Danaher Biotecnología tiene un margen operativo del 25,6 %, que con amortización equivale a un EBITDA del 30-33 % [17].</w:t>
      </w:r>
    </w:p>
    <w:p>
      <w:pPr>
        <w:keepNext/>
        <w:spacing w:after="100"/>
      </w:pPr>
      <w:r>
        <w:rPr>
          <w:b/>
          <w:bCs/>
        </w:rPr>
        <w:t xml:space="preserve">Inversión y circulante.</w:t>
      </w:r>
    </w:p>
    <w:p>
      <w:pPr>
        <w:spacing w:after="100"/>
      </w:pPr>
      <w:r>
        <w:t xml:space="preserve">Capex del 13,0 % de las ventas en 2026 (guía rebajada el 22-oct desde el 13,3 %; 10,1 % en 9M26, con el 4T más cargado), bajando al 8,5 % en 2033e, por encima de la amortización ese año. La amortización incluye la de intangibles de compras (81,9 M en 9M26), que no se repone, y por eso baja del 10,3 % al 8,4 %; la depreciación sin compras guiada para 2026 es de 205-215 M [12, 13]. Circulante comercial (existencias + clientes − proveedores − anticipos) del 15,5 % de las ventas, por encima del 14,8 % de dic-25 (rebajado por el factoring); a sep-26 es del 18 % por la estacionalidad del 3T, y a fin de año ha sido del 15 % en 2024 y 2025 [1, 12].</w:t>
      </w:r>
    </w:p>
    <w:p>
      <w:pPr>
        <w:keepNext/>
        <w:spacing w:after="100"/>
      </w:pPr>
      <w:r>
        <w:rPr>
          <w:b/>
          <w:bCs/>
        </w:rPr>
        <w:t xml:space="preserve">Coste del capital.</w:t>
      </w:r>
    </w:p>
    <w:p>
      <w:pPr>
        <w:spacing w:after="100"/>
      </w:pPr>
      <w:r>
        <w:t xml:space="preserve">Tasa libre: Bund a 10 años del 3,39 % (23-oct-2026) [35]. Beta 1,10: la ajustada mensual de 5 años de la propia acción frente al CAC 40, que ya lleva el apalancamiento de SSB (deuda neta ajustada del 11 % del valor empresa; la bruta 1,15; la semanal de 2 años 1,34) [31]; no copiamos la de Thermo Fisher o Danaher (0,85). Prima de mercado 5,5 %. Coste de la deuda antes de impuestos 4,4 % (préstamos de la matriz al 3,75-4,875 % más la comisión de tesorería) [1, 3]. Peso de la deuda 11 % a valor de mercado. WACC 8,76 %.</w:t>
      </w:r>
    </w:p>
    <w:p>
      <w:pPr>
        <w:keepNext/>
        <w:spacing w:after="100"/>
      </w:pPr>
      <w:r>
        <w:rPr>
          <w:b/>
          <w:bCs/>
        </w:rPr>
        <w:t xml:space="preserve">Valor terminal.</w:t>
      </w:r>
    </w:p>
    <w:p>
      <w:pPr>
        <w:spacing w:after="100"/>
      </w:pPr>
      <w:r>
        <w:t xml:space="preserve">Gordon con crecimiento del 2,5 %, inflación del euro del 2 % más medio punto real, por debajo de la tasa libre del 3,39 %; el mercado de biológicos crecerá más que el PIB, pero en 2033 SSB ya tendrá ≈5.000 M de ventas. El valor terminal pesa un 70 % del valor. El múltiplo implícito (8,8 veces el EBITDA terminal) es bajo frente a los 21,9 de hoy: es la consecuencia de un ROIC que no supera al WACC.</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(reinvierte el 64 %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(histórico: 0,7 %)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frente al 7,0 %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(hoy: 11,0 %)</w:t>
            </w:r>
          </w:p>
        </w:tc>
      </w:tr>
    </w:tbl>
    <w:p>
      <w:pPr>
        <w:spacing w:after="160" w:before="0"/>
      </w:pPr>
    </w:p>
    <w:p>
      <w:pPr>
        <w:spacing w:after="100"/>
      </w:pPr>
      <w:r>
        <w:t xml:space="preserve">La proyección apenas necesita inversión neta de la amortización (reinversión acumulada de 467 M, el 8 % del NOPAT, con un capex bruto medio del 10,0 % de las ventas). En un negocio de activos ligeros, el crecimiento medio del 7,0 % tiene que salir de subir precios y de ganar volumen sin capital nuevo, y la prueba es el poder de precios y la cuota (10,0 % del mercado en 2033e,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consumibles +6 %, precio +1,5 % y −2,1 puntos de divisa (−1,2) y de compensación de aranceles a clientes (28 M en 9M26, hasta 35 M) [12,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plan a medio plazo: volumen +6,5 % (consumibles y equipos en recuperación), precio +2 %, mezcla +0,5 %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con nueva capacidad (Songdo, Gotinga) y los pedidos de equipos de las plantas nuevas que la dirección espera de finales de 2027 a 2028 [15];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+6,5 %;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+6 %; precio +2 %; el crecimiento converge al del mercado.</w:t>
            </w:r>
          </w:p>
        </w:tc>
      </w:tr>
    </w:tbl>
    <w:p>
      <w:pPr>
        <w:spacing w:after="160" w:before="0"/>
      </w:pPr>
    </w:p>
    <w:p>
      <w:pPr>
        <w:spacing w:after="100"/>
      </w:pPr>
      <w:r>
        <w:t xml:space="preserve">Las pruebas del motor dan «Sí» porque la reinversión neta es solo el 8 % del NOPAT, pero esa cifra está rebajada por los ≈110 M anuales de amortización de intangibles comprados, que no se reponen. Con la reinversión bruta (capex más circulante, el 64 % del NOPAT) el ROIC actual (6,0 %) solo financia un crecimiento del 3,8 %, y la proyección supone que el capital nuevo rinda el 15,7 % cuando el ROIC incremental histórico es del 0,7 %. A favor: el ROIC sin fondo de comercio es del 11,1 %, el capital tangible rinde más del 20 % y la capacidad ya está construida (capex del 13-17 % en 2023-2025), y la cuota final (10,0 %) es menor que la actual (11,0 %). Veredicto «En parte»: el 7,2 % medio es financiable con la capacidad existente, pero el ROIC total sigue bajo el WACC y la empresa incumplió su último plan; no rebajamos el base porque ya está en el extremo bajo del plan y 2 puntos por debajo del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 (base: 7,2 %)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 (base: 33,5 %)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(WACC: 8,8 %)</w:t>
            </w:r>
          </w:p>
        </w:tc>
      </w:tr>
    </w:tbl>
    <w:p>
      <w:pPr>
        <w:spacing w:after="160" w:before="0"/>
      </w:pPr>
    </w:p>
    <w:p>
      <w:pPr>
        <w:spacing w:after="100"/>
      </w:pPr>
      <w:r>
        <w:t xml:space="preserve">El DCF da 94,84 EUR por acción, un 55,0 % por debajo del precio, con el valor terminal en el 70 % del total (90,07 EUR el 14-oct: suben las ventas de 2026, baja el Bund del 3,51 al 3,39 % y baja la deuda). No es un error de cálculo: con un WACC del 8,76 % y un crecimiento medio del 7,2 % hasta 2033, Sartorius Stedim vale menos de la mitad de lo que cotiza. El DCF inverso dice que el precio de 210,60 EUR necesita un crecimiento de ventas del 21,4 % anual en 2027-2033 (nosotros, 7,2 %) o un margen EBITDA del 56 % (nosotros, 33,5 %), o aceptar una rentabilidad del 5,8 % anual, por debajo del WACC. Incluso con la prima implícita del mercado (4,2 %) el valor sube solo a 127,27 EUR. El mercado paga la vuelta a la empresa de 2021 (crecimiento de dos dígitos y ROIC del 27 %); nuestras cifras no la justifican. Lo mismo ocurre con Thermo Fisher, Danaher o Mettler-Toledo en sus análisis del repositorio: el sector cotiza por encima de su DCF y la decisión a 12 meses la toma el múltiplo, no el DCF.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vuelven a caer en 2027 y los consumibles crecen al 6 %: ventas 3 puntos por debajo del base cada año y margen 1,5 puntos menor (como en 2023-2024). El mercado deja de pagar la recuperación.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ordenada: 5,4 % en 2026 (casi cerrado con 9M26) y 9,0-9,5 % en 2027-2028, el extremo bajo del plan, con +70 pb de margen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pedidos de capacidad de las farmacéuticas en EE. UU. y la recuperación de China llevan el crecimiento al 11-11,5 % en 2027-2028, como pide el consenso, y el margen al 34,3 % al final de la proyección.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10,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91,46 EUR (-56,6 %).</w:t>
      </w:r>
    </w:p>
    <w:p>
      <w:pPr>
        <w:spacing w:after="100"/>
      </w:pPr>
      <w:r>
        <w:t xml:space="preserve">Los tres escenarios del DCF quedan muy por debajo del precio (64,40 / 94,84 / 111,76 EUR; ponderado 91,46): el DCF no sirve para decidir a 12 meses en este sector y lo usamos como referencia de valor real. A 12 meses, con la regla de múltiplos, el alcista gana un 21,0 % y el bajista pierde un 31,4 %: asimetría de 0,65, desfavorable. El bajista es verosímil: ya ocurrió en 2023-2024 (ventas −18,7 % y margen −6,7 puntos) [2].</w:t>
      </w:r>
    </w:p>
    <w:p>
      <w:pPr>
        <w:pStyle w:val="Heading1"/>
      </w:pPr>
      <w:r>
        <w:t xml:space="preserve">22. Suma de partes</w:t>
      </w:r>
    </w:p>
    <w:p>
      <w:pPr>
        <w:pStyle w:val="Confianza"/>
        <w:spacing w:after="100"/>
      </w:pPr>
      <w:r>
        <w:t xml:space="preserve">Confianza: Media</w:t>
      </w:r>
    </w:p>
    <w:p>
      <w:pPr>
        <w:spacing w:after="100"/>
      </w:pPr>
      <w:r>
        <w:t xml:space="preserve">No aplica: Sartorius Stedim Biotech tiene un solo segmento (Biopharm) y consumibles y equipos comparten clientes, fábricas y fuerza de ventas; la empresa no publica el resultado de cada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10,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100,58 EUR (-52,2 % sobre 210,60).</w:t>
      </w:r>
    </w:p>
    <w:p>
      <w:pPr>
        <w:spacing w:after="100"/>
      </w:pPr>
      <w:r>
        <w:t xml:space="preserve">Pesos: DCF 40, escenarios 40 y comparables 20; transacciones 0 (solo dos con múltiplo y prima de control). El valor intrínseco resultante, 100,58 EUR, queda un 52,2 % por debajo del precio, y todos los métodos de fundamentales (DCF 79,95-115,34, comparables por PER 118,29-152,36, escenarios 64,40-111,76) quedan por debajo; solo la cotización de 52 semanas y los objetivos de los analistas (210-281 EUR) cubren el precio. La dispersión es la propia del sector: los análisis de Thermo Fisher, Danaher y Mettler-Toledo del repositorio dan valores intrínsecos muy por debajo del precio. La rentabilidad a 12 meses, que manda, sale del múltiplo histórico de la propia empresa.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(36.9x) a mitad de camino hacia abajo, hacia la mediana de 5 años (35.5x)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bl>
    <w:p>
      <w:pPr>
        <w:spacing w:after="160" w:before="0"/>
      </w:pPr>
    </w:p>
    <w:p>
      <w:pPr>
        <w:spacing w:after="100"/>
      </w:pPr>
      <w:r>
        <w:rPr>
          <w:b/>
          <w:bCs/>
        </w:rPr>
        <w:t xml:space="preserve">Objetivo a 12 meses (ponderado):</w:t>
      </w:r>
      <w:r>
        <w:t xml:space="preserve"> 217,11 EUR · rentabilidad +3,4 % (base +12,1 %) · señal Mantener.</w:t>
      </w:r>
    </w:p>
    <w:p>
      <w:pPr>
        <w:spacing w:after="100"/>
      </w:pPr>
      <w:r>
        <w:t xml:space="preserve">Para comparar, con la regla v2 (historia al cierre, mismo precio): 36,7x / 36,9x / 45,4x, 19,9 %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En la misma base (BPA subyacente o ajustado), el consenso de S&amp;P Global da 5,00 EUR en 2026 y 6,00 en 2027 (8-sep) [33]; nosotros, 4,96 y 5,70: un 5 % por debajo en 2027 porque proyectamos un 9,0 % de crecimiento frente al 11,1 % del consenso [32] y un margen que sube 70 pb y no 85. Para 2028 no hay consenso ajustado gratuito; el publicado de MarketScreener (6,07, del 7-oct) más ≈0,95 EUR de amortización de compras y extraordinarias netas (estimación propia) equivale a ≈7,0: nuestro 6,50 va un 7 % por debajo. Nuestro precio base (235,30) queda un 4,7 % por debajo del objetivo medio de 14 analistas (246,86; rango 210-281), que sube desde 232 en julio [32]: la diferencia es sobre todo de riesgo, porque nuestro bajista toma el mínimo histórico del múltiplo.</w:t>
      </w:r>
    </w:p>
    <w:p>
      <w:pPr>
        <w:keepNext/>
        <w:spacing w:after="100"/>
      </w:pPr>
      <w:r>
        <w:rPr>
          <w:b/>
          <w:bCs/>
        </w:rPr>
        <w:t xml:space="preserve">Del valor intrínseco al objetivo a 12 meses.</w:t>
      </w:r>
    </w:p>
    <w:p>
      <w:pPr>
        <w:spacing w:after="100"/>
      </w:pPr>
      <w:r>
        <w:t xml:space="preserve">El objetivo a 12 meses (217,11 EUR, +3,4 % con dividendo) está un 116 % por encima del valor intrínseco (100,58): la tesis del valor real no existe a 12 meses ni a varios años con nuestras cifras; el precio solo se sostiene si el mercado sigue pagando 36-37 veces el beneficio. El crecimiento del BPA que pedimos (13,9 % anual en base subyacente, de 4,40 en 2025 a 6,50 en 2028) sale de la guía de ventas y margen, no de rebotes contables; frente al BPA publicado (2,73) el salto parece mayor por la amortización de compras y las extraordinarias. El riesgo está en el múltiplo: con el mínimo de 2017 (25,3x) la acción caería a 143,70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del plan a medio plazo (9-12 % orgánico, +60-85 pb de margen); por debajo del 8 % sería una decepción. La dirección no quiso adelantar nada el 22-oct [12,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modelo operativo del grupo Sartorius y NIIF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SSB = segmento Bioprocessing Solutions del grupo; cambia el punto de partida del EBITDA subyacente, no la cifra. Riesgo de más cargos de la matriz (canon, servicios)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equipos de las plantas nuevas (EE. UU.,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los pedidos no recurrentes de finales de 2027 a 2028; es la palanca del alcista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en Sartorius AG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para simplificar el grupo; la dirección descarta excluir SSB de bolsa, así que la opción de una oferta con prima pierde fuerza [15,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BIOSECURE Act y aranceles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Restricciones a proveedores chinos favorecen a los occidentales; nuevos aranceles sectoriales a farmacia podrían frenar la inversión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vuelve a su mínimo de cinco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(bajista a 12 meses: 25,3x × 5,68)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subyacente del 9-14 %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32x con el BPA estable.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recuperación de equipos se frena (nuevo ciclo de prudencia de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las ventas es recurrente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en negativo en el 4T26; guía de 2027 sin crecimiento de equipos; caída de pedidos de Danaher o Thermo.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2027 por debajo del plan (9-12 %)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Expectativas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(como el −14,2 % del 23-abr-2026)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creciendo a un dígito alto en 9M26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a tipos constantes por debajo del 8 % el 23-feb-2027.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de interés con Sartorius AG (canon de marca, servicios,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 coste más margen auditados; cinco independientes de nueve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del canon o de los servicios centrales con el modelo operativo de 2027 (ya −25 pb de margen en 9M26) [13].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desestocaje o competencia china en consumibles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regulatorios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por debajo del 5 % de crecimiento; Asia-Pacífico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Polyplus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caja; sí en el BPA publicado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Terapias génicas en recuperación lenta.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deterioro de 2026 con márgenes de holgura menores.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IA abarata el desarrollo de procesos o reduce lotes de prueba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consumibles se gastan en la producción comercial, que la IA no sustituye; Sartorius vende datos y equipos de alto rendimiento (Ambr)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ventas de Ambr y de consumibles de desarrollo.</w:t>
            </w:r>
          </w:p>
        </w:tc>
      </w:tr>
    </w:tbl>
    <w:p>
      <w:pPr>
        <w:spacing w:after="160" w:before="0"/>
      </w:pPr>
    </w:p>
    <w:p>
      <w:pPr>
        <w:pStyle w:val="Heading2"/>
      </w:pPr>
      <w:r>
        <w:t xml:space="preserve">Pre-mortem</w:t>
      </w:r>
    </w:p>
    <w:p>
      <w:pPr>
        <w:spacing w:after="100"/>
      </w:pPr>
      <w:r>
        <w:t xml:space="preserve">Octubre de 2029: la acción ha perdido un 40 %. En febrero de 2027 la guía decepcionó: el plan del 9-12 % se quedó en un 6-8 % porque los pedidos de capacidad que la dirección esperaba para finales de 2027 se retrasaron con la incertidumbre de aranceles y precios de los medicamentos en EE. UU. Los consumibles siguieron creciendo, pero al 6-7 % y no al 10 %, porque los fabricantes chinos ganaron cuota en Asia y los biosimilares bajaron el precio por lote. Con el nuevo modelo operativo la matriz subió otra vez el canon y los servicios, y el margen se quedó en el 31 %. La empresa incumplía su plan a medio plazo por segunda vez después de 2022 (4.400 M para 2025, que se quedaron en 2.967 M), con un ROIC del 7 %, y el mercado dejó de pagar 37 veces el beneficio y volvió al mínimo de 25 veces; con un BPA de 5,7 en 2028, la acción bajó a ≈140 EUR. Indicador que lo habría anticipado: la guía de 2027 del 23-feb y el crecimiento de equipos del 4T26.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±5 %</w:t>
      </w:r>
    </w:p>
    <w:p>
      <w:pPr>
        <w:spacing w:after="100"/>
      </w:pPr>
      <w:r>
        <w:t xml:space="preserve">La IA no sustituye lo que vende SSB: las bolsas, filtros, medios y resinas se gastan en cada lote de producción comercial, que es el 86 % de las ventas [3]. Puede acelerar el descubrimiento de fármacos y llevar más candidatos a fabricación (la dirección lo dijo en la conferencia del 22-oct: «la IA ayudará a llevar más medicamentos a la fabricación») y SSB vende los equipos de alto rendimiento para esos ensayos (Ambr) [15]. El riesgo es el contrario: menos lotes de prueba en desarrollo si los procesos se diseñan en simulación. Señal: ventas de Ambr y de consumibles de desarrollo.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materiales son la huella de plástico de un solo uso (bolsas y filtros), el CO2 de la fabricación y los PFAS de las membranas. La empresa tiene objetivo de reducir un 42 % las emisiones de alcance 1 y 2 y liga una parte de la remuneración variable a largo plazo al CO2; en 2025 lanzó un filtro sin PFAS y bolsas con materias primas renovables certificadas [1, 6]. La restricción europea de PFAS es el único que puede mover cifras (reformulación de membranas).</w:t>
      </w:r>
    </w:p>
    <w:p>
      <w:pPr>
        <w:pStyle w:val="Heading2"/>
      </w:pPr>
      <w:r>
        <w:t xml:space="preserve">Controversias</w:t>
      </w:r>
    </w:p>
    <w:p>
      <w:pPr>
        <w:spacing w:after="100"/>
      </w:pPr>
      <w:r>
        <w:t xml:space="preserve">Sin sanciones, litigios ni incidentes relevantes en los últimos tres años en el URD 2025 [1]. La controversia es de gobierno (tamaño de las operaciones con la matriz y votos en contra de los minoritarios en la junta de 2026), recogida en la sección de gobierno.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cartera de pedidos de equipos frente a hace un año y qué parte son plantas nuevas en EE. UU. que llegarán de finales de 2027 a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crecimiento del 9-12 % y la parte cíclica del negocio; el 22-oct la dirección no dio cifras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contrato fija el canon de marca y los servicios de Sartorius AG con el nuevo modelo operativo de 2027, y cuánto subirán?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canon ya restó 25 pb de margen en 9M26 y transfiere valor de los minoritarios a la matriz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extraordinarias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cada año del EBITDA subyacente entre 26 y 107 M de «extraordinarias»? ¿Cuándo dejarán de existir?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BPA subyacente con el que el mercado valora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devolución de aranceles queda por compensar a clientes y cuándo se paga?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 las ventas de 2026 (hasta 35 M) y al puente de deuda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Polyplus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tiene hoy Polyplus frente al plan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la mitad del fondo de comercio y el bajo ROIC.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crece la venta de clientes (307,8 M a dic-25) y qué coste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deuda económica fuera del balance y mejora la caja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hay métricas de rendimiento sobre el capital en el variable a largo plazo, tras el 66 % de votos libres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el ROIC, el punto débil.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«Un petit +20 % serait-il possible ?»</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mejora de UBS a 260 EUR, el que abre el hilo pregunta por otro 20 %; las respuestas piden no ser codiciosos y esperan una vuelta del 10 % hacia 202 EUR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«Resultats»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Alivio por el rebote cerca de 200 EUR y dudas sobre si recoger beneficios; uno ve a los clientes biotecnológicos flojos y no espera subidas hasta fin de año; otros citan soportes técnicos de 180 y 192-195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«chute brutale -10 %»</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susto por el contagio de Danaher (21-jul) a un tono más constructivo en agosto con la mejora de UBS; algunos mantienen con objetivo de 250 EUR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France,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 el «demasiado cara» (PER «estratosférico»), la decepción con la reacción a los resultados y la queja por los aranceles de EE. UU.; pocos hablan de acumular. Sin fecha visible en los comentarios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Boursorama, lista de hilos y 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hilo nuevo sobre los resultados del 22-oct en Boursorama y ningún artículo de opinión en Seeking Alpha desde julio: el 9M26 no generó debate [50,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36,9 veces nuestro BPA subyacente de 2027e y 63 veces el BPA publicado de los últimos 12 meses (3,33); Simply Wall St también lo ve caro por flujos [52].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beneficios tras +40 % desde abril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sube un 26 % en tres meses y está a un 3,5 % del máximo de 52 semanas (aviso P2); el precio ya refleja la recuperación.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de UBS y subida de objetivos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de 246,86 EUR (14 analistas); el nuestro a 12 meses queda por debajo del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Contagio de Danaher y del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SSB creció más que Danaher Biotecnología (+7,4 % operativo frente a +5,0 % básico).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neutro en el margen según la empresa; la compensación a clientes resta hasta 35 M de ventas en 2026.</w:t>
            </w:r>
          </w:p>
        </w:tc>
      </w:tr>
    </w:tbl>
    <w:p>
      <w:pPr>
        <w:spacing w:after="160" w:before="0"/>
      </w:pPr>
    </w:p>
    <w:p>
      <w:pPr>
        <w:spacing w:after="100"/>
      </w:pPr>
      <w:r>
        <w:t xml:space="preserve">El debate de los particulares es escaso y no ha reaccionado a los resultados del 22-oct: ningún hilo nuevo en Boursorama y nada en Seeking Alpha. Lo que hay está dividido entre quien ve la recuperación y los objetivos de 250-260 EUR y quien recuerda que la acción es cara y que cada decepción se paga con caídas del 7-14 % en un día. No hay euforia ni capitulación, y casi nadie habla del gobierno (votos en contra de los minoritarios, canon de marca) ni de la IA. El sentimiento no cambia la tesis; confirma que el precio ya incorpora la recuperación y que el riesgo está en una decepción en la guía de 2027 (23-feb).</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55 (25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10,0 % en 2033e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15,5 % frente a 14,8 % real: genera una variación de circulante de 47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434 M de flujo libre medio en sus tres primeros años, frente a 185 M de media real en los tres últimos: justifica el salto (circulante, inversión, márgenes) o ajusta los supuestos. Explicación: No es la misma medida ni el mismo momento. La media real de 2023-2025 (185 M) es flujo libre después de intereses y arrendamientos, con el pico de inversión en capacidad (capex del 17,1 % de las ventas en 2023 y del 13,3 % en 2025) y ventas hundidas por el desestocaje. El DCF usa flujo libre antes de intereses (≈110 M al año de diferencia con la deuda actual) y un capex que baja del 13 % al 10,5 % porque la capacidad ya está construida. El primer año (2026e, 334 M) cuadra con lo real: 264,3 M de flujo libre de la empresa en 9M26 antes de intereses [12]. El salto llega en 2027-2028 y es el supuesto más sensible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(6,50) supone un 33,5 % anual desde 2,73 (2025): explícalo en valoracion.objetivo_12m.comentario o la confianza es baja. Explicación: El control compara nuestro BPA subyacente de 2028e (6,50) con el BPA publicado de 2025 (2,73), que lleva 112,6 M de amortización de compras y 70 M de extraordinarias. En la misma base subyacente (4,40 en 2025) el crecimiento exigido es del 13,9 % anual; el de 9M26 fue del 9,4 % (3,59 frente a 3,28) con el margen aún en el 31 %.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14, 29, 34,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arrendamientos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Excel FY2024 (no separa la devolución de arrendamientos); 2) URD 2025 (solo 2024 y 2025); 3) estimación por diferencia de los movimientos de arrendamientos (no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lo citan); 2) prensa (Boursorama, Reuters por buscador, sin cifra fiable); 3) MarketScreener (solo consenso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las publica); 2) web de la empresa (sin página de ratings de SSB); 3) búsqueda en MSCI y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 mercado con dos fuentes independientes en el mismo perímetro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tamaño del mercado de bioprocesado); 2) GMI, Next Move, Meticulous (perímetros de 48.000-67.000 M USD, no comparables); 3) estimación ascendente con los ingresos de los cinco grandes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ratio_salario_medio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(ratio de equidad de la sociedad matriz, no del grupo); 2) informe de remuneraciones (no da el coste medio por empleado del grupo); 3) cálculo con gastos de personal ÷ empleados (no publicado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registrada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 la AMF (sin posiciones &gt; 0,5 % publicadas encontradas); 2) prensa (sin dato); 3) proveedores de datos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del BPA subyacente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BPA publicado y número de analistas); 2) web de inversores de Sartorius (sin consenso publicado); 3) Simply Wall St / Webull (BPA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o más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compras (Polyplus, Cytiva: sin EBITDA); 2) análisis del repositorio (solo Bio-Techne con EBITDA); 3) prensa (múltiplos estimados, no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del consenso posteriores a los resultados del 22-oct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anuales del 7-oct, sin revisar); 2) Stock Analysis / S&amp;P Global (8-sep); 3) prensa (Zonebourse, Investing.com: solo cambios de objetivo, sin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previas y se dice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 (cuentas consolidadas y notas: deuda, arrendamientos, factoring, partes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https://www.sartorius.com/download/1796564/fy-2025-download-urd-ssb-en-data.pdf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Data FY 2025 (Excel: resumen de 5 años 2021-2025, cuenta, balance, flujos, conciliación del BPA subyacente)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https://www.sartorius.com/download/1796602/fy-2025-download-financial-data-ssb-data.xlsx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First-Half Financial Report January to June 2026 (cuentas intermedias, deuda, partes vinculadas,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https://www.sartorius.com/download/1845890/h1-2026-download-half-year-report-ssb-en-data.pdf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results: «Sartorius Stedim Biotech reports robust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https://www.sartorius.com/en/company/newsroom/corporate-news/2026-first-quarter-results-sartorius-stedim-biotech-1817704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9M 2025 (cifras del 3T25 y guía de 2025 afinada)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https://www.sartorius.com/download/1754002/9m-2025-download-earnings-report-ssb-en-data.pdf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full-year results 2025 (BPA subyacente 4,40, deuda bruta 2.599 M,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https://www.sartorius.com/en/company/newsroom/corporate-news/preliminary-full-year-results-2025-sartorius-stedim-biotech-1793966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2022 (cifras clave 2018-2022, flujos 2021-2022, proveedores y anticipos)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https://www.sartorius.com/download/1379314/ssb-annual-report-2022-e-data.pdf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(balance y flujos de 2020: clientes, proveedores, anticipos, capex,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https://www.sartorius.com/download/1138890/ssb-annual-report-2021-e-data.pdf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2020-2025 en xBRL-JSON (LEI 52990006IVXY7GCSSR39)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https://filings.xbrl.org/52990006IVXY7GCSSR39/2025-12-31/ESEF/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FY 2024 (Excel: balance y flujos de 2023 y 2024, conciliación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https://www.sartorius.com/download/1662022/fy-2024-download-ssb-financial-data-data.xlsx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(comparación guía-real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https://www.sartorius.com/download/1662024/fy-2024-download-ssb-annual-report-en-data.pdf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9M 2026: «Sartorius Stedim Biotech delivers strong operational growth and robust profitability» (cuenta, balance y flujos a 30-sep-2026, conciliaciones, guía,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https://www.sartorius.com/download/1886598/9m-2026-download-earnings-release-ssb-en-data.pdf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Conference Call 9M 2026 Results (presentación: guía afinada, canon de marca, NIIF 18 y segmentos desde 2027, datos para modelizar)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AG / 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https://www.sartorius.com/download/1886584/9m-2026-download-conference-call-presentation-data.pdf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9M 2026 (Excel: indicadores de 9M y 3T, cuenta trimestral, conciliación del BPA subyacente)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https://www.sartorius.com/download/1886588/9m-2026-download-financial-data-ssb-data.xlsx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Sartorius posts solid Q3 2026 growth as stock slips (conferencia del 22-oct-2026, preguntas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https://www.investing.com/news/transcripts/earnings-call-transcript-sartorius-posts-solid-q3-2026-growth-as-stock-slips-93CH-4965979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24 mars 2026: résultat des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https://www.sartorius.com/download/1809240/ssb-resultat-des-votes-asm-2026-fr-data.pdf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2025 Results (Biotecnología: crecimiento básico 6,5 %, margen operativo 25,6 %)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https://investors.danaher.com/2026-01-28-Danaher-Reports-Fourth-Quarter-and-Full-Year-2025-Results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completes acquisition of Solventum’s Purification &amp; Filtration business (≈4.000 M USD; ≈750 M USD de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https://www.businesswire.com/news/home/20250902757637/en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Bioprocessing Equipment Market size (≈48.100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https://www.gminsights.com/industry-analysis/bioprocessing-equipment-market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Bioprocessing Market Global Industry Analysis and Forecast 2026-2035 (≈48.680 M USD en 2025; consumibles y reactivos ≈44 %)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Move Strategy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https://www.nextmsc.com/report/bioprocessing-market-hc5951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Repligen (RGEN): estadísticas (ventas 785 M USD LTM, EBITDA 144 M, caja neta, PER adelantado 77,8x)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to acquire Polyplus (≈2.400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https://www.sartorius.com/en/company/newsroom/corporate-news/sartorius-stedim-biotech-to-acquire-polyplus-1410678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 la Bourse, Sartorius Stedim Biotech paye trop cher l’acquisition de Polyplus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https://www.tradingsat.com/sartorius-sted-bio-FR0013154002/actualites/sartorius-sted-bio-pour-la-bourse-sartorius-stedim-biotech-paye-trop-cher-l-acquisition-de-polyplus-1063183.html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«Herramientas y consumibles de bioproducción»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(sectores/bioproduccion-2026-10-14.md)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sectores/bioproduccion-2026-10-14.md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Life Science 9.000 M EUR de ventas y 2.600 M de EBITDA pre en 2025 (vía el análisis de Merck KGaA del repositorio,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https://www.merckgroup.com/en/investors/reports-and-financials.html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segmento Life Sciences Solutions 10.374 M USD en 2025 (vía el análisis de Thermo Fisher del repositorio,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https://ir.thermofisher.com/investors/financials/annual-reports/default.aspx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Third Quarter 2026 Results (Biotecnología: crecimiento básico +5,0 % en el 3T26; guía del año «un dígito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https://www.sec.gov/Archives/edgar/data/313616/000031361626000201/dhr-20261021xex991.htm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n° 3: Sartorius Stedim Biotech, assemblée de 2026 (comités, recompra,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Association française de la gestion financière (AFG)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https://www.afg.asso.fr/app/uploads/2026/03/Div-n°-6458_03_Alerte-n°-3-SARTORIUS-STEDIM-BIOTECH.pdf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operaciones de directivos de Sartorius Stedim Biotech (última: 15-dic-2025)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https://bdif.amf-france.org/back/api/v1/informations?RechercheTexte=SARTORIUS%20STEDIM&amp;TypesInformation=DD&amp;From=0&amp;Size=20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shares rise after report of Elliott investment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https://www.stockopedia.com/share-prices/sartorius-ag-FRA:SRT3/news/sartorius-shares-rise-after-report-of-elliott-investment-019e6dd3-e4de-70ae-a5c3-ad2c47e5b5f8/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DIM.PA, ^FCHI y EXV4.DE: históricos diarios hasta el 23-oct-2026 (precio, rango, volumen, beta, volatilidad, cierres de ejercicio) y movimiento a 26-oct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https://finance.yahoo.com/quote/DIM.PA/history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(DIM): consenso y cambios de recomendación (14 analistas, «comprar», objetivo medio 246,86 EUR, rango 210-281) y estimaciones anuales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https://uk.marketscreener.com/quote/stock/SARTORIUS-STEDIM-BIOTECH-27471609/consensus/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(EPA:DIM) forecast: 14 analistas (S&amp;P Global), 8 compra fuerte, 5 compra, 1 mantener; BPA ajustado 2026e 5,00 y 2027e 6,00; objetivo 235,50 (208-262) a 8-sep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https://stockanalysis.com/quote/epa/DIM/forecast/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1,1193; CHF 0,9227)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la deuda federal alemana, 10 años (3,39 %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del repositorio: Thermo Fisher y Danaher (26-oct-2026, precio del 23-oct); Merck KGaA, Mettler-Toledo y Lonza (7-13-oct, llevados al 23-oct con la variación del precio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propios (informes/*)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AG (SRT3): estadísticas (PER adelantado contable)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https://stockanalysis.com/quote/etr/SRT3/statistics/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compra de Bio-Techne (≈26,5 veces el EBITDA, prima del 25 %), vía el análisis de Merck KGaA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https://www.merckgroup.com/en/news.html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completes acquisition of the Biopharma business of GE Life Sciences (Cytiva, 21.100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https://investors.danaher.com/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Sartorius Stedim de los últimos 12 meses (Google Noticias y Yahoo: Zonebourse, Les Echos, Boursier, Investing.com) con herramientas/noticias.mjs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(agregado)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https://news.google.com/search?q=Sartorius%20Stedim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 BNP Paribas reste à «surperformance» avec un objectif de cours relevé de 245 à 260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https://www.zonebourse.com/cours/action/SARTORIUS-STEDIM-BIOTECH-27471609/actualite/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shares rise as Q3 beats on lab products surge, lab outlook raised (SSB en línea con lo previsto; Jefferies y RBC)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https://www.investing.com/news/earnings/sartorius-shares-rise-as-q3-beats-on-lab-products-surge-lab-outlook-raised-4965024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décroche subitement en Bourse après les mauvais résultats de l’américain Danaher (21-jul) y «réaction violente» tras el 1T26 (24-abr)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Investir - Les Echos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https://investir.lesechos.fr/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 UBS passe à l’achat, convaincu que le contexte sera beaucoup plus favorable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 Echos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https://www.lesechos.fr/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 Aktie: ODDO BHF hebt Kursziel auf 281 Euro (Barclays 240 → 250)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https://goldesel.de/aktien/news/sartorius-stedim-bio-aktie-oddo-bhf-hebt-kursziel-auf-281-euro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hilo «Resultats» (84 mensajes; leídos los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https://www.boursorama.com/bourse/forum/1rPDIM/detail/468250763/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«chute brutale -10 % à 12h05» (21-jul a 23-ago-2026)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https://www.boursorama.com/bourse/forum/1rPDIM/detail/468244454/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«Un petit +20 % serait-il possible ?» (30-sep a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https://www.boursorama.com/bourse/forum/1rPDIM/detail/468504047/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SARTORIUS STED BIO: lista de hilos (actividad hasta el 15-oct-2026; sin hilo sobre los resultados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https://www.boursorama.com/bourse/forum/1rPDIM/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commentaires des lecteurs (≈34 comentarios en la primera página, sin fecha visible)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France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https://fr.investing.com/equities/stedim-commentary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(ENXTPA:DIM) Q3 Results Confront A Rich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https://simplywall.st/stocks/fr/pharmaceuticals-biotech/epa-dim/sartorius-stedim-biotech-shares/news/sartorius-stedim-biotech-enxtpadim-q3-results-confront-a-ric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(SDMHF/SRTOY): noticias y análisis (RSS: transcripción del 3T26; sin artículos de opinión desde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https://seekingalpha.com/api/sa/combined/SDMHF.xml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Lonza (14-oct-2026): PER core 27,3x, ROIC 9,3 %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(informes/lonza-2026-10-14)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informes/lonza-2026-10-14/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anterior de Sartorius Stedim Biotech (14-oct-2026): Mantener, v3 ponderada 1,6 % y base 10,4 % a 216,40 EUR; valor intrínseco 96,08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(informes/sartorius-stedim-2026-10-14)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informes/sartorius-stedim-2026-10-14/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26 oct 2026.</w:t>
      </w:r>
    </w:p>
    <w:p>
      <w:pPr>
        <w:pStyle w:val="Nota"/>
        <w:spacing w:after="100"/>
      </w:pPr>
      <w:r>
        <w:t xml:space="preserve">Iteración del análisis del 14-oct-2026 tras los resultados de 9M26 (22-oct). Cuentas de 2020-2025 del XBRL ESEF (sin cambios frente al 14-oct) comprobadas contra el URD 2025, el URD 2022, el informe anual 2021 y los Excel de la empresa; 9M26 del comunicado y el Excel del 22-oct (sin auditar ni revisar). El EBITDA de la cuenta es el publicado (EBIT + amortizaciones); el subyacente de la empresa va en el texto. El PER a 12 meses usa el BPA subyacente (el que guía la empresa y mira el mercado), con la historia en la misma base. Precio: cierre del 23-oct-2026 (la sesión del 26-oct no había cerrado). Comparables: Thermo Fisher y Danaher de sus análisis del repositorio del 26-oct; Merck KGaA, Mettler-Toledo, Lonza y Repligen del 7-14-oct llevados al 23-oct con la variación del precio; todo en euros con el BCE del 23-oct. Consenso: objetivos de MarketScreener del 26-oct; estimaciones anuales de MarketScreener del 7-oct (BPA publicado) y BPA ajustado de S&amp;P Global del 8-sep (Stock Analysis): ninguna fuente gratuita ha publicado estimaciones posteriores al 22-oct. El tamaño del mercado de bioprocesado es una estimación propia ascendente. La conferencia del 22-oct se leyó en una transcripción de prensa (Investing.com), no en la oficial. Línea cotizada única: Euronext París (DIM).</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Sartorius Stedim Biotech S.A. (DIM)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210,60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(150,00 – 225,00)</c:v>
                </c:pt>
                <c:pt idx="1">
                  <c:v>Precio objetivo de los analistas (210,00 – 281,00)</c:v>
                </c:pt>
                <c:pt idx="2">
                  <c:v>Comparables: PER NTM (118,29 – 152,36)</c:v>
                </c:pt>
                <c:pt idx="3">
                  <c:v>DCF (WACC y g ± 0,5) (79,95 – 115,34)</c:v>
                </c:pt>
                <c:pt idx="4">
                  <c:v>Escenarios (bajista – alcista) (64,40 – 111,76)</c:v>
                </c:pt>
                <c:pt idx="5">
                  <c:v>DCF con la prima implícita del mercado (4,2 %)</c:v>
                </c:pt>
                <c:pt idx="6">
                  <c:v>Precio actual (210,60)</c:v>
                </c:pt>
              </c:strCache>
            </c:strRef>
          </c:cat>
          <c:val>
            <c:numRef>
              <c:f>Hoja1!$B$2:$B$8</c:f>
              <c:numCache>
                <c:formatCode>#,##0</c:formatCode>
                <c:ptCount val="7"/>
                <c:pt idx="0">
                  <c:v>150</c:v>
                </c:pt>
                <c:pt idx="1">
                  <c:v>210</c:v>
                </c:pt>
                <c:pt idx="2">
                  <c:v>118.29</c:v>
                </c:pt>
                <c:pt idx="3">
                  <c:v>79.95</c:v>
                </c:pt>
                <c:pt idx="4">
                  <c:v>64.4</c:v>
                </c:pt>
                <c:pt idx="5">
                  <c:v>112.72</c:v>
                </c:pt>
                <c:pt idx="6">
                  <c:v>209.55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(150,00 – 225,00)</c:v>
                </c:pt>
                <c:pt idx="1">
                  <c:v>Precio objetivo de los analistas (210,00 – 281,00)</c:v>
                </c:pt>
                <c:pt idx="2">
                  <c:v>Comparables: PER NTM (118,29 – 152,36)</c:v>
                </c:pt>
                <c:pt idx="3">
                  <c:v>DCF (WACC y g ± 0,5) (79,95 – 115,34)</c:v>
                </c:pt>
                <c:pt idx="4">
                  <c:v>Escenarios (bajista – alcista) (64,40 – 111,76)</c:v>
                </c:pt>
                <c:pt idx="5">
                  <c:v>DCF con la prima implícita del mercado (4,2 %)</c:v>
                </c:pt>
                <c:pt idx="6">
                  <c:v>Precio actual (210,60)</c:v>
                </c:pt>
              </c:strCache>
            </c:strRef>
          </c:cat>
          <c:val>
            <c:numRef>
              <c:f>Hoja1!$C$2:$C$8</c:f>
              <c:numCache>
                <c:formatCode>#,##0</c:formatCode>
                <c:ptCount val="7"/>
                <c:pt idx="0">
                  <c:v>75</c:v>
                </c:pt>
                <c:pt idx="1">
                  <c:v>71</c:v>
                </c:pt>
                <c:pt idx="2">
                  <c:v>34.07000000000001</c:v>
                </c:pt>
                <c:pt idx="3">
                  <c:v>35.39</c:v>
                </c:pt>
                <c:pt idx="4">
                  <c:v>47.36</c:v>
                </c:pt>
                <c:pt idx="5">
                  <c:v>32.379999999999995</c:v>
                </c:pt>
                <c:pt idx="6">
                  <c:v>2.0999999999999943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Consumibles y servicios (recurrente)</c:v>
                </c:pt>
              </c:strCache>
            </c:strRef>
          </c:tx>
          <c:spPr>
            <a:solidFill>
              <a:srgbClr val="2A78D6"/>
            </a:solidFill>
            <a:ln w="12700">
              <a:solidFill>
                <a:srgbClr val="FFFFFF"/>
              </a:solidFill>
            </a:ln>
          </c:spPr>
          <c:invertIfNegative val="0"/>
          <c:cat>
            <c:strRef>
              <c:f>Hoja1!$A$2:$A$3</c:f>
              <c:strCache>
                <c:ptCount val="2"/>
                <c:pt idx="0">
                  <c:v>1S25</c:v>
                </c:pt>
                <c:pt idx="1">
                  <c:v>1S26</c:v>
                </c:pt>
              </c:strCache>
            </c:strRef>
          </c:cat>
          <c:val>
            <c:numRef>
              <c:f>Hoja1!$B$2:$B$3</c:f>
              <c:numCache>
                <c:formatCode>#,##0</c:formatCode>
                <c:ptCount val="2"/>
                <c:pt idx="0">
                  <c:v>1274.3</c:v>
                </c:pt>
                <c:pt idx="1">
                  <c:v>1317.3</c:v>
                </c:pt>
              </c:numCache>
            </c:numRef>
          </c:val>
        </c:ser>
        <c:ser>
          <c:idx val="1"/>
          <c:order val="1"/>
          <c:tx>
            <c:strRef>
              <c:f>Hoja1!$C$1</c:f>
              <c:strCache>
                <c:ptCount val="1"/>
                <c:pt idx="0">
                  <c:v>Equipos (no recurrente)</c:v>
                </c:pt>
              </c:strCache>
            </c:strRef>
          </c:tx>
          <c:spPr>
            <a:solidFill>
              <a:srgbClr val="EB6834"/>
            </a:solidFill>
            <a:ln w="12700">
              <a:solidFill>
                <a:srgbClr val="FFFFFF"/>
              </a:solidFill>
            </a:ln>
          </c:spPr>
          <c:invertIfNegative val="0"/>
          <c:cat>
            <c:strRef>
              <c:f>Hoja1!$A$2:$A$3</c:f>
              <c:strCache>
                <c:ptCount val="2"/>
                <c:pt idx="0">
                  <c:v>1S25</c:v>
                </c:pt>
                <c:pt idx="1">
                  <c:v>1S26</c:v>
                </c:pt>
              </c:strCache>
            </c:strRef>
          </c:cat>
          <c:val>
            <c:numRef>
              <c:f>Hoja1!$C$2:$C$3</c:f>
              <c:numCache>
                <c:formatCode>#,##0</c:formatCode>
                <c:ptCount val="2"/>
                <c:pt idx="0">
                  <c:v>215.3</c:v>
                </c:pt>
                <c:pt idx="1">
                  <c:v>209.9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Consumibles y servicios (recurrente)</c:v>
                </c:pt>
                <c:pt idx="1">
                  <c:v>Equipos (no recurrente)</c:v>
                </c:pt>
              </c:strCache>
            </c:strRef>
          </c:cat>
          <c:val>
            <c:numRef>
              <c:f>Hoja1!$B$2:$B$3</c:f>
              <c:numCache>
                <c:formatCode>General</c:formatCode>
                <c:ptCount val="2"/>
                <c:pt idx="0">
                  <c:v>86.3</c:v>
                </c:pt>
                <c:pt idx="1">
                  <c:v>13.7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Américas</c:v>
                </c:pt>
                <c:pt idx="2">
                  <c:v>Asia-Pacífico</c:v>
                </c:pt>
              </c:strCache>
            </c:strRef>
          </c:cat>
          <c:val>
            <c:numRef>
              <c:f>Hoja1!$B$2:$B$4</c:f>
              <c:numCache>
                <c:formatCode>0"%"</c:formatCode>
                <c:ptCount val="3"/>
                <c:pt idx="0">
                  <c:v>41.8</c:v>
                </c:pt>
                <c:pt idx="1">
                  <c:v>35.5</c:v>
                </c:pt>
                <c:pt idx="2">
                  <c:v>22.7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c:v>
                </c:pt>
                <c:pt idx="3">
                  <c:v>2025</c:v>
                </c:pt>
                <c:pt idx="4">
                  <c:v>2026e</c:v>
                </c:pt>
                <c:pt idx="5">
                  <c:v>2028e</c:v>
                </c:pt>
                <c:pt idx="6">
                  <c:v>2030e</c:v>
                </c:pt>
              </c:strCache>
            </c:strRef>
          </c:cat>
          <c:val>
            <c:numRef>
              <c:f>Hoja1!$B$2:$B$8</c:f>
              <c:numCache>
                <c:formatCode>#,##0</c:formatCode>
                <c:ptCount val="7"/>
                <c:pt idx="0">
                  <c:v>27000</c:v>
                </c:pt>
                <c:pt idx="1">
                  <c:v>23500</c:v>
                </c:pt>
                <c:pt idx="2">
                  <c:v>24000</c:v>
                </c:pt>
                <c:pt idx="3">
                  <c:v>26500</c:v>
                </c:pt>
                <c:pt idx="4">
                  <c:v>28500</c:v>
                </c:pt>
                <c:pt idx="5">
                  <c:v>33500</c:v>
                </c:pt>
                <c:pt idx="6">
                  <c:v>39000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Sartorius Stedim</c:v>
                </c:pt>
                <c:pt idx="1">
                  <c:v>Danaher (Cytiva, Pall): segmento Biotecnología</c:v>
                </c:pt>
                <c:pt idx="2">
                  <c:v>Thermo Fisher: Life Sciences Solutions</c:v>
                </c:pt>
                <c:pt idx="3">
                  <c:v>Merck KGaA: Life Science (Process Solutions)</c:v>
                </c:pt>
                <c:pt idx="4">
                  <c:v>Repligen</c:v>
                </c:pt>
                <c:pt idx="5">
                  <c:v>Avantor y fabricantes chinos (Tofflon, Bioengine)</c:v>
                </c:pt>
              </c:strCache>
            </c:strRef>
          </c:cat>
          <c:val>
            <c:numRef>
              <c:f>Hoja1!$B$2:$B$7</c:f>
              <c:numCache>
                <c:formatCode>0.0"%"</c:formatCode>
                <c:ptCount val="6"/>
                <c:pt idx="0">
                  <c:v>17.7</c:v>
                </c:pt>
                <c:pt idx="1">
                  <c:v>25.6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5</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1910.1</c:v>
                </c:pt>
                <c:pt idx="1">
                  <c:v>2887</c:v>
                </c:pt>
                <c:pt idx="2">
                  <c:v>3492.7</c:v>
                </c:pt>
                <c:pt idx="3">
                  <c:v>2775.5</c:v>
                </c:pt>
                <c:pt idx="4">
                  <c:v>2780</c:v>
                </c:pt>
                <c:pt idx="5">
                  <c:v>2967.5</c:v>
                </c:pt>
                <c:pt idx="6">
                  <c:v>3128</c:v>
                </c:pt>
                <c:pt idx="7">
                  <c:v>3409</c:v>
                </c:pt>
                <c:pt idx="8">
                  <c:v>3733</c:v>
                </c:pt>
                <c:pt idx="9">
                  <c:v>4069</c:v>
                </c:pt>
                <c:pt idx="10">
                  <c:v>4395</c:v>
                </c:pt>
                <c:pt idx="11">
                  <c:v>4680</c:v>
                </c:pt>
                <c:pt idx="12">
                  <c:v>4914</c:v>
                </c:pt>
                <c:pt idx="13">
                  <c:v>5086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572</c:v>
                </c:pt>
                <c:pt idx="1">
                  <c:v>1006.9</c:v>
                </c:pt>
                <c:pt idx="2">
                  <c:v>1174.9</c:v>
                </c:pt>
                <c:pt idx="3">
                  <c:v>686.8</c:v>
                </c:pt>
                <c:pt idx="4">
                  <c:v>672.3</c:v>
                </c:pt>
                <c:pt idx="5">
                  <c:v>843.8</c:v>
                </c:pt>
                <c:pt idx="6">
                  <c:v>951</c:v>
                </c:pt>
                <c:pt idx="7">
                  <c:v>1057</c:v>
                </c:pt>
                <c:pt idx="8">
                  <c:v>1183</c:v>
                </c:pt>
                <c:pt idx="9">
                  <c:v>1314</c:v>
                </c:pt>
                <c:pt idx="10">
                  <c:v>1441</c:v>
                </c:pt>
                <c:pt idx="11">
                  <c:v>1554</c:v>
                </c:pt>
                <c:pt idx="12">
                  <c:v>1646</c:v>
                </c:pt>
                <c:pt idx="13">
                  <c:v>1704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52.5</c:v>
                </c:pt>
                <c:pt idx="1">
                  <c:v>53.8</c:v>
                </c:pt>
                <c:pt idx="2">
                  <c:v>52</c:v>
                </c:pt>
                <c:pt idx="3">
                  <c:v>44.4</c:v>
                </c:pt>
                <c:pt idx="4">
                  <c:v>43.4</c:v>
                </c:pt>
                <c:pt idx="5">
                  <c:v>45.3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29.9</c:v>
                </c:pt>
                <c:pt idx="1">
                  <c:v>34.9</c:v>
                </c:pt>
                <c:pt idx="2">
                  <c:v>33.6</c:v>
                </c:pt>
                <c:pt idx="3">
                  <c:v>24.7</c:v>
                </c:pt>
                <c:pt idx="4">
                  <c:v>24.2</c:v>
                </c:pt>
                <c:pt idx="5">
                  <c:v>28.4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24.7</c:v>
                </c:pt>
                <c:pt idx="1">
                  <c:v>30</c:v>
                </c:pt>
                <c:pt idx="2">
                  <c:v>28.5</c:v>
                </c:pt>
                <c:pt idx="3">
                  <c:v>16.2</c:v>
                </c:pt>
                <c:pt idx="4">
                  <c:v>13.3</c:v>
                </c:pt>
                <c:pt idx="5">
                  <c:v>17.7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17.6</c:v>
                </c:pt>
                <c:pt idx="1">
                  <c:v>14.4</c:v>
                </c:pt>
                <c:pt idx="2">
                  <c:v>25.1</c:v>
                </c:pt>
                <c:pt idx="3">
                  <c:v>11.2</c:v>
                </c:pt>
                <c:pt idx="4">
                  <c:v>6.3</c:v>
                </c:pt>
                <c:pt idx="5">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2">
                  <c:v>7.7</c:v>
                </c:pt>
                <c:pt idx="3">
                  <c:v>2.8</c:v>
                </c:pt>
                <c:pt idx="4">
                  <c:v>2.3</c:v>
                </c:pt>
                <c:pt idx="5">
                  <c:v>2.8</c:v>
                </c:pt>
                <c:pt idx="6">
                  <c:v>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2">
                  <c:v>12</c:v>
                </c:pt>
                <c:pt idx="4">
                  <c:v>7.9</c:v>
                </c:pt>
                <c:pt idx="5">
                  <c:v>4.9</c:v>
                </c:pt>
                <c:pt idx="6">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45</c:v>
                </c:pt>
                <c:pt idx="2">
                  <c:v>42</c:v>
                </c:pt>
                <c:pt idx="3">
                  <c:v>39</c:v>
                </c:pt>
                <c:pt idx="4">
                  <c:v>35</c:v>
                </c:pt>
                <c:pt idx="5">
                  <c:v>24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190</c:v>
                </c:pt>
                <c:pt idx="1">
                  <c:v>214</c:v>
                </c:pt>
                <c:pt idx="2">
                  <c:v>223</c:v>
                </c:pt>
                <c:pt idx="3">
                  <c:v>209</c:v>
                </c:pt>
                <c:pt idx="4">
                  <c:v>159</c:v>
                </c:pt>
                <c:pt idx="5">
                  <c:v>155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70</c:v>
                </c:pt>
                <c:pt idx="1">
                  <c:v>69</c:v>
                </c:pt>
                <c:pt idx="2">
                  <c:v>55</c:v>
                </c:pt>
                <c:pt idx="3">
                  <c:v>61</c:v>
                </c:pt>
                <c:pt idx="4">
                  <c:v>72</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238.4</c:v>
                </c:pt>
                <c:pt idx="1">
                  <c:v>355.99999999999994</c:v>
                </c:pt>
                <c:pt idx="2">
                  <c:v>153.29999999999993</c:v>
                </c:pt>
                <c:pt idx="3">
                  <c:v>155.79999999999995</c:v>
                </c:pt>
                <c:pt idx="4">
                  <c:v>274.6</c:v>
                </c:pt>
                <c:pt idx="5">
                  <c:v>124.50000000000009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335.9</c:v>
                </c:pt>
                <c:pt idx="1">
                  <c:v>414.4</c:v>
                </c:pt>
                <c:pt idx="2">
                  <c:v>876.1</c:v>
                </c:pt>
                <c:pt idx="3">
                  <c:v>310.3</c:v>
                </c:pt>
                <c:pt idx="4">
                  <c:v>175.1</c:v>
                </c:pt>
                <c:pt idx="5">
                  <c:v>265.6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17.4</c:v>
                </c:pt>
                <c:pt idx="1">
                  <c:v>26.9</c:v>
                </c:pt>
                <c:pt idx="2">
                  <c:v>27.3</c:v>
                </c:pt>
                <c:pt idx="3">
                  <c:v>7.2</c:v>
                </c:pt>
                <c:pt idx="4">
                  <c:v>4.8</c:v>
                </c:pt>
                <c:pt idx="5">
                  <c:v>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8.8</c:v>
                </c:pt>
                <c:pt idx="1">
                  <c:v>8.8</c:v>
                </c:pt>
                <c:pt idx="2">
                  <c:v>8.8</c:v>
                </c:pt>
                <c:pt idx="3">
                  <c:v>8.8</c:v>
                </c:pt>
                <c:pt idx="4">
                  <c:v>8.8</c:v>
                </c:pt>
                <c:pt idx="5">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23.4</c:v>
                </c:pt>
                <c:pt idx="1">
                  <c:v>26.8</c:v>
                </c:pt>
                <c:pt idx="2">
                  <c:v>42.7</c:v>
                </c:pt>
                <c:pt idx="3">
                  <c:v>12.2</c:v>
                </c:pt>
                <c:pt idx="4">
                  <c:v>5.3</c:v>
                </c:pt>
                <c:pt idx="5">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0.92</c:v>
                </c:pt>
                <c:pt idx="1">
                  <c:v>0.4</c:v>
                </c:pt>
                <c:pt idx="2">
                  <c:v>0.88</c:v>
                </c:pt>
                <c:pt idx="3">
                  <c:v>5.19</c:v>
                </c:pt>
                <c:pt idx="4">
                  <c:v>3.26</c:v>
                </c:pt>
                <c:pt idx="5">
                  <c:v>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2032</c:v>
                </c:pt>
                <c:pt idx="5">
                  <c:v>2033+</c:v>
                </c:pt>
              </c:strCache>
            </c:strRef>
          </c:cat>
          <c:val>
            <c:numRef>
              <c:f>Hoja1!$B$2:$B$7</c:f>
              <c:numCache>
                <c:formatCode>#,##0</c:formatCode>
                <c:ptCount val="6"/>
                <c:pt idx="0">
                  <c:v>0</c:v>
                </c:pt>
                <c:pt idx="1">
                  <c:v>0</c:v>
                </c:pt>
                <c:pt idx="2">
                  <c:v>0</c:v>
                </c:pt>
                <c:pt idx="3">
                  <c:v>520</c:v>
                </c:pt>
                <c:pt idx="4">
                  <c:v>680</c:v>
                </c:pt>
                <c:pt idx="5">
                  <c:v>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471</c:v>
                </c:pt>
                <c:pt idx="1">
                  <c:v>141.7</c:v>
                </c:pt>
                <c:pt idx="2">
                  <c:v>515.6</c:v>
                </c:pt>
                <c:pt idx="3">
                  <c:v>2241</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31.3</c:v>
                </c:pt>
                <c:pt idx="1">
                  <c:v>62.7</c:v>
                </c:pt>
                <c:pt idx="2">
                  <c:v>116.1</c:v>
                </c:pt>
                <c:pt idx="3">
                  <c:v>133</c:v>
                </c:pt>
                <c:pt idx="4">
                  <c:v>67.1</c:v>
                </c:pt>
                <c:pt idx="5">
                  <c:v>67.1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3.2</c:v>
                </c:pt>
                <c:pt idx="3">
                  <c:v>0</c:v>
                </c:pt>
                <c:pt idx="4">
                  <c:v>1.9</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2</c:v>
                </c:pt>
                <c:pt idx="1">
                  <c:v>1</c:v>
                </c:pt>
                <c:pt idx="2">
                  <c:v>5</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Sartorius AG (directa)</c:v>
                </c:pt>
                <c:pt idx="1">
                  <c:v>Sartorius Lab Holding GmbH (100 % de Sartorius AG)</c:v>
                </c:pt>
                <c:pt idx="2">
                  <c:v>Capital flotante</c:v>
                </c:pt>
                <c:pt idx="3">
                  <c:v>Autocartera</c:v>
                </c:pt>
              </c:strCache>
            </c:strRef>
          </c:cat>
          <c:val>
            <c:numRef>
              <c:f>Hoja1!$B$2:$B$5</c:f>
              <c:numCache>
                <c:formatCode>0.0"%"</c:formatCode>
                <c:ptCount val="4"/>
                <c:pt idx="0">
                  <c:v>70.7</c:v>
                </c:pt>
                <c:pt idx="1">
                  <c:v>0.8</c:v>
                </c:pt>
                <c:pt idx="2">
                  <c:v>28.5</c:v>
                </c:pt>
                <c:pt idx="3">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0.5</c:v>
                </c:pt>
                <c:pt idx="1">
                  <c:v>44.9</c:v>
                </c:pt>
                <c:pt idx="2">
                  <c:v>69.1</c:v>
                </c:pt>
                <c:pt idx="3">
                  <c:v>97.2</c:v>
                </c:pt>
                <c:pt idx="4">
                  <c:v>65.7</c:v>
                </c:pt>
                <c:pt idx="5">
                  <c:v>-37.3</c:v>
                </c:pt>
                <c:pt idx="6">
                  <c:v>-20.8</c:v>
                </c:pt>
                <c:pt idx="7">
                  <c:v>-21.2</c:v>
                </c:pt>
                <c:pt idx="8">
                  <c:v>11.3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9.3</c:v>
                </c:pt>
                <c:pt idx="1">
                  <c:v>-11</c:v>
                </c:pt>
                <c:pt idx="2">
                  <c:v>26.4</c:v>
                </c:pt>
                <c:pt idx="3">
                  <c:v>-7.1</c:v>
                </c:pt>
                <c:pt idx="4">
                  <c:v>28.9</c:v>
                </c:pt>
                <c:pt idx="5">
                  <c:v>-9.5</c:v>
                </c:pt>
                <c:pt idx="6">
                  <c:v>16.5</c:v>
                </c:pt>
                <c:pt idx="7">
                  <c:v>-2.2</c:v>
                </c:pt>
                <c:pt idx="8">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47.9</c:v>
                </c:pt>
                <c:pt idx="1">
                  <c:v>44.6</c:v>
                </c:pt>
                <c:pt idx="2">
                  <c:v>24.7</c:v>
                </c:pt>
                <c:pt idx="3">
                  <c:v>37.4</c:v>
                </c:pt>
                <c:pt idx="4">
                  <c:v>30.4</c:v>
                </c:pt>
                <c:pt idx="5">
                  <c:v>26.8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30.4</c:v>
                </c:pt>
                <c:pt idx="1">
                  <c:v>30.4</c:v>
                </c:pt>
                <c:pt idx="2">
                  <c:v>30.4</c:v>
                </c:pt>
                <c:pt idx="3">
                  <c:v>30.4</c:v>
                </c:pt>
                <c:pt idx="4">
                  <c:v>30.4</c:v>
                </c:pt>
                <c:pt idx="5">
                  <c:v>30.4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Sartorius Stedim</c:v>
                </c:pt>
                <c:pt idx="1">
                  <c:v>Thermo Fisher</c:v>
                </c:pt>
                <c:pt idx="2">
                  <c:v>Danaher</c:v>
                </c:pt>
                <c:pt idx="3">
                  <c:v>Merck KGaA</c:v>
                </c:pt>
                <c:pt idx="4">
                  <c:v>Mettler-Toledo</c:v>
                </c:pt>
                <c:pt idx="5">
                  <c:v>Lonza</c:v>
                </c:pt>
                <c:pt idx="6">
                  <c:v>Repligen</c:v>
                </c:pt>
              </c:strCache>
            </c:strRef>
          </c:cat>
          <c:val>
            <c:numRef>
              <c:f>Hoja1!$B$2:$B$8</c:f>
              <c:numCache>
                <c:formatCode>0.0"x"</c:formatCode>
                <c:ptCount val="7"/>
                <c:pt idx="0">
                  <c:v>21.9</c:v>
                </c:pt>
                <c:pt idx="2">
                  <c:v>20.6</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Sartorius Stedim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10.7</c:v>
                </c:pt>
              </c:numCache>
            </c:numRef>
          </c:xVal>
          <c:yVal>
            <c:numRef>
              <c:f>Hoja1!$C$2</c:f>
              <c:numCache>
                <c:formatCode>0.0"x"</c:formatCode>
                <c:ptCount val="1"/>
                <c:pt idx="0">
                  <c:v>21.9</c:v>
                </c:pt>
              </c:numCache>
            </c:numRef>
          </c:yVal>
          <c:smooth val="0"/>
        </c:ser>
        <c:ser>
          <c:idx val="1"/>
          <c:order val="1"/>
          <c:tx>
            <c:strRef>
              <c:f>Hoja1!$A$3</c:f>
              <c:strCache>
                <c:ptCount val="1"/>
                <c:pt idx="0">
                  <c:v>Merck KGaA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3.4</c:v>
                </c:pt>
              </c:numCache>
            </c:numRef>
          </c:xVal>
          <c:yVal>
            <c:numRef>
              <c:f>Hoja1!$C$3</c:f>
              <c:numCache>
                <c:formatCode>0.0"x"</c:formatCode>
                <c:ptCount val="1"/>
                <c:pt idx="0">
                  <c:v>11.8</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Bio-Techne</c:v>
                </c:pt>
                <c:pt idx="1">
                  <c:v>Filtración y purificación de Solventum</c:v>
                </c:pt>
                <c:pt idx="2">
                  <c:v>Polyplus</c:v>
                </c:pt>
                <c:pt idx="3">
                  <c:v>Cytiva (biofarma de GE)</c:v>
                </c:pt>
              </c:strCache>
            </c:strRef>
          </c:cat>
          <c:val>
            <c:numRef>
              <c:f>Hoja1!$B$2:$B$5</c:f>
              <c:numCache>
                <c:formatCode>0.0"x"</c:formatCode>
                <c:ptCount val="4"/>
                <c:pt idx="0">
                  <c:v>26.5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334</c:v>
                </c:pt>
                <c:pt idx="1">
                  <c:v>437</c:v>
                </c:pt>
                <c:pt idx="2">
                  <c:v>531</c:v>
                </c:pt>
                <c:pt idx="3">
                  <c:v>625</c:v>
                </c:pt>
                <c:pt idx="4">
                  <c:v>720</c:v>
                </c:pt>
                <c:pt idx="5">
                  <c:v>801</c:v>
                </c:pt>
                <c:pt idx="6">
                  <c:v>868</c:v>
                </c:pt>
                <c:pt idx="7">
                  <c:v>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3560</c:v>
                </c:pt>
                <c:pt idx="1">
                  <c:v>8180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210,60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64.4</c:v>
                </c:pt>
                <c:pt idx="1">
                  <c:v>94.84</c:v>
                </c:pt>
                <c:pt idx="2">
                  <c:v>111.76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210,60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(150,00 – 225,00)</c:v>
                </c:pt>
                <c:pt idx="1">
                  <c:v>Precio objetivo de los analistas (210,00 – 281,00)</c:v>
                </c:pt>
                <c:pt idx="2">
                  <c:v>Comparables: PER NTM (118,29 – 152,36)</c:v>
                </c:pt>
                <c:pt idx="3">
                  <c:v>DCF (WACC y g ± 0,5) (79,95 – 115,34)</c:v>
                </c:pt>
                <c:pt idx="4">
                  <c:v>Escenarios (bajista – alcista) (64,40 – 111,76)</c:v>
                </c:pt>
                <c:pt idx="5">
                  <c:v>DCF con la prima implícita del mercado (4,2 %)</c:v>
                </c:pt>
                <c:pt idx="6">
                  <c:v>Precio actual (210,60)</c:v>
                </c:pt>
              </c:strCache>
            </c:strRef>
          </c:cat>
          <c:val>
            <c:numRef>
              <c:f>Hoja1!$B$2:$B$8</c:f>
              <c:numCache>
                <c:formatCode>#,##0</c:formatCode>
                <c:ptCount val="7"/>
                <c:pt idx="0">
                  <c:v>150</c:v>
                </c:pt>
                <c:pt idx="1">
                  <c:v>210</c:v>
                </c:pt>
                <c:pt idx="2">
                  <c:v>118.29</c:v>
                </c:pt>
                <c:pt idx="3">
                  <c:v>79.95</c:v>
                </c:pt>
                <c:pt idx="4">
                  <c:v>64.4</c:v>
                </c:pt>
                <c:pt idx="5">
                  <c:v>112.72</c:v>
                </c:pt>
                <c:pt idx="6">
                  <c:v>209.55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(150,00 – 225,00)</c:v>
                </c:pt>
                <c:pt idx="1">
                  <c:v>Precio objetivo de los analistas (210,00 – 281,00)</c:v>
                </c:pt>
                <c:pt idx="2">
                  <c:v>Comparables: PER NTM (118,29 – 152,36)</c:v>
                </c:pt>
                <c:pt idx="3">
                  <c:v>DCF (WACC y g ± 0,5) (79,95 – 115,34)</c:v>
                </c:pt>
                <c:pt idx="4">
                  <c:v>Escenarios (bajista – alcista) (64,40 – 111,76)</c:v>
                </c:pt>
                <c:pt idx="5">
                  <c:v>DCF con la prima implícita del mercado (4,2 %)</c:v>
                </c:pt>
                <c:pt idx="6">
                  <c:v>Precio actual (210,60)</c:v>
                </c:pt>
              </c:strCache>
            </c:strRef>
          </c:cat>
          <c:val>
            <c:numRef>
              <c:f>Hoja1!$C$2:$C$8</c:f>
              <c:numCache>
                <c:formatCode>#,##0</c:formatCode>
                <c:ptCount val="7"/>
                <c:pt idx="0">
                  <c:v>75</c:v>
                </c:pt>
                <c:pt idx="1">
                  <c:v>71</c:v>
                </c:pt>
                <c:pt idx="2">
                  <c:v>34.07000000000001</c:v>
                </c:pt>
                <c:pt idx="3">
                  <c:v>35.39</c:v>
                </c:pt>
                <c:pt idx="4">
                  <c:v>47.36</c:v>
                </c:pt>
                <c:pt idx="5">
                  <c:v>32.379999999999995</c:v>
                </c:pt>
                <c:pt idx="6">
                  <c:v>2.0999999999999943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