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Lantheus Holdings, Inc.</w:t>
      </w:r>
    </w:p>
    <w:p>
      <w:pPr>
        <w:spacing w:after="60"/>
        <w:rPr>
          <w:color w:val="52514E"/>
          <w:sz w:val="22"/>
          <w:szCs w:val="22"/>
        </w:rPr>
      </w:pPr>
      <w:r>
        <w:rPr>
          <w:color w:val="52514E"/>
          <w:sz w:val="22"/>
          <w:szCs w:val="22"/>
        </w:rPr>
        <w:t xml:space="preserve">LNTH · Nasdaq Global Market · ISIN US5165441032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99,92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89,30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-10,6 % (base +3,2 %)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74,83 USD · mercado 82,40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Lantheus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LNTH / US5165441032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(radiofármacos de diagnóstico)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Bedford, Massachusetts · 1956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https://www.lantheus.com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99,92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50,15 – 111,86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6.634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137,7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89,30 USD</w:t>
      </w:r>
      <w:r>
        <w:t xml:space="preserve"> frente a 99,92 · Rentabilidad a 12 meses </w:t>
      </w:r>
      <w:r>
        <w:rPr>
          <w:b/>
          <w:bCs/>
        </w:rPr>
        <w:t xml:space="preserve">-10,6 % (base +3,2 %)</w:t>
      </w:r>
      <w:r>
        <w:t xml:space="preserve"> · Valor intrínseco 74,83 USD · con la prima implícita del mercado: 82,40 (-17,5 %) · Alcista / bajista -13,3 % / -50,6 %</w:t>
      </w:r>
    </w:p>
    <w:p>
      <w:pPr>
        <w:spacing w:after="100"/>
      </w:pPr>
      <w:r>
        <w:rPr>
          <w:b/>
        </w:rPr>
        <w:t xml:space="preserve">La recomendación y por qué.</w:t>
      </w:r>
      <w:r>
        <w:t xml:space="preserve"> Mantener, con convicción baja, y no comprar. Lantheus tiene una oferta de compra de Curium (CapVest) de 102,50 USD en efectivo más un derecho contingente de hasta 12 USD, aprobada por la junta el 14-oct-2026 y pendiente de la FTC (el plazo vence el 21-oct) y de Alemania, Reino Unido y Suecia [18, 19, 27]. La acción cotiza a 99,92 USD (cierre del 19-oct; ≈ 100,10 a las 12:19 de Nueva York del 20-oct), un 2,5 % bajo el efectivo. La regla a 12 meses, que valora la empresa sola, da un objetivo de 89,30 USD (−10,6 % ponderado, +3,2 % en el base) y señala Vender por poco; el valor intrínseco independiente (74,83 USD) queda un 25 % por debajo del precio. Nos apartamos de la regla porque no ve la oferta (si se rompe, la acción iría a 70-80 USD). La convicción es baja, no la media que sugieren los criterios, porque el resultado depende de un hecho binario (la FTC) y no del valor: la convicción subiría si vence el plazo HSR sin más preguntas y bajaría con una segunda solicitud.</w:t>
      </w:r>
    </w:p>
    <w:p>
      <w:pPr>
        <w:spacing w:after="100"/>
      </w:pPr>
      <w:r>
        <w:rPr>
          <w:b/>
        </w:rPr>
        <w:t xml:space="preserve">El negocio.</w:t>
      </w:r>
      <w:r>
        <w:t xml:space="preserve"> Lantheus fabrica fármacos para diagnóstico por imagen: PYLARIFY, el trazador PET más vendido en EE. UU. para el cáncer de próstata (989 M USD en 2025, el 64 % de las ventas), DEFINITY, contraste para ecocardiografía (330 M, 21 %), y una neurología nueva (Neuraceq, Tauklarify) [1, 5]. El ROIC fue del 30,4 % en 2025, ≈ 20 puntos sobre el WACC, aunque baja desde el 54-63 % de 2022-2024 [10]. La sostenibilidad del crecimiento es «Sí»: proyectamos un 4,4 % anual, la quinta parte del histórico, que el flujo libre financia de sobra. El foso es estrecho y se estrecha: PYLARIFY perdió la exclusividad de nueva molécula en mayo de 2026, Medicare la paga peor que a sus rivales y Telix, Bracco y Novartis le quitan precio [1].</w:t>
      </w:r>
    </w:p>
    <w:p>
      <w:pPr>
        <w:spacing w:after="100"/>
      </w:pPr>
      <w:r>
        <w:rPr>
          <w:b/>
        </w:rPr>
        <w:t xml:space="preserve">Finanzas.</w:t>
      </w:r>
      <w:r>
        <w:t xml:space="preserve"> Ventas de 1.542 M en 2025 (+23,9 % anual desde 2018) y un BPA ajustado de 6,08 USD, 5,12 restando la remuneración en acciones; la guía de 2025 se rebajó en agosto y la de 2026 (1.400-1.450 M) se suspendió por la venta [3, 5]. Caja neta: 593 M de caja frente a un convertible de 575 M que vence en diciembre de 2027 [2]. Flujo libre de ≈ 390 M en 12 meses.</w:t>
      </w:r>
    </w:p>
    <w:p>
      <w:pPr>
        <w:spacing w:after="100"/>
      </w:pPr>
      <w:r>
        <w:rPr>
          <w:b/>
        </w:rPr>
        <w:t xml:space="preserve">Equipo y gobierno.</w:t>
      </w:r>
      <w:r>
        <w:t xml:space="preserve"> Mary Anne Heino, que llevó la empresa de 300 a 1.500 M de ventas, volvió como consejera delegada interina tras la salida de Brian Markison y negoció la venta [11, 16]. Consejo con 9 de 10 independientes. Debilidades: ninguna compra de directivos en 12 meses [20] y un 13,7 % de votos en contra de la remuneración ligada a la venta [18].</w:t>
      </w:r>
    </w:p>
    <w:p>
      <w:pPr>
        <w:spacing w:after="100"/>
      </w:pPr>
      <w:r>
        <w:rPr>
          <w:b/>
        </w:rPr>
        <w:t xml:space="preserve">Valoración.</w:t>
      </w:r>
      <w:r>
        <w:t xml:space="preserve"> El DCF independiente da 71,43 USD (−28,5 %) con un WACC del 10,28 %, y 81,08 con la prima del mercado; el precio pide un 12,2 % de crecimiento anual, la proyección de la dirección [11]. La regla lleva el PER de 18,8 a 17,1 veces (tope de ÷1,1) y el bajista a 7,4; la v2 de control da −21,9 %.</w:t>
      </w:r>
    </w:p>
    <w:p>
      <w:pPr>
        <w:spacing w:after="100"/>
      </w:pPr>
      <w:r>
        <w:rPr>
          <w:b/>
        </w:rPr>
        <w:t xml:space="preserve">Riesgos y catalizadores.</w:t>
      </w:r>
      <w:r>
        <w:t xml:space="preserve"> A 12 meses, el riesgo es que la venta se rompa (FTC por los solapes en PSMA y genéricos de Lutathera): −20 a −30 %. Del negocio, el precio de PYLARIFY, la concentración en dos productos, un genérico que impugne patentes y la ejecución en neurología. El riesgo de la IA es bajo (±3 %): no sustituye el trazador, pero los análisis de sangre pueden restar PET de alzhéimer. Regla 13: veredicto «descarta» como compra value mientras siga la oferta. Sentimiento negativo: arbitraje sin recorrido.</w:t>
      </w:r>
    </w:p>
    <w:p>
      <w:pPr>
        <w:spacing w:after="100"/>
      </w:pPr>
      <w:r>
        <w:rPr>
          <w:b/>
        </w:rPr>
        <w:t xml:space="preserve">Qué cambiaría la decisión.</w:t>
      </w:r>
      <w:r>
        <w:t xml:space="preserve"> Comprar por debajo de 74,83 USD (solo si la venta se rompe y el negocio aguanta); Mantener entre 74,83 y 99,22, y la regla da Vender por encima.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89,30 USD</w:t>
      </w:r>
      <w:r>
        <w:t xml:space="preserve"> (rentabilidad -10,6 % (base +3,2 %)) · Valor intrínseco: 74,83 USD (-25,1 % sobre 99,92) · con la prima implícita del mercado: 82,40 (-17,5 %)</w:t>
      </w:r>
    </w:p>
    <w:p>
      <w:pPr>
        <w:spacing w:after="100"/>
      </w:pPr>
      <w:r>
        <w:t xml:space="preserve">Lantheus fabrica el trazador PET de próstata más vendido de EE. UU. y el contraste de ecocardiografía dominante, dos productos que son el 85 % de sus ventas y le dan un ROIC del 30 %. Su problema es que PYLARIFY pierde precio desde 2025 (reembolso de Medicare peor que el de sus rivales, competencia de Telix, Bracco y Novartis) y que lo que llega detrás, neurología y radioterapias, aún no tiene escala [1, 5].</w:t>
      </w:r>
    </w:p>
    <w:p>
      <w:pPr>
        <w:spacing w:after="100"/>
      </w:pPr>
      <w:r>
        <w:t xml:space="preserve">Curium ofrece 102,50 USD en efectivo más un derecho de hasta 12 USD ligado a las ventas de 2028-2030 [19]. A ese precio el comprador paga la proyección de la dirección (ventas de 2.849 M en 2035); nuestro DCF, más prudente con el precio de PYLARIFY, da 71,43 USD.</w:t>
      </w:r>
    </w:p>
    <w:p>
      <w:pPr>
        <w:spacing w:after="100"/>
      </w:pPr>
      <w:r>
        <w:t xml:space="preserve">La oferta es buena para el accionista: paga más de lo que vale la empresa sola. Por eso no hay compra value y la decisión es de arbitraje: cobrar el efectivo en 2027 con un riesgo regulatorio bajo pero real.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 × 5,24 = 38,78 · 17,1x × 6,03 = 103,11 · 17,1x × 6,56 = 112,18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106,99 (nuestro base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 -50,6 %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10,3 %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74,83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74,83 y 99,22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99,22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Vender por poco (−10,6 % ponderado frente al umbral del −10 %; vender por encima de 99,22 USD) porque valora a Lantheus sola, con un bajista de 7,4 veces el beneficio que no tiene en cuenta la oferta de Curium. La oferta es un hecho que la valoración no recoge: 102,50 USD en efectivo más un derecho contingente de hasta 12 USD (≈ 3,5 de valor actual), aprobada por la junta el 14-oct, sin condición de financiación y con cierre previsto en el primer semestre de 2027. Para quien ya tiene acciones, vender a 99,92 renuncia a ≈ 2,6 % más el derecho a cambio de evitar el riesgo de ruptura (a 70-80 USD); esperar al cierre o vender dan casi lo mismo. Por eso Mantener, con convicción baja; no es una compra value.</w:t>
      </w:r>
    </w:p>
    <w:p>
      <w:pPr>
        <w:pStyle w:val="Heading2"/>
      </w:pPr>
      <w:r>
        <w:t xml:space="preserve">Qué cambiaría la recomendación</w:t>
      </w:r>
    </w:p>
    <w:p>
      <w:pPr>
        <w:pStyle w:val="ListParagraph"/>
        <w:numPr>
          <w:ilvl w:val="0"/>
          <w:numId w:val="2"/>
        </w:numPr>
        <w:spacing w:after="60"/>
      </w:pPr>
      <w:r>
        <w:t xml:space="preserve">Precio por debajo de 74,83 USD: Comprar (ponderada ≥ 15 %, base ≥ 12 % y valor intrínseco por encima).</w:t>
      </w:r>
    </w:p>
    <w:p>
      <w:pPr>
        <w:pStyle w:val="ListParagraph"/>
        <w:numPr>
          <w:ilvl w:val="0"/>
          <w:numId w:val="2"/>
        </w:numPr>
        <w:spacing w:after="60"/>
      </w:pPr>
      <w:r>
        <w:t xml:space="preserve">Segunda solicitud de la FTC o desinversiones exigidas: el diferencial se ensancha; revisar si conviene vender.</w:t>
      </w:r>
    </w:p>
    <w:p>
      <w:pPr>
        <w:pStyle w:val="ListParagraph"/>
        <w:numPr>
          <w:ilvl w:val="0"/>
          <w:numId w:val="2"/>
        </w:numPr>
        <w:spacing w:after="60"/>
      </w:pPr>
      <w:r>
        <w:t xml:space="preserve">Ruptura de la venta: rehacer el informe con el precio de entonces.</w:t>
      </w:r>
    </w:p>
    <w:p>
      <w:pPr>
        <w:pStyle w:val="ListParagraph"/>
        <w:numPr>
          <w:ilvl w:val="0"/>
          <w:numId w:val="2"/>
        </w:numPr>
        <w:spacing w:after="60"/>
      </w:pPr>
      <w:r>
        <w:t xml:space="preserve">Expiración del plazo HSR y aprobaciones extranjeras: mantener hasta el cobro del efectivo.</w:t>
      </w:r>
    </w:p>
    <w:p>
      <w:pPr>
        <w:pStyle w:val="ListParagraph"/>
        <w:numPr>
          <w:ilvl w:val="0"/>
          <w:numId w:val="2"/>
        </w:numPr>
        <w:spacing w:after="60"/>
      </w:pPr>
      <w:r>
        <w:t xml:space="preserve">Precio por encima de 102,50 USD sin mejora de la oferta: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venta a Curium se cierra en el primer semestre de 2027: el precio está un 2,5 % bajo el efectivo, un diferencial pequeño para seis meses de riesgo regulatorio.</w:t>
      </w:r>
    </w:p>
    <w:p>
      <w:pPr>
        <w:keepNext/>
        <w:spacing w:after="100"/>
      </w:pPr>
      <w:r>
        <w:rPr>
          <w:b/>
          <w:bCs/>
        </w:rPr>
        <w:t xml:space="preserve">Lo que creemos nosotros.</w:t>
      </w:r>
    </w:p>
    <w:p>
      <w:pPr>
        <w:spacing w:after="100"/>
      </w:pPr>
      <w:r>
        <w:t xml:space="preserve">Coincidimos en que la venta se cerrará con mucha probabilidad, pero la empresa sola vale bastante menos (71-82 USD) que el precio: si la operación se rompe, el castigo sería mayor de lo que el diferencial compensa.</w:t>
      </w:r>
    </w:p>
    <w:p>
      <w:pPr>
        <w:keepNext/>
        <w:spacing w:after="100"/>
      </w:pPr>
      <w:r>
        <w:rPr>
          <w:b/>
          <w:bCs/>
        </w:rPr>
        <w:t xml:space="preserve">Por qué podemos tener razón.</w:t>
      </w:r>
    </w:p>
    <w:p>
      <w:pPr>
        <w:spacing w:after="100"/>
      </w:pPr>
      <w:r>
        <w:t xml:space="preserve">Nuestro DCF no da por hecho que PYLARIFY aguante el precio frente a Gozellix, Posluma y un reembolso de Medicare desfavorable, y la neurología depende de fármacos de alzhéimer que crecen despacio y de los análisis de sangre.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9,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Oferta en efectivo</w:t>
      </w:r>
      <w:r>
        <w:t xml:space="preserve">: 102,50 USD más un derecho de hasta 12 USD, aprobada por la junta con el 97 %.</w:t>
      </w:r>
    </w:p>
    <w:p>
      <w:pPr>
        <w:pStyle w:val="ListParagraph"/>
        <w:numPr>
          <w:ilvl w:val="0"/>
          <w:numId w:val="2"/>
        </w:numPr>
        <w:spacing w:after="60"/>
      </w:pPr>
      <w:r>
        <w:rPr>
          <w:b/>
        </w:rPr>
        <w:t xml:space="preserve">ROIC del 30 %</w:t>
      </w:r>
      <w:r>
        <w:t xml:space="preserve">: ≈ 20 puntos sobre el WACC, con caja neta.</w:t>
      </w:r>
    </w:p>
    <w:p>
      <w:pPr>
        <w:pStyle w:val="ListParagraph"/>
        <w:numPr>
          <w:ilvl w:val="0"/>
          <w:numId w:val="2"/>
        </w:numPr>
        <w:spacing w:after="60"/>
      </w:pPr>
      <w:r>
        <w:rPr>
          <w:b/>
        </w:rPr>
        <w:t xml:space="preserve">Líder en PET de próstata</w:t>
      </w:r>
      <w:r>
        <w:t xml:space="preserve">: PYLARIFY vende ≈ 1.000 M al año.</w:t>
      </w:r>
    </w:p>
    <w:p>
      <w:pPr>
        <w:pStyle w:val="ListParagraph"/>
        <w:numPr>
          <w:ilvl w:val="0"/>
          <w:numId w:val="2"/>
        </w:numPr>
        <w:spacing w:after="60"/>
      </w:pPr>
      <w:r>
        <w:rPr>
          <w:b/>
        </w:rPr>
        <w:t xml:space="preserve">Cartera nueva aprobada</w:t>
      </w:r>
      <w:r>
        <w:t xml:space="preserve">: TruVu, Tauklarify y Bravnesta en 2026.</w:t>
      </w:r>
    </w:p>
    <w:p>
      <w:pPr>
        <w:pStyle w:val="ListParagraph"/>
        <w:numPr>
          <w:ilvl w:val="0"/>
          <w:numId w:val="2"/>
        </w:numPr>
        <w:spacing w:after="60"/>
      </w:pPr>
      <w:r>
        <w:rPr>
          <w:b/>
        </w:rPr>
        <w:t xml:space="preserve">Flujo libre de ≈ 390 M al año</w:t>
      </w:r>
      <w:r>
        <w:t xml:space="preserve">: sin deuda neta.</w:t>
      </w:r>
    </w:p>
    <w:p>
      <w:pPr>
        <w:pStyle w:val="Heading2"/>
      </w:pPr>
      <w:r>
        <w:t xml:space="preserve">En contra</w:t>
      </w:r>
    </w:p>
    <w:p>
      <w:pPr>
        <w:pStyle w:val="ListParagraph"/>
        <w:numPr>
          <w:ilvl w:val="0"/>
          <w:numId w:val="2"/>
        </w:numPr>
        <w:spacing w:after="60"/>
      </w:pPr>
      <w:r>
        <w:rPr>
          <w:b/>
        </w:rPr>
        <w:t xml:space="preserve">Sin recorrido</w:t>
      </w:r>
      <w:r>
        <w:t xml:space="preserve">: el máximo es la oferta; el diferencial es del 2,5 % más el derecho.</w:t>
      </w:r>
    </w:p>
    <w:p>
      <w:pPr>
        <w:pStyle w:val="ListParagraph"/>
        <w:numPr>
          <w:ilvl w:val="0"/>
          <w:numId w:val="2"/>
        </w:numPr>
        <w:spacing w:after="60"/>
      </w:pPr>
      <w:r>
        <w:rPr>
          <w:b/>
        </w:rPr>
        <w:t xml:space="preserve">Riesgo de ruptura</w:t>
      </w:r>
      <w:r>
        <w:t xml:space="preserve">: FTC y tres países; sin oferta, la acción vale 70-80 USD.</w:t>
      </w:r>
    </w:p>
    <w:p>
      <w:pPr>
        <w:pStyle w:val="ListParagraph"/>
        <w:numPr>
          <w:ilvl w:val="0"/>
          <w:numId w:val="2"/>
        </w:numPr>
        <w:spacing w:after="60"/>
      </w:pPr>
      <w:r>
        <w:rPr>
          <w:b/>
        </w:rPr>
        <w:t xml:space="preserve">PYLARIFY pierde precio</w:t>
      </w:r>
      <w:r>
        <w:t xml:space="preserve">: −6,5 % en 2025 y −4,1 % en el 2T26.</w:t>
      </w:r>
    </w:p>
    <w:p>
      <w:pPr>
        <w:pStyle w:val="ListParagraph"/>
        <w:numPr>
          <w:ilvl w:val="0"/>
          <w:numId w:val="2"/>
        </w:numPr>
        <w:spacing w:after="60"/>
      </w:pPr>
      <w:r>
        <w:rPr>
          <w:b/>
        </w:rPr>
        <w:t xml:space="preserve">Dos productos</w:t>
      </w:r>
      <w:r>
        <w:t xml:space="preserve">: el 85 % de las ventas; exclusividad de nueva molécula vencida.</w:t>
      </w:r>
    </w:p>
    <w:p>
      <w:pPr>
        <w:pStyle w:val="ListParagraph"/>
        <w:numPr>
          <w:ilvl w:val="0"/>
          <w:numId w:val="2"/>
        </w:numPr>
        <w:spacing w:after="60"/>
      </w:pPr>
      <w:r>
        <w:rPr>
          <w:b/>
        </w:rPr>
        <w:t xml:space="preserve">Directivos</w:t>
      </w:r>
      <w:r>
        <w:t xml:space="preserve">: ninguna compra en 12 meses y bonos ligados a la venta.</w:t>
      </w:r>
    </w:p>
    <w:p>
      <w:pPr>
        <w:pStyle w:val="Heading2"/>
      </w:pPr>
      <w:r>
        <w:t xml:space="preserve">Qué tiene que pasar para que la tesis funcione</w:t>
      </w:r>
    </w:p>
    <w:p>
      <w:pPr>
        <w:spacing w:after="100"/>
      </w:pPr>
      <w:r>
        <w:t xml:space="preserve">La tesis a 12 meses depende del cierre de la venta: que la FTC deje vencer el plazo HSR el 21-oct sin pedir más información y que Alemania, Reino Unido y Suecia aprueben antes de mayo de 2027. Si la operación se rompe, lo que importa es el precio de PYLARIFY (ventas trimestrales por debajo de 230 M serían mala señal) y que neurología crezca hacia los 215 M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con la oferta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(99,92 frente a 102,50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 ruptura que ve el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PYLARIFY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(2T26,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cuota del producto principal.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neurología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M (Neuraceq,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tesis e hito del derecho contingente.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DEFINITY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 e hito del derecho contingente (400 M en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Estado regulatorio de la venta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HSR vence el 21-oct-2026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Segunda solicitud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cierre.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Lantheus viene de New England Nuclear, pionera de los isótopos médicos fundada en 1956 en Boston, que pasó por DuPont y Bristol-Myers Squibb; en 2008 el fondo Avista compró la división de imagen de BMS y la llamó Lantheus Medical Imaging, y en 2015 salió a bolsa en el Nasdaq [1]. Hasta 2020 vivía de DEFINITY (contraste para ecocardiografía) y de TechneLite (generador de tecnecio). En junio de 2020 compró Progenics con acciones y con ella el trazador PSMA que la FDA aprobó en mayo de 2021 como PYLARIFY: las ventas pasaron de 425 M en 2021 a 1.534 M en 2024 [8, 9]. Después llegaron las licencias de radioterapias de POINT (2022), Evergreen y Life Molecular (Neuraceq) en 2025, la venta del negocio SPECT a SHINE en enero de 2026 y, el 3-ago-2026, el acuerdo de venta a Curium [2, 12, 19]. Brian Markison, consejero delegado en 2025, se retiró a final de año y Mary Anne Heino volvió como presidenta ejecutiva y consejera delegada interina [6,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New England Nuclear (Boston), origen del negocio; después DuPont (1981) y Bristol-Myers Squibb (2001).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Avista Capital compra la división de imagen médica de BMS: nace Lantheus Medical Imaging.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Progenics con acciones; la FDA aprueba PYLARIFY (PET de próstata) en mayo de 2021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PYLARIFY supera los 1.000 M USD de ventas; licencia de PNT2002 y PNT2003 de POINT (260 M a gasto) [8,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Evergreen (fabricación de radiofármacos) y de Life Molecular (Neuraceq); guía rebajada en agosto; sale el consejero delegado [6, 7,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negocio SPECT a SHINE; aprobación de TruVu, Tauklarify y Bravnesta; CRL de Octevy; acuerdo de venta a Curium por 102,50 USD más derechos contingentes [2,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Lantheus fabrica (con terceros) y vende agentes de diagnóstico por imagen en EE. UU.: PYLARIFY, un trazador PET de flúor-18 que localiza el cáncer de próstata (64 % de las ventas de 2025); DEFINITY, un contraste de microburbujas para ecocardiografía (21 %); y Neuraceq, un trazador PET de amiloide para alzhéimer comprado con Life Molecular en 2025. Acaba de lanzar Tauklarify (MK-6240, tau) y PYLARIFY TruVu (fórmula nueva), y tiene aprobado Bravnesta (genérico de Lutathera). Vendió en enero de 2026 el negocio SPECT (TechneLite) a SHINE [1, 2, 14, 15].</w:t>
      </w:r>
    </w:p>
    <w:p>
      <w:pPr>
        <w:pStyle w:val="Heading2"/>
      </w:pPr>
      <w:r>
        <w:t xml:space="preserve">Cómo gana dinero</w:t>
      </w:r>
    </w:p>
    <w:p>
      <w:pPr>
        <w:spacing w:after="100"/>
      </w:pPr>
      <w:r>
        <w:t xml:space="preserve">Cobra por dosis: cada escáner PET usa una dosis de PYLARIFY o Neuraceq que fabrica un centro con ciclotrón y se inyecta en horas; DEFINITY es un vial. El margen bruto es alto (61 % en 2025, más sin amortizaciones) porque el coste es sobre todo el pago a los fabricantes PET; el margen depende del precio neto que negocia con hospitales y del reembolso de Medicare. Casi todo es recurrente (cada paciente es una venta nueva), sin estacionalidad marcada. El apalancamiento operativo es alto: un 10 % menos de precio de PYLARIFY son ≈ 100 M de EBIT menos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PYLARIFY (PET de próstata, PSMA)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DEFINITY (contraste de ecografía)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Neuraceq (PET de amiloide)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TechneLite y otros SPECT (vendidos a SHINE el 1-ene-2026)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Alianzas, regalías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PYLARIFY (PET de próstata, PSMA)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DEFINITY (contraste de ecografía)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Neuraceq (PET de amiloide)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TechneLite y otros SPECT (vendidos a SHINE el 1-ene-2026)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Alianzas, regalías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las ventas en 2023-2025 [1]. PYLARIFY se vende a hospitales, centros de imagen independientes y al Gobierno con contrato directo con Lantheus o con sus fabricantes PET (PMF), sin centrales de compras; DEFINITY va a hospitales y cardiólogos a través de distribuidores [1]. El poder de precio se ha invertido: con el fin del pago de transición de Medicare en 2025 y tres agentes de galio-68 y uno de flúor-18 compitiendo, Lantheus ha bajado el precio neto para defender volumen (la provisión de rebajas pasó de 63,5 a 167,6 M) [1]. DEFINITY sí mantiene precio, con más del 80 % del mercado de contraste ecocardiográfico de EE. UU. según la empresa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PYLARIFY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481,3 M (−5,3 %); el volumen sube y el precio neto baja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DEFINITY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172,9 M (+6,0 %)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Neuraceq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(5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75,0 M; amiloide para elegir pacientes de los fármacos anti-amiloide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remuneración en acciones ni amortización de intangibles; 35,4 % en el 1S26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rebajas comerciales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de PYLARIFY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agentes de diagnóstico por imagen molecular en EE. UU. (95 % de las ventas de Lantheus): trazadores PET de cáncer de próstata (PSMA), de amiloide y tau para alzhéimer, y contrastes de ecografía cardiaca [1]. No hay una estadística pública fiable de su tamaño: las cifras de los informes de mercado mezclan equipos, isótopos y terapias. Por eso el informe mide la posición con las ventas de cada producto frente a las de sus rivales cotizados y con las proyecciones de la propia dirección [11,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de mercado con dos fuentes independientes; como referencia, la franquicia de próstata de Lantheus (≈ 990 M USD en 2025) y la de Telix (≈ 890 M USD de ingresos del grupo en los últimos 12 meses, sobre todo Illuccix y Gozellix) [1,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del PET PSMA en cáncer de próstata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PYLARIFY pasó de 43 M en 2021 a 1.058 M en 2024 y su volumen siguió subiendo en 2025 y 2026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de Medicare (pago de transición y coste medio por unidad)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1-ene-2025 PYLARIFY cobra por coste medio y sus rivales con pago de transición por precio medio +6 %; CMS mantiene el coste medio en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anti-amiloide para alzhéimer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Neuraceq vende 75 M en el 1S26; la dirección proyecta 290 M en neurología en 2028 y 365 M en 2030 [2,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nuevas moléculas tras el fin de la exclusividad de PYLARIFY (mayo de 2026)</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NCE-1 el 26-may-2025 y NCE el 26-may-2026; seis patentes hasta 2037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Ecocardiografía con contraste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DEFINITY +3,9 % en 2025 y +6 % en el 1S26 con más del 80 % del mercado de EE. UU.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PSMA PET compiten Telix (Illuccix, Gozellix), Bracco (Posluma) y Novartis (Locametz); el precio neto de PYLARIFY baja desde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Hospitales y centros de imagen negocian contratos y siguen el reembolso de Medicare; ningún cliente pesa más del 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los fabricantes PET con ciclotrón (PMF) y de Jubilant HollisterStier para DEFINITY (contrato hasta 2027)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aprobación de la FDA por cada sitio de producción, pero tras mayo de 2026 caben genéricos (505(b)(2) o ANDA)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Imagen convencional (TAC, gammagrafía) y en alzhéimer los análisis de sangre de amiloide y tau [1].</w:t>
            </w:r>
          </w:p>
        </w:tc>
      </w:tr>
    </w:tbl>
    <w:p>
      <w:pPr>
        <w:spacing w:after="160" w:before="0"/>
      </w:pPr>
    </w:p>
    <w:p>
      <w:pPr>
        <w:pStyle w:val="Heading2"/>
      </w:pPr>
      <w:r>
        <w:t xml:space="preserve">Ciclo</w:t>
      </w:r>
    </w:p>
    <w:p>
      <w:pPr>
        <w:spacing w:after="100"/>
      </w:pPr>
      <w:r>
        <w:t xml:space="preserve">No es un sector cíclico: el volumen de PET depende de la incidencia del cáncer y del reembolso, no de la economía. En 2020 la pandemia retrasó pruebas y los ingresos de Lantheus cayeron un 2 %; en 2008-09 la empresa (entonces privada, de Avista) dependía del tecnecio. El ciclo que importa es el del producto: PYLARIFY está en madurez y bajando de precio, y neurología empieza [1, 11].</w:t>
      </w:r>
    </w:p>
    <w:p>
      <w:pPr>
        <w:pStyle w:val="Heading2"/>
      </w:pPr>
      <w:r>
        <w:t xml:space="preserve">Regulación</w:t>
      </w:r>
    </w:p>
    <w:p>
      <w:pPr>
        <w:spacing w:after="100"/>
      </w:pPr>
      <w:r>
        <w:t xml:space="preserve">Medicare paga los radiofármacos de diagnóstico aparte desde 2025 si cuestan más de 630 USD por día, por coste medio; los productos nuevos tienen tres años de pago de transición por precio medio +6 % (PYLARIFY lo tuvo de 2022 a 2024 y TruVu puede pedirlo) [1]. La FDA aprueba cada sitio de fabricación PET [1]. La fusión con Curium necesita el visto bueno de la FTC (el plazo HSR vence el 21-oct-2026) y de Alemania, Reino Unido y Suecia [15].</w:t>
      </w:r>
    </w:p>
    <w:p>
      <w:pPr>
        <w:pStyle w:val="Heading2"/>
      </w:pPr>
      <w:r>
        <w:t xml:space="preserve">Tendencias y disrupción</w:t>
      </w:r>
    </w:p>
    <w:p>
      <w:pPr>
        <w:spacing w:after="100"/>
      </w:pPr>
      <w:r>
        <w:t xml:space="preserve">El diagnóstico se acerca a la terapia (teranóstica: PSMA para Pluvicto, somatostatina para Lutathera), lo que valora la base instalada de PET. Llegan análisis de sangre para alzhéimer que pueden reducir los PET de cribado pero aumentar los de confirmación; la IA lee imágenes (aPROMISE de Lantheus) pero no sustituye al trazador [1,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PET de próstata (PSMA) en EE. UU. por ventas, 1.º en contraste ecocardiográfico (más del 80 %), 3.º en PET de amiloide tras Lilly y GE (Neuraceq), y 2.º en tau (Tauklarify, aprobado en agosto de 2026, frente a Tauvid de Lilly)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Telix Pharmaceuticals (Illuccix, Gozellix)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Galio-68 en kit, más barato de producir; Gozellix con pago de transición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 (Flyrcado, Vizamyl, Optison)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amiloide y contraste; socio de Lantheus en Flyrcado y en Japón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Bracco / Blue Earth Diagnostics (Posluma, Lumason)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PSMA de flúor-18 y contraste ecográfico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 (Locametz, Pluvicto, Lutathera)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PSMA de galio-68 ligado a su terapia Pluvicto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(Amyvid, Tauvid)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amiloide y tau; trazadores ligados a sus fármacos de alzhéimer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Curium (comprador; Detectnet, Bexlutry)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Privado (CapVest); licenciatario de PYLARIFY en Europa (Pylclari) [1,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fabricantes PET con ciclotrón da alcance en 48 estados, pero no crece con cada cliente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cambian de trazador PSMA por precio: PYLARIFY baja de precio para conservar volumen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PYLARIFY y DEFINITY hasta 2037 y de Neuraceq hasta 2032; la exclusividad NCE de PYLARIFY venció en mayo de 2026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flúor-18 permite lotes grandes; TruVu aumenta las dosis por lote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pequeños con 3-4 rivales y aprobación de la FDA por sitio [1].</w:t>
            </w:r>
          </w:p>
        </w:tc>
      </w:tr>
    </w:tbl>
    <w:p>
      <w:pPr>
        <w:spacing w:after="160" w:before="0"/>
      </w:pPr>
    </w:p>
    <w:p>
      <w:pPr>
        <w:pStyle w:val="Heading2"/>
      </w:pPr>
      <w:r>
        <w:t xml:space="preserve">Amenazas</w:t>
      </w:r>
    </w:p>
    <w:p>
      <w:pPr>
        <w:spacing w:after="100"/>
      </w:pPr>
      <w:r>
        <w:t xml:space="preserve">La amenaza principal es el precio de PYLARIFY: con los rivales cobrando a precio medio +6 % por el pago de transición y PYLARIFY a coste medio, Lantheus descuenta, y desde mayo de 2026 caben genéricos de piflufolastat (la empresa no había recibido avisos de Paragraph IV a la fecha del 10-K) [1]. La dirección proyecta la franquicia de próstata en 946 M en 2026, máximo de 1.046 M en 2028 y 991 M en 2030 [11]. En neurología, los análisis de sangre y Lilly; en DEFINITY, un genérico posible de perflutren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2018-2025: ingresos </w:t>
      </w:r>
      <w:r>
        <w:rPr>
          <w:b/>
          <w:bCs/>
        </w:rPr>
        <w:t xml:space="preserve">23,9 %</w:t>
      </w:r>
      <w:r>
        <w:t xml:space="preserve">, EBITDA </w:t>
      </w:r>
      <w:r>
        <w:rPr>
          <w:b/>
          <w:bCs/>
        </w:rPr>
        <w:t xml:space="preserve">30,1 %</w:t>
      </w:r>
      <w:r>
        <w:t xml:space="preserve">, BPA </w:t>
      </w:r>
      <w:r>
        <w:rPr>
          <w:b/>
          <w:bCs/>
        </w:rPr>
        <w:t xml:space="preserve">18,7 %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339 M USD en 2020 a 1.534 M en 2024 por PYLARIFY (de 43 M en 2021 a 1.058 M en 2024) y se pararon en 2025 (1.542 M, +0,5 %): PYLARIFY cayó un 6,5 %, hasta 989 M, por precio neto (fin del pago de transición de Medicare el 1-ene-2025 y más descuentos ante Illuccix, Gozellix y Posluma), mientras DEFINITY subía un 3,9 % (330 M) y entraban Neuraceq (51 M en 5 meses) y la fabricación para terceros de Evergreen [1, 5]. En el primer semestre de 2026, ya sin el negocio SPECT vendido a SHINE (TechneLite: 87 M en 2025), los ingresos suben un 2,0 % (765,5 M) gracias a Neuraceq (75 M) y DEFINITY (173 M, +6 %), con PYLARIFY −5,3 % [2, 3, 4]. El margen operativo ajustado de la empresa bajó del 41,9 % de 2024 al 36,0 % en 2025 y al 35,4 % en el semestre: el precio de PYLARIFY y los gastos de las dos compras [3, 5].</w:t>
      </w:r>
    </w:p>
    <w:p>
      <w:pPr>
        <w:pStyle w:val="Heading2"/>
      </w:pPr>
      <w:r>
        <w:t xml:space="preserve">Ajustes y partidas no recurrentes</w:t>
      </w:r>
    </w:p>
    <w:p>
      <w:pPr>
        <w:spacing w:after="100"/>
      </w:pPr>
      <w:r>
        <w:t xml:space="preserve">Lantheus publica un BPA ajustado que quita la remuneración en acciones (85,6 M en 2025: 1,25 USD por acción antes de impuestos), la amortización de intangibles comprados (47,1 M), los costes de compras, integración y venta (84,3 M), las licencias estratégicas (21,8 M), el ajuste de la contraprestación contingente y la variación de valor de las participaciones en Radiopharm y Perspective [5]. El BPA ajustado fue 6,08 USD en 2025 frente a 3,41 GAAP. En este informe el BPA de referencia es el ajustado CON la remuneración en acciones (un coste real y recurrente): 5,12 USD en 2025, 5,94 en 2024 y 5,68 en 2023. En el EBITDA se devuelven como no recurrentes el deterioro de 2023 (138 M de RELISTOR y AZEDRA), las licencias de I+D compradas de 2022 (260 M, PNT2002/2003) y 2024 (66 M) y los costes de compra e integración de 2025 [5, 8, 9]. En el semestre de 2026 el GAAP lleva una plusvalía de 59,5 M por la venta del negocio SPECT y 31,8 M de bajada de la contraprestación contingente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BPA ajustado de la empresa (sin remuneración en acciones). En el 2T26 no hubo conferencia: el 6-ago-2026, tres días después de firmar la venta a Curium, Lantheus publicó ingresos de 388,2 M (+2,7 %), PYLARIFY 240,4 M (−4,1 %), Neuraceq 39,6 M y DEFINITY 88,3 M (+5,2 %), y suspendió la guía de 2026 (1.400-1.450 M de ingresos y 5,00-5,25 USD de BPA ajustado, reafirmada en mayo) [3, 4]. En la conferencia del 1T26 la dirección (Mary Anne Heino, consejera delegada interina desde enero) centró el mensaje en el paso de PYLARIFY a la fórmula nueva TruVu desde el 4T26 (más dosis por lote, nuevo código de reembolso con pago de transición) y en la aprobación provisional de PNT2003 [4]. En febrero había anunciado que se concentra en el diagnóstico PET y busca alternativas para las terapias [5]. Las dos notas de 2026 batieron al consenso de Seeking Alpha (1,46 frente a 1,23 y 1,55 frente a 1,30 USD) según los titulares de esa web; la empresa no comentó el precio neto de PYLARIFY más allá de «descenso del precio neto»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Progenics, comprada en junio de 2020 con acciones (aporta PYLARIFY, entonces en desarrollo): las acciones pasan de 40 a 67 M.; 2025: Evergreen Theragnostics (1-abr-2025, 276 M) y Life Molecular Imaging (21-jul-2025, 353 M con Neuraceq): el balance las recoge enteras y la cuenta solo 9 y 5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caja cayó de 913 M (2024) a 359 M (2025) por las compras de Evergreen y Life Molecular (≈ 576 M netos) y 300 M de recompras, y volvió a 593 M en junio de 2026 con 217 M de flujo operativo en el semestre y 24 M de la venta a SHINE [1, 2]. La deuda neta es casi nula (575 M de convertible frente a 593 M de caja). El circulante comercial es alto para el sector, ≈ 23 % de las ventas, por los cobros a 80 días de los centros de PET y distribuidores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2018-2025: FCF </w:t>
      </w:r>
      <w:r>
        <w:rPr>
          <w:b/>
          <w:bCs/>
        </w:rPr>
        <w:t xml:space="preserve">1.512</w:t>
      </w:r>
      <w:r>
        <w:t xml:space="preserve">, conversión </w:t>
      </w:r>
      <w:r>
        <w:rPr>
          <w:b/>
          <w:bCs/>
        </w:rPr>
        <w:t xml:space="preserve">170 %</w:t>
      </w:r>
      <w:r>
        <w:t xml:space="preserve"> del beneficio neto; adquisiciones 1.089, dividendos 0, recompras 475.</w:t>
      </w:r>
    </w:p>
    <w:p>
      <w:pPr>
        <w:spacing w:after="100"/>
      </w:pPr>
      <w:r>
        <w:t xml:space="preserve">El flujo operativo pasó de 54 M en 2021 a 545 M en 2024 con PYLARIFY y bajó a 390 M en 2025 por el precio, los costes de compra y los impuestos; en el semestre de 2026 fueron 217 M [1, 2, 8, 9]. El capex es pequeño (2-4 % de las ventas: la producción de PYLARIFY y Neuraceq la hacen terceros en sus ciclotrones); en 2026 casi desaparece (5,6 M en el semestre) [2]. La caja se ha ido a comprar productos y licencias (260 M en 2022, ≈ 776 M entre 2024 y 2025 con Evergreen y Life Molecular) y a recompras (475 M de 2022 a 2025) [1]. Estimación propia: casi todo el capex es de mantenimiento; el crecimiento se compra con licencias y adquisiciones que no pasan por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desde 2007 [1]. Tres asuntos pesan en la lectura: la remuneración en acciones (85,6 M en 2025, 5,6 % de las ventas y 37 % del beneficio neto) que el BPA ajustado excluye; las licencias de I+D compradas que se llevan a gasto de una vez (260 M en 2022, 66 M en 2024) y que la empresa quita del ajustado aunque son su forma de crecer; y la contraprestación contingente, que sube y baja el resultado (−31,8 M de gasto en el semestre de 2026) [2, 5]. Las rebajas comerciales se dispararon: la provisión del año pasó de 63,5 M en 2024 a 167,6 M en 2025 por los contratos de PYLARIFY [1]. Los ingresos se reconocen en la entrega de cada dosis; no hay ingresos anticipados relevantes.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 y excluida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85,6 M en 2025 (1,25 USD por acción); este informe la cuenta como gasto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Rebajas comerciales de PYLARIFY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anual 167,6 M en 2025 frente a 63,5 M en 2024: la caída de precio va por contratos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Contraprestación contingente en el resultado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de valor de los pagos aplazados de Evergreen y Life Molecular (−31,8 M en el 1S26)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240 M en 2025 (el 15 % del capital invertido medio); ha subido más de un 5 % en 2 de 7 años: compra única grande. ROIC publicado 30,4 %; sin fondo de comercio, 35,6 %.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32,2 % · </w:t>
      </w:r>
      <w:r>
        <w:rPr>
          <w:b/>
          <w:bCs/>
        </w:rPr>
        <w:t xml:space="preserve">WACC</w:t>
      </w:r>
      <w:r>
        <w:t xml:space="preserve">: 10,3 %.</w:t>
      </w:r>
    </w:p>
    <w:p>
      <w:pPr>
        <w:spacing w:after="100"/>
      </w:pPr>
      <w:r>
        <w:t xml:space="preserve">Lantheus crea mucho valor desde que vende PYLARIFY: el ROIC del motor fue del 59,7 % en 2022, 62,6 % en 2023 y 53,9 % en 2024, y bajó al 30,4 % en 2025 (35,6 % sin fondo de comercio) frente a un WACC del 10,3 %: ≈ +20 puntos [10]. La bajada tiene dos causas: el capital invertido subió con Evergreen y Life Molecular (≈ 575 M pagados en 2025, que todavía rinden poco: Neuraceq vendió 51 M en medio año) y el resultado operativo GAAP cayó por los costes de esas compras y la menor venta de PYLARIFY [1, 5]. El ROIC incremental de 2018-2025 es del 32,2 %. Lo mueve el margen (≈ 31 % de EBITDA con la remuneración en acciones como gasto) y no la rotación: es un negocio de patentes y aprobaciones, con poca fábrica (capex del 2-3 % de las ventas). Tendencia: a la baja, porque el precio de PYLARIFY cae y lo nuevo (neurología, Bravnesta) aún no tiene escala; aun así, sobra margen sobre el coste de capital.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593,3 M a 30-jun-2026 y línea de crédito no dispuesta de 750 M hasta dic-2029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localizado (la deuda es un bono convertible sin calificar).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Bonos convertibles de 575 M al 2,625 % con vencimiento el 15-dic-2027 y precio de conversión de 79,81 USD: a 100 USD están dentro del dinero, se pagan en efectivo el principal y en acciones el exceso (≈ 1,4 M de acciones) [1, 2]. Contraprestación contingente de las compras de Evergreen y Life Molecular: 51,1 M a largo plazo a 30-jun-2026 (73,3 M en diciembre; la bajada de 31,8 M pasó por la cuenta) [2]. Hitos y regalías por pagar en licencias (Life Molecular hasta 400 M en hitos, PNT2002/2003, NAV-4694, MK-6240 de Cerveau) que se registran cuando se cumplen [1]. Activos: participaciones en Radiopharm, Perspective e Illuminated (SHINE) por 119,0 M y pagarés de SHINE por 24,5 M [2]. Pasivos por retiro de activos y arrendamientos menores.</w:t>
      </w:r>
    </w:p>
    <w:p>
      <w:pPr>
        <w:pStyle w:val="Heading1"/>
      </w:pPr>
      <w:r>
        <w:t xml:space="preserve">12. Asignación de capital</w:t>
      </w:r>
    </w:p>
    <w:p>
      <w:pPr>
        <w:pStyle w:val="Confianza"/>
        <w:spacing w:after="100"/>
      </w:pPr>
      <w:r>
        <w:t xml:space="preserve">Confianza: Alta</w:t>
      </w:r>
    </w:p>
    <w:p>
      <w:pPr>
        <w:spacing w:after="100"/>
      </w:pPr>
      <w:r>
        <w:t xml:space="preserve">Sin dividendo. Recompras: 75 M en 2022, 100 M en 2024 y 300 M en 2025 (programa de 400 M aprobado en julio de 2025) [1, 7]. Desde el acuerdo con Curium (3-ago-2026) la empresa no puede recomprar ni pagar dividendos sin permiso del comprador [11]. La prioridad declarada hasta la venta era comprar o licenciar radiofármacos de diagnóstico y terapia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Progenics Pharmaceuticals (PYLARIFY, AZEDRA, RELISTOR, aPROMISE)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 26,7 M) más derechos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mejor compra de la empresa: PYLARIFY llegó a 1.058 M de ventas en 2024; AZEDRA se retiró en 2024 con deterioro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PNT2002 y PNT2003 (POINT Biopharma)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PNT2002 no se lanzó (Lilly compró POINT); PNT2003 (Bravnesta, genérico de Lutathera) aprobado en septiembre de 2026 tras ganar el litigio de patentes en junio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Cerveau Technologies (MK-6240, trazador de tau)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hitos y regalías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MK-6240 aprobado por la FDA en agosto de 2026 (Tauklarify)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Evergreen Theragnostics (fabricación de radiofármacos para terceros)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ingresos de fabricación en «Strategic partnerships»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Molecular Imaging (Neuraceq, NAV-4694 y otros)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más hasta 400 M en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Neuraceq vende ≈ 150 M al año (75 M en el 1S26), por encima de lo esperado; la dirección proyecta 290 M en neurología en 2028 [2, 11].</w:t>
            </w:r>
          </w:p>
        </w:tc>
      </w:tr>
    </w:tbl>
    <w:p>
      <w:pPr>
        <w:spacing w:after="160" w:before="0"/>
      </w:pPr>
    </w:p>
    <w:p>
      <w:pPr>
        <w:spacing w:after="100"/>
      </w:pPr>
      <w:r>
        <w:t xml:space="preserve">La dirección ha sido buena asignadora cuando compró Progenics con acciones baratas en 2020: de esa compra salió casi todo el valor de la empresa. Desde 2022 las compras se pagan en caja y su retorno aún no se ve: ROIC del 32,7 % en 2024 frente a uno muy inferior en 2025 por los 600 M de Evergreen y Life Molecular y la caída de PYLARIFY. Las recompras de 300 M en 2025 a una media de ≈ 63 USD (7,24 M de acciones en autocartera a coste de 477 M) [1] quedan bien frente a los 102,50 de la oferta. La venta a Curium cierra la historia: el accionista recibe 102,50 USD en efectivo y hasta 12 USD en derechos contingentes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Anne Heino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ejecutiva y consejera delegada (interina desde el 1-ene-2026)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2015 a 2025: llevó la empresa de 300 M de ventas a 1.500 M con la compra de Progenics y PYLARIFY. Volvió como presidenta ejecutiva en noviembre de 2025 tras la salida de Brian Markison y negoció la venta a Curium [11,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J. Marshall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2015 en finanzas; director financiero desde 2019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Ludger Dinkelborg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ciencia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Life Molecular Imaging, de la que era consejero delegado; responsable del desarrollo de Neuraceq y NAV-4694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Morgan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ventas de PYLARIFY y DEFINITY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 M. Niedzwiecki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administrativo y secretario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general; firma los 8-K de la fusión [16,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1.510-1.530 M y BPA ajustado 6,50-6,60 USD (última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1.533,9 M y 6,76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(mayo): 1.550-1.585 M y 6,60-6,70 USD; rebajada en agosto a 1.475-1.510 M y 5,50-5,70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1.541,6 M y 6,08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1.400-1.450 M y 5,00-5,25 USD (febrero, reafirmada en mayo; suspendida en agosto por la fusión)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765,5 M y 3,01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de la casa, pero la cúpula se movió en 2025: Paul Blanchfield (presidente) se fue y el consejero delegado Brian Markison anunció su retiro en noviembre de 2025 tras rebajar dos veces la guía de 2025; volvió Heino como interina [4, 11]. La guía de 2025 se rebajó en agosto un 6 % en ingresos y un 16 % en BPA, y luego se batió; la de 2026 se superaba al ritmo del semestre [4]. No hay sucesor permanente: el consejo dejó de buscarlo con la venta. Tras el cierre, la gestión pasa a Curium.</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Anne Heino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McHugh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Minnie Baylor-Henry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Heinz Mäusli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Phuong Khanh (P.K.) Morrow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Gary J. Pruden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James H. Thrall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Gérard 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Eastland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Samuel Leno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Farallon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arbitraje de fusiones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tras el anuncio de la venta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Janus Henderson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(13G de nov-2025)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jul-2026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7,24 M de acciones (477 M a coste) tras las recompras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depende un 60 % de ingresos y «BPA de bonus» y un 40 % de objetivos estratégicos; el largo plazo, de acciones restringidas y PSU [16]. Brian Markison cobró ≈ 13,7 M USD como consejero delegado en 2025 (ratio de 79 veces el empleado medio) [16]. Con la venta: bolsa de 6 M de bonos por la operación (4 M para Heino y 0,5 M para Niedzwiecki), aceleración de opciones y unidades, y PSU convertidas a solo tiempo [19]. La retribución ligada a la fusión obtuvo un 13,7 % de votos en contra el 14-oct-2026 (49,1 M a favor y 7,8 M en contra); la retribución ordinaria, un 3,5 % en contra en abril [17, 18].</w:t>
      </w:r>
    </w:p>
    <w:p>
      <w:pPr>
        <w:pStyle w:val="Heading2"/>
      </w:pPr>
      <w:r>
        <w:t xml:space="preserve">Operaciones vinculadas, estructura de control y defensas</w:t>
      </w:r>
    </w:p>
    <w:p>
      <w:pPr>
        <w:spacing w:after="100"/>
      </w:pPr>
      <w:r>
        <w:t xml:space="preserve">Sin accionista de control: el mayor es BlackRock con el 13,2 % y los fondos de arbitraje (Farallon 8,6 %) han entrado tras el anuncio [11]. Una acción, un voto. El consejo, que era escalonado, se desclasifica en tres años desde la junta de 2026 [17]. La fusión fue aprobada el 14-oct-2026 por el 97 % de los votos emitidos (55,5 M a favor, 1,6 M en contra) [18]. Comisión de ruptura: 228 M a pagar por Lantheus si acepta una oferta mejor; 385 M o 100 M (regulatoria) a pagar por Curium [19].</w:t>
      </w:r>
    </w:p>
    <w:p>
      <w:pPr>
        <w:pStyle w:val="Heading2"/>
      </w:pPr>
      <w:r>
        <w:t xml:space="preserve">Señales de alerta</w:t>
      </w:r>
    </w:p>
    <w:p>
      <w:pPr>
        <w:pStyle w:val="ListParagraph"/>
        <w:numPr>
          <w:ilvl w:val="0"/>
          <w:numId w:val="2"/>
        </w:numPr>
        <w:spacing w:after="60"/>
      </w:pPr>
      <w:r>
        <w:t xml:space="preserve">Venta pendiente a Curium (102,50 USD en efectivo más hasta 12 USD en derechos contingentes), aprobada por los accionistas; falta la FTC y reguladores de Alemania, Reino Unido y Suecia [18, 19].</w:t>
      </w:r>
    </w:p>
    <w:p>
      <w:pPr>
        <w:pStyle w:val="ListParagraph"/>
        <w:numPr>
          <w:ilvl w:val="0"/>
          <w:numId w:val="2"/>
        </w:numPr>
        <w:spacing w:after="60"/>
      </w:pPr>
      <w:r>
        <w:t xml:space="preserve">Tres demandas de accionistas y dieciséis cartas por la información del proxy; la empresa publicó información adicional sin admitir culpa [21].</w:t>
      </w:r>
    </w:p>
    <w:p>
      <w:pPr>
        <w:pStyle w:val="ListParagraph"/>
        <w:numPr>
          <w:ilvl w:val="0"/>
          <w:numId w:val="2"/>
        </w:numPr>
        <w:spacing w:after="60"/>
      </w:pPr>
      <w:r>
        <w:t xml:space="preserve">Dos cambios de consejero delegado en 24 meses (Markison en 2025 y Heino como interina en 2026)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(ingresos de 1.400-1.450 M y BPA ajustado de 5,00-5,25 USD, dada en febrero y reafirmada el 7-may) quedó suspendida el 6-ago-2026 por la fusión, sin conferencia [3]. No hay plan a medio plazo público; el proxy de la fusión publica las proyecciones internas de la dirección: ingresos de 1.513 M en 2026, 1.621 M en 2027, 1.807 M en 2028 y 2.017 M en 2030, con un EBIT ajustado (sin remuneración en acciones) de 525, 592, 679 y 742 M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9 analistas, BPA ajustado de la empresa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10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Proyección de la dirección en el proxy de la fusión (EBIT ajustado), no consenso [11]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102,50 – 115,00</w:t>
            </w:r>
          </w:p>
        </w:tc>
      </w:tr>
    </w:tbl>
    <w:p>
      <w:pPr>
        <w:spacing w:after="160" w:before="0"/>
      </w:pPr>
    </w:p>
    <w:p>
      <w:pPr>
        <w:pStyle w:val="Heading2"/>
      </w:pPr>
      <w:r>
        <w:t xml:space="preserve">Revisiones de estimaciones</w:t>
      </w:r>
    </w:p>
    <w:p>
      <w:pPr>
        <w:spacing w:after="100"/>
      </w:pPr>
      <w:r>
        <w:t xml:space="preserve">Solo Yahoo publica gratis estimaciones completas; MarketScreener no se consultó. Las estimaciones apenas se mueven en 3 meses (BPA 2026 de 5,37 a 5,36; 2027 de 6,35 a 6,38) porque la mayoría de los analistas pasó a «mantener» al anunciarse la venta y fijó el objetivo en el precio de la oferta: el mínimo es 102,50 USD y el medio 106,99 con 8 objetivos [23]. Antes de la oferta los objetivos iban de 98 a 129 USD según el proxy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bl>
    <w:p>
      <w:pPr>
        <w:spacing w:after="160" w:before="0"/>
      </w:pPr>
    </w:p>
    <w:p>
      <w:pPr>
        <w:spacing w:after="100"/>
      </w:pPr>
      <w:r>
        <w:t xml:space="preserve">La acción subió un 80 % en un año (frente al 17 % del S&amp;P 500) en dos saltos: la recuperación desde el mínimo de 50,15 USD de noviembre de 2025 con los resultados que batían la guía, y la especulación sobre la venta (+24 % en mayo de 2026 tras el artículo de Bloomberg del 22-may) [15, 22]. Desde el anuncio (3-ago) cotiza pegada a la oferta: entre 96 y 101 USD, un 2-6 % por debajo de los 102,50 en efectivo [26]. La beta mensual de 5 años (0,01) no sirve; la semanal de 5 años ajustada es 0,81 [22]. La caída máxima de 5 años refleja la bajada de 2025 por el precio de PYLARIFY.</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-4,3 % / +22,7 % / +80,0 %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 +97,5 %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descarta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Mientras siga viva la venta a Curium (102,50 USD en efectivo más derechos contingentes) la acción no puede llegar a un objetivo independiente: no es una compra value. Si la FTC o la financiación rompen la operación, rehacer el informe con el precio de entonces.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(6-nov): BPA ajustado de 1,27 USD (−25 %), guía de 2025 rebajada y retiro del consejero delegado; −6,2 % y −4,9 % en dos sesiones, mínimo de 52 semanas el 10-nov [15,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con la guía de 2026 por encima de lo temido y el 1T26 que bate (1,46 frente a 1,23 USD), más la aprobación de TruVu y de PNT2003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Bloomberg publica el 22-may que Lantheus estudia su venta tras una oferta (Curium); precio no afectado de 94,47 USD el 21-may [11,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Recogida de beneficios desde el máximo de 111,86 USD (30-jun) y CRL de LNTH-2501 (26-jun); el 27-jul Bloomberg cifra la oferta en ≈ 7.000 M, por debajo de lo que descontaba el precio [15,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venta a Curium (CapVest) por 102,50 USD en efectivo más un derecho contingente de hasta 12 USD por ventas de 2028-2030; prima del 9 % sobre el precio no afectado; fecha límite 2-may-2027 (prorrogable a 30-nov-2027) [11,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queda fijado por la oferta: la tesis independiente del informe no se puede cumplir mientras la venta siga viva; se rehace el informe solo si la operación se rompe.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a las 23:59 (hora del Este) el plazo HSR de la FTC tras la retirada y nueva presentación del 17/21-sep; si la FTC pide más información (segunda solicitud) el cierre se retrasa; solapes posibles en PSMA (Cu-64 PSMA I&amp;T de Curium), en genéricos de Lutathera (Bexlutry de Curium y Bravnesta de Lantheus) y en cardiología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la FTC deje vencer el plazo o pida más información; una ruptura llevaría la acción hacia 70-80 USD (estimación propia con el DCF y los comparables).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la fusión con el 97 % de los votos emitidos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bancos (JPMorgan) preparan 4.250 M de deuda para financiar a Curium; la operación no tiene condición de financiación [19,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demandas de accionistas y dieciséis cartas por la información del proxy; la empresa amplía la información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Tauklarify (MK-6240), trazador PET de tau; el 22-sep, Bravnesta (PNT2003)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oferta la mayoría de analistas baja a «mantener» con objetivo en el precio de la oferta: 2 comprar y 8 mantener; objetivo medio 106,99 USD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5-nov-2026 (sin conferencia previsible)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Desde el 3-ago-2026 el precio lo fija la oferta de Curium: la acción cotiza a 99,92 USD (cierre del 19-oct), un 2,5 % por debajo de los 102,50 en efectivo, con una volatilidad de 60 sesiones del 13 %, propia de una acción en arbitraje [19, 26]. Lo que queda por resolver es regulatorio: el plazo HSR vence el 21-oct y Curium compite con Lantheus en genéricos de Lutathera y en PSMA, por eso la FTC pidió más tiempo; la empresa sigue esperando cerrar en el primer semestre de 2027 [27]. No hay ventas de directivos en mercado ni colocaciones. Veredicto global: descarta como compra value (el recorrido está topado por la oferta y el riesgo de ruptura es asimétrico a la baja); la decisión es de arbitraje, no de valor.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GAAP el PER histórico no dice nada: 2020 y 2021 son años de pérdidas, 2022 lleva 260 M de licencias a gasto y 2023 un deterioro de 138 M; por eso se excluyen 2020-2022 de la mediana. En base ajustada con remuneración en acciones (la del objetivo a 12 meses), la acción cotizó entre 7 y 18 veces el beneficio del año siguiente de 2021 a 2025: el mercado nunca se creyó que PYLARIFY aguantara precio. Hoy, a 18,9 veces nuestro BPA de los próximos 12 meses, cotiza por encima de toda su historia salvo 2024, porque el precio es el de la oferta, no el del negocio.</w:t>
      </w:r>
    </w:p>
    <w:p>
      <w:pPr>
        <w:pStyle w:val="Heading1"/>
      </w:pPr>
      <w:r>
        <w:t xml:space="preserve">18. Comparables cotizados</w:t>
      </w:r>
    </w:p>
    <w:p>
      <w:pPr>
        <w:pStyle w:val="Confianza"/>
        <w:spacing w:after="100"/>
      </w:pPr>
      <w:r>
        <w:t xml:space="preserve">Confianza: Media</w:t>
      </w:r>
    </w:p>
    <w:p>
      <w:pPr>
        <w:spacing w:after="100"/>
      </w:pPr>
      <w:r>
        <w:t xml:space="preserve">No hay radiofármacos de diagnóstico rentables y cotizados en EE. UU. aparte de Lantheus. Se usa el grupo de Morgan Stanley en el proxy (tecnología médica de tamaño parecido: Globus, Merit, Haemonetics, CONMED, Integra, Telix) más GE HealthCare (rival en diagnóstico farmacéutico) y Bruker (imagen preclínica) [11]. Elekta se quita porque cotiza en coronas y el ejercicio acaba en abril. Telix no tiene PER (beneficio casi nulo). Todas con datos de Yahoo del 20-oct-2026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Lantheus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Globus Medical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Merit Medical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Haemonetics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Telix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14,0x / 18,0x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14,8x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3,0x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bl>
    <w:p>
      <w:pPr>
        <w:spacing w:after="160" w:before="0"/>
      </w:pPr>
    </w:p>
    <w:p>
      <w:pPr>
        <w:spacing w:after="100"/>
      </w:pPr>
      <w:r>
        <w:t xml:space="preserve">La mediana del PER de los próximos 12 meses del grupo es 14,8x, y Morgan Stanley usó 7,9-10,5 veces el EBITDA ajustado de 2026, que daba 63,85-84,20 USD por acción [11]. Lantheus cotiza a ≈ 15,7 veces el BPA ajustado adelantado de Yahoo (sin remuneración en acciones) y a 18,9 veces el nuestro: por encima de los comparables con menos crecimiento (−3 % en 2026 por la venta del SPECT). La prima la explica la oferta, no el negocio: a los múltiplos del grupo la acción valdría 70-85 USD.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Lantheus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Curium (CapVest)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102,50 USD × 67,5 M de acciones diluidas + 575 M de convertible − 593 M de caja − 119 M de participaciones; sin los derechos contingentes (hasta 12 USD, 3,51 de valor actual según Morgan Stanley). EBITDA ajustado de los últimos 12 meses ≈ 555 M (resultado operativo ajustado 529,6 + depreciación) [3, 11,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Molecular Imaging (Neuraceq)</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Lantheus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hasta 400 M en hitos; sin cifras de ventas publicadas de la comprada.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Evergreen Theragnostics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Lantheus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radiofármacos para terceros; sin cifras de ventas publicadas.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SPECT (TechneLite y otros)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caja, pagarés y acciones de Illuminated; plusvalía de 59,5 M; sin precio total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POINT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Radioterapias sin ventas (socio de Lantheus en PNT2002/2003).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única transacción con múltiplo es la propia venta a Curium: ≈ 12,3 veces el EBITDA ajustado de los últimos 12 meses y 4,4 veces las ventas, con una prima del 9 % sobre el precio no afectado (94,47 USD) frente al 26-42 % habitual en compras sanitarias de 4.000-20.000 M que cita Morgan Stanley [11]. La prima baja se explica por la subida previa (+80 % en un año) y porque el consejo solo encontró otro interesado (Parte A) que no ofertó [11]. Una oferta mejor es improbable: el proceso duró de febrero a agosto y nadie más pujó.</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(fijo): la guía suspendida era de 1.400-1.450 M y el consenso es de 1.474 M [5, 23]; el 1S26 vendió 765,5 M y el 2S pierde el negocio SPECT vendido a SHINE (TechneLite: 87 M en 2025) y sigue la bajada de precio de PYLARIFY (−4,1 % en el 2T26) [2, 3]. Después +6 % en 2027e, +6,5 % en 2028e y +5 % en 2029e con Neuraceq, Tauklarify, Bravnesta y TruVu, por debajo de la dirección (+7 %, +11,5 % y +8 % [11]) y del consenso (1.654 y 1.807 M [23]), porque no damos por hecho que PYLARIFY aguante su precio; +2 % en 2030e por la presión de genéricos y de nuevos PSMA, y 3-4 % después.</w:t>
      </w:r>
    </w:p>
    <w:p>
      <w:pPr>
        <w:keepNext/>
        <w:spacing w:after="100"/>
      </w:pPr>
      <w:r>
        <w:rPr>
          <w:b/>
          <w:bCs/>
        </w:rPr>
        <w:t xml:space="preserve">Márgenes.</w:t>
      </w:r>
    </w:p>
    <w:p>
      <w:pPr>
        <w:spacing w:after="100"/>
      </w:pPr>
      <w:r>
        <w:t xml:space="preserve">Margen EBITDA con la remuneración en acciones como gasto: 31,0 % en 2026e (31,6 % recurrente en 2025: 380,9 GAAP + 106 no recurrentes [1, 5]), 32-33 % en 2027-2028 y 34 % al final. La dirección proyecta un resultado operativo ajustado del 34,7 % en 2026 y del 38 % en 2029, sin remuneración en acciones (≈ 5 % de las ventas) [11]: nuestro margen queda 1-2 puntos por debajo del suyo. La subida viene de la escala en neurología, que hoy pierde dinero por los lanzamientos.</w:t>
      </w:r>
    </w:p>
    <w:p>
      <w:pPr>
        <w:keepNext/>
        <w:spacing w:after="100"/>
      </w:pPr>
      <w:r>
        <w:rPr>
          <w:b/>
          <w:bCs/>
        </w:rPr>
        <w:t xml:space="preserve">Inversión y circulante.</w:t>
      </w:r>
    </w:p>
    <w:p>
      <w:pPr>
        <w:spacing w:after="100"/>
      </w:pPr>
      <w:r>
        <w:t xml:space="preserve">Capex del 2,5-3 % de las ventas (36 M en 2025 y 52 M en 2024 [1]); amortización total del 6 % en 2026e (45,3 M en el 1S26, con los intangibles de Life Molecular y Evergreen [2]) que baja al 3 % en 2033e, igual que el capex. Circulante del 23 % de las ventas (clientes 352,9 + existencias 57,6 − proveedores 48,1 = 362 M a jun-26 [2]). No se proyectan compras nuevas: los pagos contingentes ya registrados (51,1 M) están en el puente.</w:t>
      </w:r>
    </w:p>
    <w:p>
      <w:pPr>
        <w:keepNext/>
        <w:spacing w:after="100"/>
      </w:pPr>
      <w:r>
        <w:rPr>
          <w:b/>
          <w:bCs/>
        </w:rPr>
        <w:t xml:space="preserve">Coste del capital.</w:t>
      </w:r>
    </w:p>
    <w:p>
      <w:pPr>
        <w:spacing w:after="100"/>
      </w:pPr>
      <w:r>
        <w:t xml:space="preserve">Tasa libre del 5,15 % (bono del Tesoro a 10 años, 19-oct-2026 [24]); beta de 0,85 (la semanal a 5 años es 0,72 y la ajustada 0,81; la mensual, 0,01, no sirve) [22]; prima del 5,5 % más 1 punto por concentración (dos productos son el 85 % de las ventas y el principal ya perdió la exclusividad de nueva molécula) [1]; coste de la deuda del 5,5 % y peso del 8 %. WACC del 10,28 %. Morgan Stanley usó un 8,8-10,7 % [11]. Con la prima implícita del mercado (4,2 % [25]) el WACC baja al 9,27 % y el DCF sube a 81,08 USD.</w:t>
      </w:r>
    </w:p>
    <w:p>
      <w:pPr>
        <w:keepNext/>
        <w:spacing w:after="100"/>
      </w:pPr>
      <w:r>
        <w:rPr>
          <w:b/>
          <w:bCs/>
        </w:rPr>
        <w:t xml:space="preserve">Valor terminal.</w:t>
      </w:r>
    </w:p>
    <w:p>
      <w:pPr>
        <w:spacing w:after="100"/>
      </w:pPr>
      <w:r>
        <w:t xml:space="preserve">Crecimiento a perpetuidad del 2,0 %: por debajo de la inflación más el envejecimiento, porque los radiofármacos de diagnóstico pierden precio cuando entran rivales y genéricos. El múltiplo de salida implícito es de 7,9 veces el EBITDA, frente a los 13,9 de hoy (con la oferta) y los 7,9-10,5 que Morgan Stanley usó para los comparables [11]. El valor terminal pesa un 57 %.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 (histórico: 32,2 %)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frente al 3,4 %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-182 M, con un capex bruto medio del 2,7 %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PYLARIFY y Neuraceq (+7 %; Neuraceq todo el año), precio de PYLARIFY −6 % (reembolso por coste medio unitario frente a ASP + 6 % de los rivales y descuentos a grandes clientes) y −4 % por la venta del negocio SPECT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(TruVu, Tauklarify y Neuraceq con más centros y fármacos de alzhéimer), precio −3 % y +1 % de Bravnesta (genérico de Lutathera) [3,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y precio −2,5 %: neurología a 290 M según la dirección [11]; nosotros,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+7 % y precio −2 %; la franquicia de próstata deja de crecer en la proyección de la dirección (1.034 M)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+5 % y precio −3 %: genéricos posibles de PYLARIFY con impugnación de patentes y PSMA nuevos [1].</w:t>
            </w:r>
          </w:p>
        </w:tc>
      </w:tr>
    </w:tbl>
    <w:p>
      <w:pPr>
        <w:spacing w:after="160" w:before="0"/>
      </w:pPr>
    </w:p>
    <w:p>
      <w:pPr>
        <w:spacing w:after="100"/>
      </w:pPr>
      <w:r>
        <w:t xml:space="preserve">El crecimiento proyectado (4,4 % anual en 2027e-2033e) es la quinta parte del histórico (23,9 % en 2018-2025 con el lanzamiento de PYLARIFY) y está por debajo de la dirección y del consenso [11, 23]. Se financia solo: el flujo libre (≈ 390 M de los últimos 12 meses) cubre de sobra el circulante y el capex, y el ROIC (30,4 %) y el ROIC incremental (32,2 %) triplican el WACC. La reinversión neta es negativa en los primeros años porque la amortización de los intangibles comprados supera el capex: la prueba de capital se hace a mano y pasa. La cuota de PSMA se supone a la baja (precio −2 a −6 % al año). El riesgo no es financiar el crecimiento, sino que PYLARIFY pierda precio más deprisa: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46,4 % (base: 34,0 %)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10,3 %)</w:t>
            </w:r>
          </w:p>
        </w:tc>
      </w:tr>
    </w:tbl>
    <w:p>
      <w:pPr>
        <w:spacing w:after="160" w:before="0"/>
      </w:pPr>
    </w:p>
    <w:p>
      <w:pPr>
        <w:spacing w:after="100"/>
      </w:pPr>
      <w:r>
        <w:t xml:space="preserve">El DCF independiente da 71,43 USD por acción, un 28,5 % bajo el precio, con un WACC del 10,28 % y un valor terminal que pesa el 57 %. El DCF inverso dice que el precio pide un crecimiento del 12,2 % anual en 2027-2033 con nuestro margen, frente al 4,4 % de nuestro base; es más o menos la proyección de la dirección (ventas de 2.849 M en 2035) [11]. Con la prima de riesgo del mercado (4,2 %) vale 81,08 USD. La diferencia con Morgan Stanley (88,10-118,60 [11]) es de proyección, no de tasa: ellos usan la de la dirección. El precio de 99,92 USD no lo sostiene el negocio, sino la oferta de 102,50 en efectivo.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Gozellix, Illuccix, Posluma y los PSMA nuevos (incluido el de cobre-64 de Curium si la venta se rompe) se llevan volumen y precio; Medicare mantiene el reembolso por coste medio unitario y aparece un genérico de PYLARIFY tras impugnar las patentes; los análisis de sangre restan PET de alzhéimer. Crecimiento 5 puntos menor cada año y margen 3 puntos menor; perpetuidad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PYLARIFY pierde un 2-6 % de precio al año y gana volumen; neurología y Bravnesta compensan: ventas +4,4 % al año y margen EBITDA del 31 al 34 %.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Neurología alcanza los objetivos de la dirección (≈ 350 M en 2029) con los fármacos de alzhéimer, TruVu defiende el precio y Octevy se aprueba: 3 puntos más de crecimiento y 2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99,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69,71 USD (-30,2 %).</w:t>
      </w:r>
    </w:p>
    <w:p>
      <w:pPr>
        <w:spacing w:after="100"/>
      </w:pPr>
      <w:r>
        <w:t xml:space="preserve">Los tres escenarios independientes quedan bajo el precio: el alcista vale 86,60 USD (−13,3 %), el base 71,43 (−28,5 %) y el bajista 49,36 (−50,6 %); el ponderado, 69,71. Ninguno llega a los 102,50 USD en efectivo de la oferta: el precio de hoy solo se justifica con la proyección de la dirección o con la oferta. Asimetría desfavorable sin la oferta; con ella, el resultado más probable a 12 meses es cobrar 102,50 USD más el derecho contingente (3,51 USD de valor actual según Morgan Stanley [11]).</w:t>
      </w:r>
    </w:p>
    <w:p>
      <w:pPr>
        <w:pStyle w:val="Heading1"/>
      </w:pPr>
      <w:r>
        <w:t xml:space="preserve">22. Suma de partes</w:t>
      </w:r>
    </w:p>
    <w:p>
      <w:pPr>
        <w:pStyle w:val="Confianza"/>
        <w:spacing w:after="100"/>
      </w:pPr>
      <w:r>
        <w:t xml:space="preserve">Confianza: Media</w:t>
      </w:r>
    </w:p>
    <w:p>
      <w:pPr>
        <w:spacing w:after="100"/>
      </w:pPr>
      <w:r>
        <w:t xml:space="preserve">No aplica: PYLARIFY (64 % de las ventas de 2025), DEFINITY (21 %) y el resto comparten fábricas, red comercial de medicina nuclear y clientes (hospitales y centros de imagen); no hay segmentos con resultado propio publicado [1]. Las participaciones en Radiopharm Theranostics y Perspective Therapeutics (119 M USD) se suman en el puente como asociadas.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99,9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74,83 USD (-25,1 % sobre 99,92).</w:t>
      </w:r>
    </w:p>
    <w:p>
      <w:pPr>
        <w:spacing w:after="100"/>
      </w:pPr>
      <w:r>
        <w:t xml:space="preserve">Pesos: DCF 45 %, escenarios 35 % y comparables 20 %; transacciones 0 % (solo una con múltiplos: la propia oferta). El DCF es el método que mejor recoge la pérdida de precio de PYLARIFY y la vida de las patentes; los escenarios, la asimetría; los comparables (tecnología médica de tamaño parecido, mediana de 14,8 veces el PER de 12 meses) dan 91,45 USD y pesan poco porque ninguno depende de un producto que pierde precio. El valor objetivo independiente es de 74,83 USD (−25,1 %). Morgan Stanley daba 88,10-118,60 con las proyecciones de la dirección y 63,85-84,20 por comparables [11]: nuestro valor está en la parte baja porque nuestra proyección es más prudente. La referencia real a 12 meses es la oferta: 102,50 USD en efectivo más el derecho contingente.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 1.1 (tope: la mediana de 5 años, 10.4x,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bl>
    <w:p>
      <w:pPr>
        <w:spacing w:after="160" w:before="0"/>
      </w:pPr>
    </w:p>
    <w:p>
      <w:pPr>
        <w:spacing w:after="100"/>
      </w:pPr>
      <w:r>
        <w:rPr>
          <w:b/>
          <w:bCs/>
        </w:rPr>
        <w:t xml:space="preserve">Objetivo a 12 meses (ponderado):</w:t>
      </w:r>
      <w:r>
        <w:t xml:space="preserve"> 89,30 USD · rentabilidad -10,6 % (base +3,2 %) · señal Vender.</w:t>
      </w:r>
    </w:p>
    <w:p>
      <w:pPr>
        <w:spacing w:after="100"/>
      </w:pPr>
      <w:r>
        <w:t xml:space="preserve">Para comparar, con la regla v2 (historia al cierre, mismo precio): 10,9x / 13,1x / 14,8x, -21,9 % Vender; con el tope anterior del base (×1,3, 14-oct mediodía): -22,3 %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(5,41 USD) coincide con el consenso (6,38 USD sin remuneración en acciones; 5,42 restándola) [23]. La diferencia está en 2028e: el consenso espera ventas de 1.807 M y nosotros 1.688 (−6,6 %), porque la dirección proyecta un salto de neurología (de 215 a 290 M) y de la franquicia de próstata que no damos por hecho [11]. El objetivo medio de los analistas (106,99 USD, 8 analistas) es el precio de la oferta más una parte del derecho contingente: casi todos lo fijaron en 102,50-115 USD tras el 3-ago [23]. Nuestro base (103,11) está un 3,6 % por debajo.</w:t>
      </w:r>
    </w:p>
    <w:p>
      <w:pPr>
        <w:keepNext/>
        <w:spacing w:after="100"/>
      </w:pPr>
      <w:r>
        <w:rPr>
          <w:b/>
          <w:bCs/>
        </w:rPr>
        <w:t xml:space="preserve">Del valor intrínseco al objetivo a 12 meses.</w:t>
      </w:r>
    </w:p>
    <w:p>
      <w:pPr>
        <w:spacing w:after="100"/>
      </w:pPr>
      <w:r>
        <w:t xml:space="preserve">El objetivo a 12 meses independiente (89,30 USD, ponderado) queda un 10,6 % bajo el precio y el base (103,11 USD) un 3,2 % por encima; el valor intrínseco (74,83) queda un 25 % por debajo. El base supone que el BPA crece un 5,6 % anual desde 5,12 USD y que el PER baja de 18,8 a 17,1 veces (tope de ÷1,1 en el camino hacia la mediana de cinco años, 10,4); el bajista (38,78) es el PER de 2021 sobre un BPA un 13 % menor y es el que hunde la ponderada. La regla da Vender por encima de 99,22 USD y Comprar por debajo de 74,83. Pero la regla no ve la oferta: si la venta se cierra, el accionista cobra 102,50 USD en efectivo más un derecho de hasta 12 USD (≈ 3,5 de valor actual), un +2,6 % más el derecho desde 99,92; si se rompe, el precio iría a 70-80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el plazo HSR de la FTC (23:59, hora del Este)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vence sin segunda solicitud, queda la aprobación de Alemania, Reino Unido y Suecia; si la FTC pide más información, el cierre se retrasa y el diferencial se ensancha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PYLARIFY (precio) y de Neuraceq; primeras ventas de Tauklarify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de pago hospitalario de Medicare para 2027 (OPPS)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Reembolso de los trazadores PET de diagnóstico: coste medio unitario frente a ASP + 6 %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2026-4T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PYLARIFY TruVu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dosis por lote y defensa del precio frente a Gozellix e Illuccix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a Curium (fecha límite 2-may-2027, prorrogable a 30-nov-2027)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 102,50 USD en efectivo y entrega del derecho contingente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del derecho contingente (ventas de próstata, neurología y DEFINITY)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12 USD por acción; ≈ 5 USD con las proyecciones de la dirección, 3,51 de valor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presentación de Octevy (LNTH-2501) tras la CRL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contingente a los vendedores de Evergreen y nuevo producto de tumores neuroendocrinos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Ruptura de la venta a Curium (segunda solicitud de la FTC por los solapes en PSMA y en genéricos de Lutathera, Alemania, Reino Unido o Suecia, financiación de 4.250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corporativa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 (a 70-80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aprobada con el 97 %; sin condición de financiación; Curium pagaría una comisión de ruptura [18, 19,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solicitud de la FTC o desinversiones exigidas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PYLARIFY pierde precio y cuota: Illuccix y Gozellix (Telix), Posluma (Bracco), Locametz (Novartis) y el reembolso de Medicare por coste medio unitario frente al ASP + 6 % de los rivales desde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si el precio cae un 10 %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TruVu (más dosis por lote), red de fabricación de flúor-18 y contratos con grandes clientes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PYLARIFY cayendo más de un 5 % al año con volumen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dos productos: PYLARIFY (64 %) y DEFINITY (21 %) son el 85 % de las ventas de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Neurología (Neuraceq, Tauklarify), Bravnesta y Octevy diversifican desde 2026-2027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Neurología por debajo de 215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la exclusividad de nueva molécula de PYLARIFY venció el 26-may-2026; patentes hasta 2037 que un genérico puede impugnar (párrafo IV); DEFINITY hasta 2037, Neuraceq hasta 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intelectual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−30 % si entra un genérico antes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Fabricar un PSMA de flúor-18 exige red de ciclotrones y aprobación de cada centro; ninguna impugnación conocida en el 10-Q del 2T26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una solicitud de genérico con párrafo IV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cartera nueva: Tauklarify y Neuraceq dependen de los fármacos de alzhéimer y compiten con Lilly (Amyvid, Tauvid) y con los análisis de sangre (pTau217); CRL de Octevy por una planta de un tercero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Neuraceq ya vende (51 M en medio año de 2025) y la dirección espera 365 M de neurología en 2030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Neurología por debajo de la proyección de la dirección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independiente por debajo del precio: DCF de 71,43 USD y valor intrínseco de 74,83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sin la oferta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en efectivo fija el precio mientras siga viva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con la oferta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consejera delegada interina, bonos de la dirección ligados a la venta, demandas por el proxy y ninguna compra de directivos en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9 de 10 independientes y consejero independiente principal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que retrasen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lectura automática de imágenes, análisis de sangre con IA para alzhéimer y PET sintético a partir de otras pruebas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trazador es un fármaco aprobado que la IA no sustituye; la IA de lectura (aPROMISE, de Progenics) aumenta el uso de la PET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Guías clínicas que sustituyan la PET de amiloide o tau por análisis de sangre</w:t>
            </w:r>
          </w:p>
        </w:tc>
      </w:tr>
    </w:tbl>
    <w:p>
      <w:pPr>
        <w:spacing w:after="160" w:before="0"/>
      </w:pPr>
    </w:p>
    <w:p>
      <w:pPr>
        <w:pStyle w:val="Heading2"/>
      </w:pPr>
      <w:r>
        <w:t xml:space="preserve">Pre-mortem</w:t>
      </w:r>
    </w:p>
    <w:p>
      <w:pPr>
        <w:spacing w:after="100"/>
      </w:pPr>
      <w:r>
        <w:t xml:space="preserve">Octubre de 2027: la acción ha perdido un 30 %. La FTC pidió más información en octubre de 2026 por los solapes en PSMA de cobre-64 y en genéricos de Lutathera, la autoridad alemana alargó su revisión y Curium dejó pasar la fecha límite de noviembre de 2027 pagando la comisión de ruptura. Mientras tanto, PYLARIFY perdió un 10 % de precio en 2027 con Gozellix y los descuentos de los grandes centros, Medicare mantuvo el reembolso por coste medio unitario y un laboratorio de genéricos impugnó las patentes. Neurología no llegó a 250 M: los análisis de sangre se llevaron parte de las PET de amiloide. Sin la oferta, el mercado volvió a pagar 12-13 veces un BPA estancado en 5 USD. La señal temprana: una segunda solicitud de la FTC y un 3T26 con PYLARIFY cayendo más de un 5 %.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La IA no sustituye lo que vende Lantheus: un fármaco radiactivo aprobado por la FDA, fabricado cada día en una red de ciclotrones y que el paciente recibe en vena. Ayuda en la lectura: el software de IA que heredó de Progenics (aPROMISE) cuantifica las lesiones PSMA y hace la PET más útil para el urólogo y el oncólogo. La exposición negativa está en neurología: los análisis de sangre (pTau217) con algoritmos de IA ya sirven para descartar alzhéimer, y pueden reducir las PET de amiloide y tau, que son el crecimiento de Neuraceq y Tauklarify; a más largo plazo, la IA que genera imágenes de PET a partir de resonancias o de dosis menores. Es un riesgo menor, pero real en la parte de la tesis que más crece. Señal: guías clínicas que sustituyan la PET por análisis de sangre.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Lantheus es la seguridad del paciente y la calidad de fabricación de fármacos radiactivos de vida corta (red de fabricantes con ciclotrón, inspecciones de la FDA: la CRL de Octevy fue por una planta de un tercero) [2], el acceso y precio para Medicare (el reembolso de los trazadores PET por coste medio unitario frente a precio medio de venta más un 6 %) [1], la seguridad radiológica y los residuos, y la ética comercial con médicos y centros de imagen. Las emisiones propias son pequeñas (una planta en North Billerica y fabricación externalizada).</w:t>
      </w:r>
    </w:p>
    <w:p>
      <w:pPr>
        <w:pStyle w:val="Heading2"/>
      </w:pPr>
      <w:r>
        <w:t xml:space="preserve">Controversias</w:t>
      </w:r>
    </w:p>
    <w:p>
      <w:pPr>
        <w:spacing w:after="100"/>
      </w:pPr>
      <w:r>
        <w:t xml:space="preserve">Demandas de accionistas y dieciséis cartas por la información del proxy de la fusión, resueltas con información adicional [21]. El voto consultivo sobre la remuneración ligada a la fusión tuvo un 13,7 % en contra el 14-oct-2026 [18]; los directivos cobran bonos y aceleración de acciones si se cierra la venta [19]. Ninguna compra de directivos en mercado en 12 meses [20].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PYLARIFY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bajado el precio neto por dosis de PYLARIFY desde 2024 y cuánto queda por bajar con TruVu y los contratos de grandes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64 % de las ventas y la causa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alguna solicitud de genérico de PYLARIFY con impugnación de patentes desde el fin de la exclusividad (26-may-2026), y qué patentes la frenarían hasta 2037?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genérico antes de 2030 restaría ≈ 30 %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desinversiones aceptaría Curium si la FTC pone pegas por el PSMA de cobre-64 y los genéricos de Lutathera?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venta se cierra y cuándo.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centros y pacientes usan ya Neuraceq y Tauklarify con los fármacos de alzhéimer, y cómo cambia el uso con los análisis de sangre?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crecimiento de la tesis y un hito del derecho contingente (300-350 M en 2028-2030).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espera la empresa de la regla OPPS de 2027 para el pago de los trazadores PET por coste medio unitario?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pago por ASP + 6 % igualaría a PYLARIFY con los rivales.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Octevy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se resolverán los problemas de la planta del tercero que causaron la CRL de Octevy?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nuevo y pagos contingentes a los vendedores de Evergreen.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($LNTH)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Pequeños accionistas enfadados con la venta: «regalaron la empresa» y «paracaídas dorados»; algunos votaron en contra de la retribución ligada a la fusión. Otros solo comentan el calendario HSR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 la oferta, «el giro funciona, pero el dinero fácil ya está hecho» (junio); después, «me salgo antes del cierre»: poco recorrido frente a 102,50 USD y riesgo regulatorio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oferta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prima es del 9 % sobre el precio no afectado frente al 26-42 % habitual; el DCF de Morgan Stanley llegaba a 118,60 USD y nuestro valor independiente queda por debajo de la oferta [11]. La queja tiene base en la prima, no en el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Retribución de los directivos con la venta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Bolsa de 6 M de bonos y aceleración de acciones; 13,7 % de votos en contra de la retribución ligada a la fusión [18,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regulatorio y calendario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plazo HSR vence el 21-oct; cierre esperado en el 1S27 [27].</w:t>
            </w:r>
          </w:p>
        </w:tc>
      </w:tr>
    </w:tbl>
    <w:p>
      <w:pPr>
        <w:spacing w:after="160" w:before="0"/>
      </w:pPr>
    </w:p>
    <w:p>
      <w:pPr>
        <w:spacing w:after="100"/>
      </w:pPr>
      <w:r>
        <w:t xml:space="preserve">El sentimiento no aporta información sobre el negocio: es el enfado habitual de los pequeños accionistas con una venta con poca prima. Sí confirma que el mercado trata la acción como arbitraje (comprar a 99-100 para cobrar 102,50 y la lotería del derecho contingente) y que el riesgo que vigila es la FTC.</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30 (20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24,7 % real: genera una variación de circulante de -36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«Vender»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6.745, publicada 6.537: revisa acciones y precio. Explicación: La capitalización del motor usa 67,5 M de acciones DILUIDAS del 2T26 (las 65,3 M en circulación de Yahoo más ≈ 0,8 M de acciones restringidas y por objetivos y ≈ 1,4 M del exceso de conversión del convertible de 575 M a 79,81 USD, que se paga en acciones porque la acción cotiza por encima) [2, 23]. El puente resta los 575 M del nominal como deuda: no hay doble cuenta. Con 65,3 M el valor por acción subiría ≈ 3 %, sin cambiar ninguna señal.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vs_consenso de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trimestrales (solo resultado operativo ajustado y GAAP); 2) 10-Q (D&amp;A del semestre, no del trimestre); 3) titulares de Seeking Alpha (solo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serie, tcac y cr5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de la fusión (no dan tamaño de mercado); 2) informes anuales de Telix y GE HealthCare (no separan PSMA en EE. UU.); 3) informes de mercado en prensa (mezclan equipos, isótopos y terapias,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(solo «más del 80 %» en DEFINITY); 2) cuentas de Telix (sin desglose por producto en EE. UU.); 3) Yahoo (sin EBIT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desglose fijo y variable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remuneración del DEF 14A (desglose de Markison en una tabla que no se extrajo limpia); 2) DEFM14A (solo pagos ligados a la fusión); 3) total de la ratio de remuneración del DEF 14A (13,7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otras compras de radiofármacos de diagnóstico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la fusión (Morgan Stanley solo da primas, no múltiplos); 2) 10-K de Lantheus (sin ventas de las compradas); 3) notas de prensa de Lilly-POINT, Novartis-AAA y BMS-RayzeBio (empresas sin ventas o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más de dos sitios con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desde la nube); 2) Stocktwits web y MarketBeat (sin debate propio, solo titulares); 3) Motley Fool e interactive investor (sin artículos recientes de LNTH)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ingresos por producto, competencia, patentes, reembolso de Medicare, deuda,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https://www.sec.gov/Archives/edgar/data/1521036/000119312526073498/lnth-20251231.htm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balance a 30-jun-2026, cuenta y flujos del semestre, venta del negocio SPECT a SHINE, litigio de PNT2003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https://www.sec.gov/Archives/edgar/data/1521036/000119312526336795/lnth-20260630.htm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Reports Second Quarter 2026 Financial Results (guía 2026 suspendida por la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https://www.sec.gov/Archives/edgar/data/1521036/000119312526336771/lnth-ex99_1.htm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Reports First Quarter 2026 Financial Results (PYLARIFY TruVu aprobado; guía 2026 reafirmada)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https://www.sec.gov/Archives/edgar/data/1521036/000119312526210369/lnth-ex99_1.htm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Reports Fourth Quarter and Full Year 2025 Financial Results (conciliación GAAP-ajustado,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https://www.sec.gov/Archives/edgar/data/1521036/000119312526073439/lnth-ex99_1.htm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Reports Third Quarter 2025 Financial Results (guía 2025 rebajada; relevo del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https://www.sec.gov/Archives/edgar/data/1521036/000119312525268103/lnth-ex99_1.htm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Reports Second Quarter 2025 Financial Results (guía 2025 rebajada; compra de Life Molecular)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https://www.sec.gov/Archives/edgar/data/1521036/000095017025103543/lnth-ex99_1.htm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2024 y 2023 (conciliaciones de BPA ajustado, ingresos por producto,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https://www.sec.gov/Archives/edgar/data/1521036/000162828025007965/exhibit991q42024earningspr.htm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2022, 2021 y 2020 (conciliaciones de BPA ajustado, capex, ingresos por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https://www.sec.gov/Archives/edgar/data/1521036/000162828023004697/exhibit991q42022earningspr.htm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Lantheus Holdings (companyfacts):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https://data.sec.gov/api/xbrl/companyfacts/CIK0001521036.json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definitivo de la fusión con Curium (DEFM14A): proyecciones de la dirección 2026-2035 y por franquicia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https://www.sec.gov/Archives/edgar/data/1521036/000119312526384284/d180727ddefm14a.htm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3T25 (compras de Evergreen y Life Molecular, contraprestación contingente)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https://www.sec.gov/Archives/edgar/data/1521036/000119312525268113/lnth-20250930.htm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Telix, GE HealthCare y comparables (ingresos, EBITDA, consenso),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approves new Alzheimer’s PET imaging agent from Lantheus (Tauklarify, MK-6240)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Radiology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https://radiologybusiness.com/newsletter/2026-08-14/fda-approves-new-alzheimers-pet-imaging-agent-lantheus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LNTH (Bravnesta aprobado; Bexlutry de Curium contra Lutathera; CRL de LNTH-2501)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https://seekingalpha.com/api/sa/combined/LNTH.xml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 la junta 2026 (DEF 14A): consejo, comisiones, remuneración 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https://www.sec.gov/Archives/edgar/data/1521036/000119312526117649/d61755ddef14a.htm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del 30-abr-2026 (consejo desclasificado,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https://www.sec.gov/Archives/edgar/data/1521036/000119312526201556/d16067d8k.htm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junta extraordinaria del 14-oct-2026 (fusión aprobada)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https://www.sec.gov/Archives/edgar/data/1521036/000119312526421732/d183496d8k.htm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fusión con Curium, derechos contingentes, bonos por la operación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https://www.sec.gov/Archives/edgar/data/1521036/000119312526331138/d167446d8k.htm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(20-oct-2025 a 20-oct-2026),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https://www.sec.gov/cgi-bin/browse-edgar?action=getcompany&amp;CIK=0001521036&amp;type=4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litigios y demandas por la información del proxy de la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https://www.sec.gov/Archives/edgar/data/1521036/000119312526412563/d31891d8k.htm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LNTH, SPY y XLV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https://finance.yahoo.com/quote/LNTH/history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LNTH y datos de comparables, 20-oct-2026 16:19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https://finance.yahoo.com/quote/LNTH/analysis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LNTH (herramientas/movimiento.mjs,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Curium retira y vuelve a presentar la notificación HSR; el plazo vence el 21-oct-2026; cierre esperado en el 1S27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Lantheus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https://www.sec.gov/Archives/edgar/data/1521036/000119312526396654/d148743d8k.htm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clasificadas (herramientas/noticias.mjs): financiación de 4.250 M para Curium (JPMorgan, 15-oct), demandas, HSR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Law360, Reuters vía noticias.mjs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https://www.bloomberg.com/news/articles/2026-10-15/banks-vie-for-4-25-billion-debt-financing-to-back-lantheus-deal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$LNTH (30 últimos,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(API pública)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https://api.stocktwits.com/api/2/streams/symbol/LNTH.json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propio: BPA ajustado con remuneración en acciones, PER adelantado y proyección (notas/propio.mjs)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informes/lantheus-2026-10-20/notas/propio.mjs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a 31 de diciembre. Cuentas de 2018-2025 del XBRL de la SEC (companyfacts) [10] contrastadas con el 10-K de 2025 y las notas de resultados [1, 5]; el último trimestre publicado es el 2T26 (10-Q a 30-jun-2026) [2] y el LTM es jul-25 a jun-26. Precio: cierre del 19-oct-2026 (99,92 USD); la sesión del 20-oct estaba abierta al hacer el análisis (≈ 100,10 USD a las 12:19 de Nueva York [23]) y la decisión se comprueba con ese precio en las pruebas de robustez. El BPA de la regla a 12 meses y su historia son el ajustado de la empresa MENOS la remuneración en acciones después de impuestos (la empresa no la resta: 1,25 USD por acción en 2025) [5, 30]. Desde el 3-ago-2026 la acción tiene una oferta en efectivo de Curium (102,50 USD más un derecho contingente de hasta 12 USD), aprobada por la junta el 14-oct y pendiente de la FTC y de tres países [18, 19, 27]: el precio ya no lo fija el negocio sino la probabilidad de cierre. Valoración independiente (sin la oferta) por norma del método. La guía de 2026 se suspendió el 6-ago [3]. Tamaño del mercado PSMA de EE. UU. sin fuente primaria. Precio de una acción en EUR: ≈ 86 EUR (≈ 1,16 USD por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Lantheus Holdings, Inc. (LNTH)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99,92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(50,15 – 111,86)</c:v>
                </c:pt>
                <c:pt idx="1">
                  <c:v>Precio objetivo de los analistas (102,50 – 115,00)</c:v>
                </c:pt>
                <c:pt idx="2">
                  <c:v>Comparables: PER NTM (71,37 – 126,36)</c:v>
                </c:pt>
                <c:pt idx="3">
                  <c:v>DCF (WACC y g ± 0,5) (65,39 – 79,09)</c:v>
                </c:pt>
                <c:pt idx="4">
                  <c:v>Escenarios (bajista – alcista) (49,36 – 86,60)</c:v>
                </c:pt>
                <c:pt idx="5">
                  <c:v>DCF con la prima implícita del mercado (4,2 %)</c:v>
                </c:pt>
                <c:pt idx="6">
                  <c:v>Precio actual (99,92)</c:v>
                </c:pt>
              </c:strCache>
            </c:strRef>
          </c:cat>
          <c:val>
            <c:numRef>
              <c:f>Hoja1!$B$2:$B$8</c:f>
              <c:numCache>
                <c:formatCode>#,##0</c:formatCode>
                <c:ptCount val="7"/>
                <c:pt idx="0">
                  <c:v>50.15</c:v>
                </c:pt>
                <c:pt idx="1">
                  <c:v>102.5</c:v>
                </c:pt>
                <c:pt idx="2">
                  <c:v>71.37</c:v>
                </c:pt>
                <c:pt idx="3">
                  <c:v>65.39</c:v>
                </c:pt>
                <c:pt idx="4">
                  <c:v>49.36</c:v>
                </c:pt>
                <c:pt idx="5">
                  <c:v>76.01</c:v>
                </c:pt>
                <c:pt idx="6">
                  <c:v>99.42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(50,15 – 111,86)</c:v>
                </c:pt>
                <c:pt idx="1">
                  <c:v>Precio objetivo de los analistas (102,50 – 115,00)</c:v>
                </c:pt>
                <c:pt idx="2">
                  <c:v>Comparables: PER NTM (71,37 – 126,36)</c:v>
                </c:pt>
                <c:pt idx="3">
                  <c:v>DCF (WACC y g ± 0,5) (65,39 – 79,09)</c:v>
                </c:pt>
                <c:pt idx="4">
                  <c:v>Escenarios (bajista – alcista) (49,36 – 86,60)</c:v>
                </c:pt>
                <c:pt idx="5">
                  <c:v>DCF con la prima implícita del mercado (4,2 %)</c:v>
                </c:pt>
                <c:pt idx="6">
                  <c:v>Precio actual (99,92)</c:v>
                </c:pt>
              </c:strCache>
            </c:strRef>
          </c:cat>
          <c:val>
            <c:numRef>
              <c:f>Hoja1!$C$2:$C$8</c:f>
              <c:numCache>
                <c:formatCode>#,##0</c:formatCode>
                <c:ptCount val="7"/>
                <c:pt idx="0">
                  <c:v>61.71</c:v>
                </c:pt>
                <c:pt idx="1">
                  <c:v>12.5</c:v>
                </c:pt>
                <c:pt idx="2">
                  <c:v>54.989999999999995</c:v>
                </c:pt>
                <c:pt idx="3">
                  <c:v>13.700000000000003</c:v>
                </c:pt>
                <c:pt idx="4">
                  <c:v>37.239999999999995</c:v>
                </c:pt>
                <c:pt idx="5">
                  <c:v>10.879999999999995</c:v>
                </c:pt>
                <c:pt idx="6">
                  <c:v>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PYLARIFY (PET de próstata, PSMA)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43.4</c:v>
                </c:pt>
                <c:pt idx="1">
                  <c:v>527.4</c:v>
                </c:pt>
                <c:pt idx="2">
                  <c:v>851.3</c:v>
                </c:pt>
                <c:pt idx="3">
                  <c:v>1057.8</c:v>
                </c:pt>
                <c:pt idx="4">
                  <c:v>989.1</c:v>
                </c:pt>
              </c:numCache>
            </c:numRef>
          </c:val>
        </c:ser>
        <c:ser>
          <c:idx val="1"/>
          <c:order val="1"/>
          <c:tx>
            <c:strRef>
              <c:f>Hoja1!$C$1</c:f>
              <c:strCache>
                <c:ptCount val="1"/>
                <c:pt idx="0">
                  <c:v>DEFINITY (contraste de ecografía)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232.8</c:v>
                </c:pt>
                <c:pt idx="1">
                  <c:v>245</c:v>
                </c:pt>
                <c:pt idx="2">
                  <c:v>279.8</c:v>
                </c:pt>
                <c:pt idx="3">
                  <c:v>317.8</c:v>
                </c:pt>
                <c:pt idx="4">
                  <c:v>330.2</c:v>
                </c:pt>
              </c:numCache>
            </c:numRef>
          </c:val>
        </c:ser>
        <c:ser>
          <c:idx val="2"/>
          <c:order val="2"/>
          <c:tx>
            <c:strRef>
              <c:f>Hoja1!$D$1</c:f>
              <c:strCache>
                <c:ptCount val="1"/>
                <c:pt idx="0">
                  <c:v>Neuraceq (PET de amiloide)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51.4</c:v>
                </c:pt>
              </c:numCache>
            </c:numRef>
          </c:val>
        </c:ser>
        <c:ser>
          <c:idx val="3"/>
          <c:order val="3"/>
          <c:tx>
            <c:strRef>
              <c:f>Hoja1!$E$1</c:f>
              <c:strCache>
                <c:ptCount val="1"/>
                <c:pt idx="0">
                  <c:v>TechneLite y otros SPECT (vendidos a SHINE el 1-ene-2026)</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118.3</c:v>
                </c:pt>
                <c:pt idx="1">
                  <c:v>111.7</c:v>
                </c:pt>
                <c:pt idx="2">
                  <c:v>110.4</c:v>
                </c:pt>
                <c:pt idx="3">
                  <c:v>119.7</c:v>
                </c:pt>
                <c:pt idx="4">
                  <c:v>111.4</c:v>
                </c:pt>
              </c:numCache>
            </c:numRef>
          </c:val>
        </c:ser>
        <c:ser>
          <c:idx val="4"/>
          <c:order val="4"/>
          <c:tx>
            <c:strRef>
              <c:f>Hoja1!$F$1</c:f>
              <c:strCache>
                <c:ptCount val="1"/>
                <c:pt idx="0">
                  <c:v>Alianzas, regalías y otros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30.7</c:v>
                </c:pt>
                <c:pt idx="1">
                  <c:v>51</c:v>
                </c:pt>
                <c:pt idx="2">
                  <c:v>54.9</c:v>
                </c:pt>
                <c:pt idx="3">
                  <c:v>38.6</c:v>
                </c:pt>
                <c:pt idx="4">
                  <c:v>59.4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PYLARIFY (PET de próstata, PSMA)</c:v>
                </c:pt>
                <c:pt idx="1">
                  <c:v>DEFINITY (contraste de ecografía)</c:v>
                </c:pt>
                <c:pt idx="2">
                  <c:v>Neuraceq (PET de amiloide)</c:v>
                </c:pt>
                <c:pt idx="3">
                  <c:v>TechneLite y otros SPECT (vendidos a SHINE el 1-ene-2026)</c:v>
                </c:pt>
                <c:pt idx="4">
                  <c:v>Alianzas, regalías y otros</c:v>
                </c:pt>
              </c:strCache>
            </c:strRef>
          </c:cat>
          <c:val>
            <c:numRef>
              <c:f>Hoja1!$B$2:$B$6</c:f>
              <c:numCache>
                <c:formatCode>General</c:formatCode>
                <c:ptCount val="5"/>
                <c:pt idx="0">
                  <c:v>64.2</c:v>
                </c:pt>
                <c:pt idx="1">
                  <c:v>21.4</c:v>
                </c:pt>
                <c:pt idx="2">
                  <c:v>3.3</c:v>
                </c:pt>
                <c:pt idx="3">
                  <c:v>7.2</c:v>
                </c:pt>
                <c:pt idx="4">
                  <c:v>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94.6</c:v>
                </c:pt>
                <c:pt idx="1">
                  <c:v>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Lantheus</c:v>
                </c:pt>
                <c:pt idx="1">
                  <c:v>Telix Pharmaceuticals (Illuccix, Gozellix)</c:v>
                </c:pt>
                <c:pt idx="2">
                  <c:v>GE HealthCare (Flyrcado, Vizamyl, Optison)</c:v>
                </c:pt>
                <c:pt idx="3">
                  <c:v>Bracco / Blue Earth Diagnostics (Posluma, Lumason)</c:v>
                </c:pt>
                <c:pt idx="4">
                  <c:v>Novartis (Locametz, Pluvicto, Lutathera)</c:v>
                </c:pt>
                <c:pt idx="5">
                  <c:v>Eli Lilly (Amyvid, Tauvid)</c:v>
                </c:pt>
                <c:pt idx="6">
                  <c:v>Curium (comprador; Detectnet, Bexlutry)</c:v>
                </c:pt>
              </c:strCache>
            </c:strRef>
          </c:cat>
          <c:val>
            <c:numRef>
              <c:f>Hoja1!$B$2:$B$8</c:f>
              <c:numCache>
                <c:formatCode>0.0"%"</c:formatCode>
                <c:ptCount val="7"/>
                <c:pt idx="0">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343.4</c:v>
                </c:pt>
                <c:pt idx="1">
                  <c:v>347.3</c:v>
                </c:pt>
                <c:pt idx="2">
                  <c:v>339.4</c:v>
                </c:pt>
                <c:pt idx="3">
                  <c:v>425.2</c:v>
                </c:pt>
                <c:pt idx="4">
                  <c:v>935.1</c:v>
                </c:pt>
                <c:pt idx="5">
                  <c:v>1296.4</c:v>
                </c:pt>
                <c:pt idx="6">
                  <c:v>1533.9</c:v>
                </c:pt>
                <c:pt idx="7">
                  <c:v>1541.6</c:v>
                </c:pt>
                <c:pt idx="8">
                  <c:v>1495</c:v>
                </c:pt>
                <c:pt idx="9">
                  <c:v>1585</c:v>
                </c:pt>
                <c:pt idx="10">
                  <c:v>1688</c:v>
                </c:pt>
                <c:pt idx="11">
                  <c:v>1773</c:v>
                </c:pt>
                <c:pt idx="12">
                  <c:v>1808</c:v>
                </c:pt>
                <c:pt idx="13">
                  <c:v>1862</c:v>
                </c:pt>
                <c:pt idx="14">
                  <c:v>1937</c:v>
                </c:pt>
                <c:pt idx="15">
                  <c:v>2014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77.3</c:v>
                </c:pt>
                <c:pt idx="1">
                  <c:v>63.8</c:v>
                </c:pt>
                <c:pt idx="2">
                  <c:v>48.1</c:v>
                </c:pt>
                <c:pt idx="3">
                  <c:v>63.5</c:v>
                </c:pt>
                <c:pt idx="4">
                  <c:v>385.1</c:v>
                </c:pt>
                <c:pt idx="5">
                  <c:v>553.6</c:v>
                </c:pt>
                <c:pt idx="6">
                  <c:v>587.6</c:v>
                </c:pt>
                <c:pt idx="7">
                  <c:v>486.9</c:v>
                </c:pt>
                <c:pt idx="8">
                  <c:v>464</c:v>
                </c:pt>
                <c:pt idx="9">
                  <c:v>507</c:v>
                </c:pt>
                <c:pt idx="10">
                  <c:v>557</c:v>
                </c:pt>
                <c:pt idx="11">
                  <c:v>594</c:v>
                </c:pt>
                <c:pt idx="12">
                  <c:v>606</c:v>
                </c:pt>
                <c:pt idx="13">
                  <c:v>633</c:v>
                </c:pt>
                <c:pt idx="14">
                  <c:v>658</c:v>
                </c:pt>
                <c:pt idx="15">
                  <c:v>685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50.9</c:v>
                </c:pt>
                <c:pt idx="1">
                  <c:v>50.3</c:v>
                </c:pt>
                <c:pt idx="2">
                  <c:v>40.9</c:v>
                </c:pt>
                <c:pt idx="3">
                  <c:v>44.1</c:v>
                </c:pt>
                <c:pt idx="4">
                  <c:v>62.2</c:v>
                </c:pt>
                <c:pt idx="5">
                  <c:v>54.7</c:v>
                </c:pt>
                <c:pt idx="6">
                  <c:v>64.4</c:v>
                </c:pt>
                <c:pt idx="7">
                  <c:v>61.1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22.5</c:v>
                </c:pt>
                <c:pt idx="1">
                  <c:v>18.4</c:v>
                </c:pt>
                <c:pt idx="2">
                  <c:v>14.2</c:v>
                </c:pt>
                <c:pt idx="3">
                  <c:v>14.9</c:v>
                </c:pt>
                <c:pt idx="4">
                  <c:v>41.2</c:v>
                </c:pt>
                <c:pt idx="5">
                  <c:v>42.7</c:v>
                </c:pt>
                <c:pt idx="6">
                  <c:v>38.3</c:v>
                </c:pt>
                <c:pt idx="7">
                  <c:v>31.6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18.8</c:v>
                </c:pt>
                <c:pt idx="1">
                  <c:v>14.9</c:v>
                </c:pt>
                <c:pt idx="2">
                  <c:v>7.3</c:v>
                </c:pt>
                <c:pt idx="3">
                  <c:v>5</c:v>
                </c:pt>
                <c:pt idx="4">
                  <c:v>36.1</c:v>
                </c:pt>
                <c:pt idx="5">
                  <c:v>38.1</c:v>
                </c:pt>
                <c:pt idx="6">
                  <c:v>34.1</c:v>
                </c:pt>
                <c:pt idx="7">
                  <c:v>27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11.8</c:v>
                </c:pt>
                <c:pt idx="1">
                  <c:v>9.1</c:v>
                </c:pt>
                <c:pt idx="2">
                  <c:v>-4</c:v>
                </c:pt>
                <c:pt idx="3">
                  <c:v>-16.8</c:v>
                </c:pt>
                <c:pt idx="4">
                  <c:v>3</c:v>
                </c:pt>
                <c:pt idx="5">
                  <c:v>25.2</c:v>
                </c:pt>
                <c:pt idx="6">
                  <c:v>20.4</c:v>
                </c:pt>
                <c:pt idx="7">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18.9</c:v>
                </c:pt>
                <c:pt idx="1">
                  <c:v>10.5</c:v>
                </c:pt>
                <c:pt idx="2">
                  <c:v>0</c:v>
                </c:pt>
                <c:pt idx="3">
                  <c:v>-4</c:v>
                </c:pt>
                <c:pt idx="4">
                  <c:v>1.4</c:v>
                </c:pt>
                <c:pt idx="5">
                  <c:v>4</c:v>
                </c:pt>
                <c:pt idx="6">
                  <c:v>1.2</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47</c:v>
                </c:pt>
                <c:pt idx="1">
                  <c:v>46</c:v>
                </c:pt>
                <c:pt idx="2">
                  <c:v>58</c:v>
                </c:pt>
                <c:pt idx="3">
                  <c:v>77</c:v>
                </c:pt>
                <c:pt idx="4">
                  <c:v>83</c:v>
                </c:pt>
                <c:pt idx="5">
                  <c:v>80</c:v>
                </c:pt>
                <c:pt idx="6">
                  <c:v>76</c:v>
                </c:pt>
                <c:pt idx="7">
                  <c:v>85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71</c:v>
                </c:pt>
                <c:pt idx="1">
                  <c:v>62</c:v>
                </c:pt>
                <c:pt idx="2">
                  <c:v>65</c:v>
                </c:pt>
                <c:pt idx="3">
                  <c:v>54</c:v>
                </c:pt>
                <c:pt idx="4">
                  <c:v>37</c:v>
                </c:pt>
                <c:pt idx="5">
                  <c:v>40</c:v>
                </c:pt>
                <c:pt idx="6">
                  <c:v>45</c:v>
                </c:pt>
                <c:pt idx="7">
                  <c:v>39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39</c:v>
                </c:pt>
                <c:pt idx="1">
                  <c:v>39</c:v>
                </c:pt>
                <c:pt idx="2">
                  <c:v>30</c:v>
                </c:pt>
                <c:pt idx="3">
                  <c:v>32</c:v>
                </c:pt>
                <c:pt idx="4">
                  <c:v>21</c:v>
                </c:pt>
                <c:pt idx="5">
                  <c:v>26</c:v>
                </c:pt>
                <c:pt idx="6">
                  <c:v>23</c:v>
                </c:pt>
                <c:pt idx="7">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41.1</c:v>
                </c:pt>
                <c:pt idx="1">
                  <c:v>58.1</c:v>
                </c:pt>
                <c:pt idx="2">
                  <c:v>3.6999999999999984</c:v>
                </c:pt>
                <c:pt idx="3">
                  <c:v>41.5</c:v>
                </c:pt>
                <c:pt idx="4">
                  <c:v>263.1</c:v>
                </c:pt>
                <c:pt idx="5">
                  <c:v>258.2</c:v>
                </c:pt>
                <c:pt idx="6">
                  <c:v>492.8999999999999</c:v>
                </c:pt>
                <c:pt idx="7">
                  <c:v>352.9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40.5</c:v>
                </c:pt>
                <c:pt idx="1">
                  <c:v>31.7</c:v>
                </c:pt>
                <c:pt idx="2">
                  <c:v>-13.5</c:v>
                </c:pt>
                <c:pt idx="3">
                  <c:v>-71.3</c:v>
                </c:pt>
                <c:pt idx="4">
                  <c:v>28.1</c:v>
                </c:pt>
                <c:pt idx="5">
                  <c:v>326.7</c:v>
                </c:pt>
                <c:pt idx="6">
                  <c:v>312.4</c:v>
                </c:pt>
                <c:pt idx="7">
                  <c:v>233.6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23.5</c:v>
                </c:pt>
                <c:pt idx="1">
                  <c:v>23.5</c:v>
                </c:pt>
                <c:pt idx="2">
                  <c:v>4.3</c:v>
                </c:pt>
                <c:pt idx="3">
                  <c:v>2.7</c:v>
                </c:pt>
                <c:pt idx="4">
                  <c:v>59.7</c:v>
                </c:pt>
                <c:pt idx="5">
                  <c:v>62.6</c:v>
                </c:pt>
                <c:pt idx="6">
                  <c:v>53.9</c:v>
                </c:pt>
                <c:pt idx="7">
                  <c:v>30.4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10.3</c:v>
                </c:pt>
                <c:pt idx="1">
                  <c:v>10.3</c:v>
                </c:pt>
                <c:pt idx="2">
                  <c:v>10.3</c:v>
                </c:pt>
                <c:pt idx="3">
                  <c:v>10.3</c:v>
                </c:pt>
                <c:pt idx="4">
                  <c:v>10.3</c:v>
                </c:pt>
                <c:pt idx="5">
                  <c:v>10.3</c:v>
                </c:pt>
                <c:pt idx="6">
                  <c:v>10.3</c:v>
                </c:pt>
                <c:pt idx="7">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57</c:v>
                </c:pt>
                <c:pt idx="1">
                  <c:v>34.2</c:v>
                </c:pt>
                <c:pt idx="2">
                  <c:v>-4.3</c:v>
                </c:pt>
                <c:pt idx="3">
                  <c:v>-14.6</c:v>
                </c:pt>
                <c:pt idx="4">
                  <c:v>6.2</c:v>
                </c:pt>
                <c:pt idx="5">
                  <c:v>51.7</c:v>
                </c:pt>
                <c:pt idx="6">
                  <c:v>32.8</c:v>
                </c:pt>
                <c:pt idx="7">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1.98</c:v>
                </c:pt>
                <c:pt idx="1">
                  <c:v>1.59</c:v>
                </c:pt>
                <c:pt idx="2">
                  <c:v>2.89</c:v>
                </c:pt>
                <c:pt idx="3">
                  <c:v>1.2</c:v>
                </c:pt>
                <c:pt idx="4">
                  <c:v>0.37</c:v>
                </c:pt>
                <c:pt idx="5">
                  <c:v>-0.27</c:v>
                </c:pt>
                <c:pt idx="6">
                  <c:v>-0.59</c:v>
                </c:pt>
                <c:pt idx="7">
                  <c:v>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0.7</c:v>
                </c:pt>
                <c:pt idx="1">
                  <c:v>575</c:v>
                </c:pt>
                <c:pt idx="2">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260</c:v>
                </c:pt>
                <c:pt idx="5">
                  <c:v>45.3</c:v>
                </c:pt>
                <c:pt idx="6">
                  <c:v>192.1</c:v>
                </c:pt>
                <c:pt idx="7">
                  <c:v>591.1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75</c:v>
                </c:pt>
                <c:pt idx="5">
                  <c:v>0</c:v>
                </c:pt>
                <c:pt idx="6">
                  <c:v>100</c:v>
                </c:pt>
                <c:pt idx="7">
                  <c:v>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c:v>
                </c:pt>
                <c:pt idx="1">
                  <c:v>Farallon Partners</c:v>
                </c:pt>
                <c:pt idx="2">
                  <c:v>Janus Henderson</c:v>
                </c:pt>
                <c:pt idx="3">
                  <c:v>FMR (Fidelity)</c:v>
                </c:pt>
                <c:pt idx="4">
                  <c:v>Vanguard</c:v>
                </c:pt>
                <c:pt idx="5">
                  <c:v>Consejeros y directivos</c:v>
                </c:pt>
                <c:pt idx="6">
                  <c:v>Autocartera</c:v>
                </c:pt>
              </c:strCache>
            </c:strRef>
          </c:cat>
          <c:val>
            <c:numRef>
              <c:f>Hoja1!$B$2:$B$8</c:f>
              <c:numCache>
                <c:formatCode>0.0"%"</c:formatCode>
                <c:ptCount val="7"/>
                <c:pt idx="0">
                  <c:v>13.2</c:v>
                </c:pt>
                <c:pt idx="1">
                  <c:v>8.6</c:v>
                </c:pt>
                <c:pt idx="2">
                  <c:v>7.3</c:v>
                </c:pt>
                <c:pt idx="3">
                  <c:v>6.7</c:v>
                </c:pt>
                <c:pt idx="4">
                  <c:v>5.1</c:v>
                </c:pt>
                <c:pt idx="5">
                  <c:v>1.8</c:v>
                </c:pt>
                <c:pt idx="6">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154.4</c:v>
                </c:pt>
                <c:pt idx="1">
                  <c:v>137.8</c:v>
                </c:pt>
                <c:pt idx="2">
                  <c:v>-23.5</c:v>
                </c:pt>
                <c:pt idx="3">
                  <c:v>31.1</c:v>
                </c:pt>
                <c:pt idx="4">
                  <c:v>-34.2</c:v>
                </c:pt>
                <c:pt idx="5">
                  <c:v>114.2</c:v>
                </c:pt>
                <c:pt idx="6">
                  <c:v>76.4</c:v>
                </c:pt>
                <c:pt idx="7">
                  <c:v>21.7</c:v>
                </c:pt>
                <c:pt idx="8">
                  <c:v>44.3</c:v>
                </c:pt>
                <c:pt idx="9">
                  <c:v>-25.6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10</c:v>
                </c:pt>
                <c:pt idx="1">
                  <c:v>14.5</c:v>
                </c:pt>
                <c:pt idx="2">
                  <c:v>18.1</c:v>
                </c:pt>
                <c:pt idx="3">
                  <c:v>31.9</c:v>
                </c:pt>
                <c:pt idx="4">
                  <c:v>9.7</c:v>
                </c:pt>
                <c:pt idx="5">
                  <c:v>7.6</c:v>
                </c:pt>
                <c:pt idx="6">
                  <c:v>10.3</c:v>
                </c:pt>
                <c:pt idx="7">
                  <c:v>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10</c:v>
                </c:pt>
                <c:pt idx="1">
                  <c:v>10</c:v>
                </c:pt>
                <c:pt idx="2">
                  <c:v>10</c:v>
                </c:pt>
                <c:pt idx="3">
                  <c:v>10</c:v>
                </c:pt>
                <c:pt idx="4">
                  <c:v>10</c:v>
                </c:pt>
                <c:pt idx="5">
                  <c:v>10</c:v>
                </c:pt>
                <c:pt idx="6">
                  <c:v>10</c:v>
                </c:pt>
                <c:pt idx="7">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Lantheus Holdings</c:v>
                </c:pt>
                <c:pt idx="1">
                  <c:v>Life Molecular Imaging (Neuraceq)</c:v>
                </c:pt>
                <c:pt idx="2">
                  <c:v>Evergreen Theragnostics</c:v>
                </c:pt>
                <c:pt idx="3">
                  <c:v>Negocio SPECT (TechneLite y otros)</c:v>
                </c:pt>
                <c:pt idx="4">
                  <c:v>POINT Biopharma</c:v>
                </c:pt>
              </c:strCache>
            </c:strRef>
          </c:cat>
          <c:val>
            <c:numRef>
              <c:f>Hoja1!$B$2:$B$6</c:f>
              <c:numCache>
                <c:formatCode>0.0"x"</c:formatCode>
                <c:ptCount val="5"/>
                <c:pt idx="0">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365</c:v>
                </c:pt>
                <c:pt idx="1">
                  <c:v>337</c:v>
                </c:pt>
                <c:pt idx="2">
                  <c:v>368</c:v>
                </c:pt>
                <c:pt idx="3">
                  <c:v>396</c:v>
                </c:pt>
                <c:pt idx="4">
                  <c:v>410</c:v>
                </c:pt>
                <c:pt idx="5">
                  <c:v>420</c:v>
                </c:pt>
                <c:pt idx="6">
                  <c:v>427</c:v>
                </c:pt>
                <c:pt idx="7">
                  <c:v>441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2025</c:v>
                </c:pt>
                <c:pt idx="1">
                  <c:v>2686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99,92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49.36</c:v>
                </c:pt>
                <c:pt idx="1">
                  <c:v>71.43</c:v>
                </c:pt>
                <c:pt idx="2">
                  <c:v>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99,92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(50,15 – 111,86)</c:v>
                </c:pt>
                <c:pt idx="1">
                  <c:v>Precio objetivo de los analistas (102,50 – 115,00)</c:v>
                </c:pt>
                <c:pt idx="2">
                  <c:v>Comparables: PER NTM (71,37 – 126,36)</c:v>
                </c:pt>
                <c:pt idx="3">
                  <c:v>DCF (WACC y g ± 0,5) (65,39 – 79,09)</c:v>
                </c:pt>
                <c:pt idx="4">
                  <c:v>Escenarios (bajista – alcista) (49,36 – 86,60)</c:v>
                </c:pt>
                <c:pt idx="5">
                  <c:v>DCF con la prima implícita del mercado (4,2 %)</c:v>
                </c:pt>
                <c:pt idx="6">
                  <c:v>Precio actual (99,92)</c:v>
                </c:pt>
              </c:strCache>
            </c:strRef>
          </c:cat>
          <c:val>
            <c:numRef>
              <c:f>Hoja1!$B$2:$B$8</c:f>
              <c:numCache>
                <c:formatCode>#,##0</c:formatCode>
                <c:ptCount val="7"/>
                <c:pt idx="0">
                  <c:v>50.15</c:v>
                </c:pt>
                <c:pt idx="1">
                  <c:v>102.5</c:v>
                </c:pt>
                <c:pt idx="2">
                  <c:v>71.37</c:v>
                </c:pt>
                <c:pt idx="3">
                  <c:v>65.39</c:v>
                </c:pt>
                <c:pt idx="4">
                  <c:v>49.36</c:v>
                </c:pt>
                <c:pt idx="5">
                  <c:v>76.01</c:v>
                </c:pt>
                <c:pt idx="6">
                  <c:v>99.42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(50,15 – 111,86)</c:v>
                </c:pt>
                <c:pt idx="1">
                  <c:v>Precio objetivo de los analistas (102,50 – 115,00)</c:v>
                </c:pt>
                <c:pt idx="2">
                  <c:v>Comparables: PER NTM (71,37 – 126,36)</c:v>
                </c:pt>
                <c:pt idx="3">
                  <c:v>DCF (WACC y g ± 0,5) (65,39 – 79,09)</c:v>
                </c:pt>
                <c:pt idx="4">
                  <c:v>Escenarios (bajista – alcista) (49,36 – 86,60)</c:v>
                </c:pt>
                <c:pt idx="5">
                  <c:v>DCF con la prima implícita del mercado (4,2 %)</c:v>
                </c:pt>
                <c:pt idx="6">
                  <c:v>Precio actual (99,92)</c:v>
                </c:pt>
              </c:strCache>
            </c:strRef>
          </c:cat>
          <c:val>
            <c:numRef>
              <c:f>Hoja1!$C$2:$C$8</c:f>
              <c:numCache>
                <c:formatCode>#,##0</c:formatCode>
                <c:ptCount val="7"/>
                <c:pt idx="0">
                  <c:v>61.71</c:v>
                </c:pt>
                <c:pt idx="1">
                  <c:v>12.5</c:v>
                </c:pt>
                <c:pt idx="2">
                  <c:v>54.989999999999995</c:v>
                </c:pt>
                <c:pt idx="3">
                  <c:v>13.700000000000003</c:v>
                </c:pt>
                <c:pt idx="4">
                  <c:v>37.239999999999995</c:v>
                </c:pt>
                <c:pt idx="5">
                  <c:v>10.879999999999995</c:v>
                </c:pt>
                <c:pt idx="6">
                  <c:v>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