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Almirall, S.A.</w:t>
      </w:r>
    </w:p>
    <w:p>
      <w:pPr>
        <w:spacing w:after="60"/>
        <w:rPr>
          <w:color w:val="52514E"/>
          <w:sz w:val="22"/>
          <w:szCs w:val="22"/>
        </w:rPr>
      </w:pPr>
      <w:r>
        <w:rPr>
          <w:color w:val="52514E"/>
          <w:sz w:val="22"/>
          <w:szCs w:val="22"/>
        </w:rPr>
        <w:t xml:space="preserve">ALM · Bolsas españolas (Mercado Continuo, BME) · ISIN ES0157097017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10,18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10,41 EUR · mercado 11,23</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+4,1 % · mercado +12,2 %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2.190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7,3x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Almirall,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ALM / ES0157097017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españolas (Mercado Continuo, BME)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Medium Cap (comparación con el 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Barcelona · 1943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www.almirall.com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10,18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10,02 – 13,98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 M EUR/día (130.163 acciones; 3 meses, 65 sesiones)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10,41 EUR</w:t>
      </w:r>
      <w:r>
        <w:t xml:space="preserve"> frente a 10,18 · con la prima implícita del mercado: 11,23 (+10,3 %) · Rentabilidad total esperada a 12 meses </w:t>
      </w:r>
      <w:r>
        <w:rPr>
          <w:b/>
          <w:bCs/>
        </w:rPr>
        <w:t xml:space="preserve">+4,1 %</w:t>
      </w:r>
      <w:r>
        <w:t xml:space="preserve"> · Alcista / bajista +20,6 % / -36,4 %</w:t>
      </w:r>
    </w:p>
    <w:p>
      <w:pPr>
        <w:spacing w:after="100"/>
      </w:pPr>
      <w:r>
        <w:rPr>
          <w:b/>
        </w:rPr>
        <w:t xml:space="preserve">La recomendación y por qué.</w:t>
      </w:r>
      <w:r>
        <w:t xml:space="preserve"> Mantener, con convicción baja. El valor objetivo es de 10,41 EUR frente a 10,18 EUR de cotización: un potencial del 2,3 % y una rentabilidad total esperada del 4,1 % con el dividendo. La asimetría de los escenarios es desfavorable (0,57x: el alcista gana un 20,6 % y el bajista pierde un 36,4 %), pero esos escenarios no incluyen la cartera de I+D. Convicción baja y no media, como sugieren los criterios, porque todo depende de un dato (Ebglyss en el 3T26); subiría si confirma la guía. La razón principal: el precio ya paga el negocio que vende hoy y una parte de la cartera; para ganar dinero hay que creer que Ebglyss vuelve a crecer tras la meseta del 2T26.</w:t>
      </w:r>
    </w:p>
    <w:p>
      <w:pPr>
        <w:spacing w:after="100"/>
      </w:pPr>
      <w:r>
        <w:rPr>
          <w:b/>
        </w:rPr>
        <w:t xml:space="preserve">El negocio.</w:t>
      </w:r>
      <w:r>
        <w:t xml:space="preserve"> Almirall es una farmacéutica de dermatología médica europea que vive de dos biológicos licenciados: Ilumetri (234,4 M en 2025) y Ebglyss (110,8 M) [7]. La dermatología ya es el 60 % de las ventas y crece al 18-26 %; el negocio maduro de medicina general cae un 2-5 % al año [7, 8]. No tiene un foso amplio: paga hitos y regalías a Lilly y Sun, y su ROIC (3,0 %) está muy por debajo del WACC (9,1 %) por 1.210 M de intangibles de compras pasadas, sobre todo la de Allergan en EE. UU., que hoy vende 45,2 M. Su calidad sí sostiene el crecimiento proyectado (5,6 % anual): es volumen de licencias ya pagadas en un mercado que crece al 11,4 % [9], sin ganar cuota ni subir precios.</w:t>
      </w:r>
    </w:p>
    <w:p>
      <w:pPr>
        <w:spacing w:after="100"/>
      </w:pPr>
      <w:r>
        <w:rPr>
          <w:b/>
        </w:rPr>
        <w:t xml:space="preserve">Finanzas.</w:t>
      </w:r>
      <w:r>
        <w:t xml:space="preserve"> El margen EBITDA de la empresa sube del 21,0 % en 2025 al 25,0 % en el 1S26 por el apalancamiento operativo [8], con dos matices: ese EBITDA excluye la reestructuración (0,8 % de las ventas cada año) y se apoya en 28,1 M de desarrollo activado [1]. El flujo libre de 2023-2025 fue de −83, −20 y +16 M porque los hitos de las licencias son capex. Balance sin problemas: deuda neta ajustada de 35 M y Ba1 de Moody's.</w:t>
      </w:r>
    </w:p>
    <w:p>
      <w:pPr>
        <w:spacing w:after="100"/>
      </w:pPr>
      <w:r>
        <w:rPr>
          <w:b/>
        </w:rPr>
        <w:t xml:space="preserve">Equipo y gobierno.</w:t>
      </w:r>
      <w:r>
        <w:t xml:space="preserve"> Resta. La familia Gallardo controla el 59,88 % [21] y uno de sus miembros preside y dirige la compañía; alquila la sede a una sociedad familiar y en la junta de 2026 un 38 % estimado del capital libre presente votó contra ampliar las facultades para emitir convertibles [1, 23]. La guía de EBITDA se ha cumplido de 2022 a 2025.</w:t>
      </w:r>
    </w:p>
    <w:p>
      <w:pPr>
        <w:spacing w:after="100"/>
      </w:pPr>
      <w:r>
        <w:rPr>
          <w:b/>
        </w:rPr>
        <w:t xml:space="preserve">Valoración.</w:t>
      </w:r>
      <w:r>
        <w:t xml:space="preserve"> El DCF del negocio comercializado da 9,19 EUR; la suma de partes, que añade el rNPV de diez programas de I+D (437 M, 2,03 EUR por acción), 11,23 EUR; los escenarios, 9,28 EUR; y los comparables, 12,43 EUR, media de dos extremos (16,31 EUR por EV/EBITDA y 8,56 EUR por PER) que se separan porque el EBITDA de Almirall no ve el coste de sus licencias. El precio descuenta un crecimiento de las ventas del 7,2 % anual en 2027-2033e frente al 4,9 % de nuestro caso base, o una rentabilidad del 8,4 % frente a un WACC del 9,1 %. Discrepamos del consenso (precio objetivo medio de 14,33 EUR [25]), que proyecta un EBITDA de 2028e un 6 % por encima del nuestro: no ha incorporado la meseta de Ebglyss.</w:t>
      </w:r>
    </w:p>
    <w:p>
      <w:pPr>
        <w:spacing w:after="100"/>
      </w:pPr>
      <w:r>
        <w:rPr>
          <w:b/>
        </w:rPr>
        <w:t xml:space="preserve">Riesgos y catalizadores.</w:t>
      </w:r>
      <w:r>
        <w:t xml:space="preserve"> El riesgo dominante es que Ebglyss se quede lejos de la guía de &gt;450 M (escenario bajista, 6,47 EUR); esa guía ya no aparece en las presentaciones de 2026 [8, 45]. El segundo, que fracasen las fases II, que suman 263 M del rNPV (1,22 EUR por acción). El catalizador es el 9-nov-2026: las ventas de Ebglyss del 3T26.</w:t>
      </w:r>
    </w:p>
    <w:p>
      <w:pPr>
        <w:spacing w:after="100"/>
      </w:pPr>
      <w:r>
        <w:rPr>
          <w:b/>
        </w:rPr>
        <w:t xml:space="preserve">Qué cambiaría la decisión.</w:t>
      </w:r>
      <w:r>
        <w:t xml:space="preserve"> Compraríamos por debajo de 9,92 EUR y venderíamos por encima de 12,34 EUR. Pasaríamos a Comprar si Ebglyss supera 48 M en el 3T26 y la empresa reitera los &gt;450 M; a Vender si queda por debajo de 43 M o si Almirall anuncia una compra en EE. UU.</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10,41 EUR</w:t>
      </w:r>
      <w:r>
        <w:t xml:space="preserve"> (+2,3 % sobre 10,18; rentabilidad total esperada +4,1 %) · con la prima implícita del mercado: 11,23 (+10,3 %)</w:t>
      </w:r>
    </w:p>
    <w:p>
      <w:pPr>
        <w:spacing w:after="100"/>
      </w:pPr>
      <w:r>
        <w:t xml:space="preserve">Almirall es la farmacéutica española de dermatología médica: vende en Europa dos biológicos licenciados que crecen (Ilumetri, 234,4 M, y Ebglyss, 110,8 M en 2025) y un negocio maduro que se encoge [7]. Su activo es la red comercial en dermatología europea, que le permite licenciar moléculas de otros y llevarlas a cientos de millones de ventas. Con una guía de EBITDA de 270-290 M para 2026 y caja neta, cotiza a 7,3x EV/EBITDA de los próximos 12 meses, frente a 11,7x de los comparables.</w:t>
      </w:r>
    </w:p>
    <w:p>
      <w:pPr>
        <w:spacing w:after="100"/>
      </w:pPr>
      <w:r>
        <w:t xml:space="preserve">El precio (10,18 EUR) descuenta un crecimiento de las ventas del 7,2 % anual hasta 2033, o una rentabilidad del 8,4 %, algo menos que nuestro WACC del 9,1 %. Nuestro DCF del negocio comercializado da 9,19 EUR y, sumando una cartera de I+D valorada en 437 M ajustados por riesgo, 11,23 EUR. El descuento por EV/EBITDA engaña: por PER (20,2x frente a 17,0x) Almirall es cara, porque su EBITDA excluye ~130 M anuales de amortización de licencias que son un coste real.</w:t>
      </w:r>
    </w:p>
    <w:p>
      <w:pPr>
        <w:spacing w:after="100"/>
      </w:pPr>
      <w:r>
        <w:t xml:space="preserve">El mercado acierta al castigar la meseta de Ebglyss en el 2T26 (42,6 M frente a 41,9 M) y la desaparición de su guía de ventas máximas; se equivoca el consenso, cuyo precio objetivo de 14,33 EUR supone que nada ha cambiado [25]. Para invertir hay que creer que Ebglyss vuelve a crecer con la indicación pediátrica (en registro en la EMA [42]) y que al menos uno de los cinco programas de fase II llega al mercado. Hasta ver el 3T26, Mantener.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 / -36,4 %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frente a 9,1 %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frente a 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9,92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9,92 y 12,34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12,34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Ebglyss vende más de 48 M en el 3T26 y la empresa reitera los &gt;450 M, pasaríamos a Comprar.</w:t>
      </w:r>
    </w:p>
    <w:p>
      <w:pPr>
        <w:pStyle w:val="ListParagraph"/>
        <w:numPr>
          <w:ilvl w:val="0"/>
          <w:numId w:val="2"/>
        </w:numPr>
        <w:spacing w:after="60"/>
      </w:pPr>
      <w:r>
        <w:t xml:space="preserve">Si Ebglyss vende menos de 43 M en el 3T26, pasaríamos a Vender.</w:t>
      </w:r>
    </w:p>
    <w:p>
      <w:pPr>
        <w:pStyle w:val="ListParagraph"/>
        <w:numPr>
          <w:ilvl w:val="0"/>
          <w:numId w:val="2"/>
        </w:numPr>
        <w:spacing w:after="60"/>
      </w:pPr>
      <w:r>
        <w:t xml:space="preserve">Si Almirall anuncia una compra de productos en EE. UU. o a más de 4x ventas, pasaríamos a Vender.</w:t>
      </w:r>
    </w:p>
    <w:p>
      <w:pPr>
        <w:pStyle w:val="ListParagraph"/>
        <w:numPr>
          <w:ilvl w:val="0"/>
          <w:numId w:val="2"/>
        </w:numPr>
        <w:spacing w:after="60"/>
      </w:pPr>
      <w:r>
        <w:t xml:space="preserve">Si la fase II del anti-IL-1RAP en hidradenitis es positiva, el rNPV subiría ~1 EUR por acción: Comprar por debajo de 10,5 EUR.</w:t>
      </w:r>
    </w:p>
    <w:p>
      <w:pPr>
        <w:pStyle w:val="ListParagraph"/>
        <w:numPr>
          <w:ilvl w:val="0"/>
          <w:numId w:val="2"/>
        </w:numPr>
        <w:spacing w:after="60"/>
      </w:pPr>
      <w:r>
        <w:t xml:space="preserve">Si el precio baja de 9,92 EUR sin cambios en los datos,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Tras caer un 20,7 % en el año, el precio descuenta un crecimiento del 7,2 % anual en 2027-2033e y una rentabilidad del 8,4 %: algo más de lo que da nuestro caso base sin cartera (4,9 %) y bastante menos que el consenso de 12 analistas, que con un precio objetivo de 14,33 EUR sigue proyectando un EBITDA de 369,7 M en 2028e [18, 25].</w:t>
      </w:r>
    </w:p>
    <w:p>
      <w:pPr>
        <w:keepNext/>
        <w:spacing w:after="100"/>
      </w:pPr>
      <w:r>
        <w:rPr>
          <w:b/>
          <w:bCs/>
        </w:rPr>
        <w:t xml:space="preserve">Lo que creemos nosotros.</w:t>
      </w:r>
    </w:p>
    <w:p>
      <w:pPr>
        <w:spacing w:after="100"/>
      </w:pPr>
      <w:r>
        <w:t xml:space="preserve">Nuestro EBITDA de 2028e (338 M, con reestructuración) queda un 6 % por debajo del consenso homogeneizado porque Ebglyss crece menos. El valor de la cartera de I+D (2,03 EUR por acción) justifica el precio, pero no más: el valor objetivo de 10,41 EUR está a un 2,3 % de la cotización.</w:t>
      </w:r>
    </w:p>
    <w:p>
      <w:pPr>
        <w:keepNext/>
        <w:spacing w:after="100"/>
      </w:pPr>
      <w:r>
        <w:rPr>
          <w:b/>
          <w:bCs/>
        </w:rPr>
        <w:t xml:space="preserve">Por qué podemos tener razón.</w:t>
      </w:r>
    </w:p>
    <w:p>
      <w:pPr>
        <w:spacing w:after="100"/>
      </w:pPr>
      <w:r>
        <w:t xml:space="preserve">Los datos trimestrales: Ebglyss pasó de crecer 4-7 M por trimestre en 2025 a 0,7 M en el 2T26, y la empresa dejó de repetir la guía de &gt;450 M en sus presentaciones de 2026 [8, 44, 45]. El consenso aún no lo recoge. Frente al precio, en cambio, no tenemos una visión distinta: coincidimos con el mercado en que la acción está cerca de su valor.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0,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Biológicos en crecimiento</w:t>
      </w:r>
      <w:r>
        <w:t xml:space="preserve">: la dermatología europea creció un 25,6 % en 2025 y un 18,1 % en el 1S26 [7, 8].</w:t>
      </w:r>
    </w:p>
    <w:p>
      <w:pPr>
        <w:pStyle w:val="ListParagraph"/>
        <w:numPr>
          <w:ilvl w:val="0"/>
          <w:numId w:val="2"/>
        </w:numPr>
        <w:spacing w:after="60"/>
      </w:pPr>
      <w:r>
        <w:rPr>
          <w:b/>
        </w:rPr>
        <w:t xml:space="preserve">Apalancamiento operativo</w:t>
      </w:r>
      <w:r>
        <w:t xml:space="preserve">: el margen EBITDA de la empresa pasó del 21,7 % al 25,0 % en el 1S26 con gastos comerciales a la baja [8].</w:t>
      </w:r>
    </w:p>
    <w:p>
      <w:pPr>
        <w:pStyle w:val="ListParagraph"/>
        <w:numPr>
          <w:ilvl w:val="0"/>
          <w:numId w:val="2"/>
        </w:numPr>
        <w:spacing w:after="60"/>
      </w:pPr>
      <w:r>
        <w:rPr>
          <w:b/>
        </w:rPr>
        <w:t xml:space="preserve">Balance limpio</w:t>
      </w:r>
      <w:r>
        <w:t xml:space="preserve">: deuda neta ajustada de 35 M y rating Ba1, con 275 M de línea sin usar [5, 8].</w:t>
      </w:r>
    </w:p>
    <w:p>
      <w:pPr>
        <w:pStyle w:val="ListParagraph"/>
        <w:numPr>
          <w:ilvl w:val="0"/>
          <w:numId w:val="2"/>
        </w:numPr>
        <w:spacing w:after="60"/>
      </w:pPr>
      <w:r>
        <w:rPr>
          <w:b/>
        </w:rPr>
        <w:t xml:space="preserve">Cartera con opcionalidad</w:t>
      </w:r>
      <w:r>
        <w:t xml:space="preserve">: rNPV de 437 M (2,03 EUR por acción) en diez programas, el pediátrico de Ebglyss ya en registro [42].</w:t>
      </w:r>
    </w:p>
    <w:p>
      <w:pPr>
        <w:pStyle w:val="ListParagraph"/>
        <w:numPr>
          <w:ilvl w:val="0"/>
          <w:numId w:val="2"/>
        </w:numPr>
        <w:spacing w:after="60"/>
      </w:pPr>
      <w:r>
        <w:rPr>
          <w:b/>
        </w:rPr>
        <w:t xml:space="preserve">Guía de EBITDA cumplida</w:t>
      </w:r>
      <w:r>
        <w:t xml:space="preserve"> de 2022 a 2025 [7, 43, 49, 50].</w:t>
      </w:r>
    </w:p>
    <w:p>
      <w:pPr>
        <w:pStyle w:val="Heading2"/>
      </w:pPr>
      <w:r>
        <w:t xml:space="preserve">En contra</w:t>
      </w:r>
    </w:p>
    <w:p>
      <w:pPr>
        <w:pStyle w:val="ListParagraph"/>
        <w:numPr>
          <w:ilvl w:val="0"/>
          <w:numId w:val="2"/>
        </w:numPr>
        <w:spacing w:after="60"/>
      </w:pPr>
      <w:r>
        <w:rPr>
          <w:b/>
        </w:rPr>
        <w:t xml:space="preserve">Meseta de Ebglyss</w:t>
      </w:r>
      <w:r>
        <w:t xml:space="preserve">: 42,6 M en el 2T26 frente a 41,9 M en el 1T26, y sin la guía de &gt;450 M en las presentaciones de 2026 [8, 45].</w:t>
      </w:r>
    </w:p>
    <w:p>
      <w:pPr>
        <w:pStyle w:val="ListParagraph"/>
        <w:numPr>
          <w:ilvl w:val="0"/>
          <w:numId w:val="2"/>
        </w:numPr>
        <w:spacing w:after="60"/>
      </w:pPr>
      <w:r>
        <w:rPr>
          <w:b/>
        </w:rPr>
        <w:t xml:space="preserve">ROIC del 3,0 %</w:t>
      </w:r>
      <w:r>
        <w:t xml:space="preserve">, muy por debajo del WACC (9,1 %): las compras pasadas no han rendido.</w:t>
      </w:r>
    </w:p>
    <w:p>
      <w:pPr>
        <w:pStyle w:val="ListParagraph"/>
        <w:numPr>
          <w:ilvl w:val="0"/>
          <w:numId w:val="2"/>
        </w:numPr>
        <w:spacing w:after="60"/>
      </w:pPr>
      <w:r>
        <w:rPr>
          <w:b/>
        </w:rPr>
        <w:t xml:space="preserve">EBITDA que no mide el coste de las licencias</w:t>
      </w:r>
      <w:r>
        <w:t xml:space="preserve">: PER de los próximos 12 meses de 20,2x frente a 17,0x de los comparables.</w:t>
      </w:r>
    </w:p>
    <w:p>
      <w:pPr>
        <w:pStyle w:val="ListParagraph"/>
        <w:numPr>
          <w:ilvl w:val="0"/>
          <w:numId w:val="2"/>
        </w:numPr>
        <w:spacing w:after="60"/>
      </w:pPr>
      <w:r>
        <w:rPr>
          <w:b/>
        </w:rPr>
        <w:t xml:space="preserve">Control familiar</w:t>
      </w:r>
      <w:r>
        <w:t xml:space="preserve"> del 59,88 % con presidente y primer ejecutivo de la familia [21].</w:t>
      </w:r>
    </w:p>
    <w:p>
      <w:pPr>
        <w:pStyle w:val="ListParagraph"/>
        <w:numPr>
          <w:ilvl w:val="0"/>
          <w:numId w:val="2"/>
        </w:numPr>
        <w:spacing w:after="60"/>
      </w:pPr>
      <w:r>
        <w:rPr>
          <w:b/>
        </w:rPr>
        <w:t xml:space="preserve">Negocio maduro en declive</w:t>
      </w:r>
      <w:r>
        <w:t xml:space="preserve">: medicina general y OTC Europa −4,4 % en el 1S26 [8].</w:t>
      </w:r>
    </w:p>
    <w:p>
      <w:pPr>
        <w:pStyle w:val="Heading2"/>
      </w:pPr>
      <w:r>
        <w:t xml:space="preserve">Qué tiene que pasar para que la tesis funcione</w:t>
      </w:r>
    </w:p>
    <w:p>
      <w:pPr>
        <w:spacing w:after="100"/>
      </w:pPr>
      <w:r>
        <w:t xml:space="preserve">La tesis depende de que Ebglyss vuelva a crecer: necesita ~45 M por trimestre en el 2S26 para que 2026 cierre cerca de 175 M y la guía de &gt;450 M siga siendo creíble. La señal de que no se cumple sería un 3T26 por debajo de 43 M (9-nov-2026) o una guía de 2027 sin ventas máximas de Ebglyss (22-feb-2027).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 de Ebglyss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43 M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 y de la diferencia con el consenso.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 la empresa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~25 % en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Ilumetri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 M en el 1S26 (+10,5 %)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producto; presión de biosimilares.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Medicina general y OTC Europa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&gt;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Erosión de genéricos más rápida de lo previsto.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Hitos de la cartera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programas en fase II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Abandono de dos programas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 del rNPV.</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8,8x / 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36,4x / 20,2x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Almirall nace en Barcelona en 1943 (inicia su actividad industrial en 1944; la propia empresa da 1944 como año de fundación) de la mano de Antonio Gallardo Carreras, y la familia Gallardo sigue al frente [11, 14]. Sale a bolsa en 2007, el mismo año en que compra la alemana Hermal, base de su dermatología en Europa [1, 14]. En 2014 vende su franquicia respiratoria a AstraZeneca por 875 M USD iniciales más hasta 1.220 M USD en hitos, y gira hacia la dermatología [12]. Con ese dinero compra Poli Group (Polichem) en 2016, la cartera dermatológica de Allergan en EE. UU. en 2018 por 471,2 M EUR y licencia los activos que hoy la mueven: Ilumetri de Sun Pharma (2016) y lebrikizumab (Ebglyss) de Dermira, después Lilly (2019) [1]. En junio de 2023 amplía capital en 200 M EUR por colocación acelerada para financiar el lanzamiento de Ebglyss, aprobado por la EMA en noviembre de 2023 [1,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Antonio Gallardo Carreras funda Laboratorios Almirall en Barcelona; actividad industrial desde 1944 [11,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las bolsas españolas y compra del grupo alemán Hermal (376,4 M EUR según Wikipedia), origen del fondo de comercio de Almirall Hermal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Aqua Pharmaceuticals, primera plataforma dermatológica en EE. UU.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franquicia respiratoria (Eklira, Duaklir, cartera en desarrollo y Almirall Sofotec) a AstraZeneca: 875 M USD al cierre y hasta 1.220 M USD en hitos de desarrollo, lanzamiento y ventas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Poli Group (Polichem, Ciclopoli) con 428,4 M EUR de intangibles, y licencia europea de tildrakizumab (Ilumetri) de Sun Pharma con hitos de ventas de hasta 70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Crestor y Provisacor en España de AstraZeneca (83,9 M EUR) y de Klisyri de Athenex para Europa y EE. UU. (hitos de ventas de hasta 330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Allergan de cinco productos dermatológicos en EE. UU. (Seysara entre ellos) por 471,2 M EUR (548 M USD), el 21 de septiembre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europea de lebrikizumab de Dermira (comprada por Lilly en 2020); hasta 119 M USD en hitos ligados a las ventas en Europa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Wynzora (MC2 Therapeutics, hitos de hasta 221 M EUR) y del anticuerpo anti-IL-1RAP (Ichnos); Gianfranco Nazzi, primer consejero delegado ajeno a la familia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Carlos Gallardo Piqué sustituye a su padre en la presidencia (mayo) y asume funciones ejecutivas en noviembre tras la salida de Nazzi; el valor sale del IBEX 35, al que había entrado en junio de 2020 [14,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capital acelerada de 200 M EUR sin derecho de suscripción (junio); la EMA aprueba Ebglyss el 17 de noviembre y se lanza en diciembre [1,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sube el rating a BB+ y se coloca un bono de 250 M EUR al 3,75 % con vencimiento en 2031; Ebglyss llega a 110,8 M EUR de ventas [7, 10].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Almirall vende medicamentos con receta y sin receta, sobre todo en Europa. En 2025 facturó 1.108,1 M EUR: 1.005,9 M en Europa (90,8 %), 45,2 M en EE. UU. (4,1 %) y 57,0 M en el resto del mundo [7]. La dermatología supone 669,4 M (60,4 %): en Europa, 608,0 M, con Ilumetri (psoriasis, 234,4 M), Ebglyss (dermatitis atópica, 110,8 M), Ciclopoli, Decoderm, Wynzora (33,8 M), Solaraze, Skilarence y Klisyri; en EE. UU., Seysara (acné, 18,6 M) y Klisyri [7]. El negocio tradicional de medicina general y autocuidado en Europa (397,9 M) agrupa Ebastel, Crestor, Sativex, Almax, Parapres, Eklira y Almogran [7]. Vende con red comercial propia en Europa (910,1 M) y EE. UU. (45,2 M), a través de licenciatarios (111,5 M) y fabricando para terceros, sobre todo Covis (41,3 M) [1]. Tiene plantas químicas en Sant Celoni y Sant Andreu, farmacéuticas en Sant Andreu y Reinbek (Alemania), el centro de I+D en Sant Feliu de Llobregat, unos 2.000 empleados (280 en I+D) y presencia en más de 100 países [1, 9, 11].</w:t>
      </w:r>
    </w:p>
    <w:p>
      <w:pPr>
        <w:pStyle w:val="Heading2"/>
      </w:pPr>
      <w:r>
        <w:t xml:space="preserve">Cómo gana dinero</w:t>
      </w:r>
    </w:p>
    <w:p>
      <w:pPr>
        <w:spacing w:after="100"/>
      </w:pPr>
      <w:r>
        <w:t xml:space="preserve">Cobra por caja vendida a mayoristas, farmacias y hospitales a precios fijados o reembolsados por los sistemas públicos de salud europeos. El margen bruto fue del 64,4 % en 2025 y del 64,6 % en el 1S26 (65,5 % en el 1S25): la mezcla hacia biológicos licenciados lo presiona, porque Almirall paga a Lilly, Sun Pharma y MC2 hitos ligados a las ventas (hasta 119 M USD, 70 M USD y 221 M EUR) [1, 7, 8]. La I+D cuesta un 12,5 % de las ventas y los gastos comerciales y generales sin amortizaciones, un 45 % en 2025, en plena fase de lanzamiento de Ebglyss [7]. El apalancamiento operativo es alto: con ventas +7,5 % en el 1S26, el EBITDA subió un 23,7 % (margen del 25,0 % frente al 21,7 %) porque los gastos comerciales bajaron un 0,9 % [8]. El EBITDA de 2025 fue de 232,9 M EUR (+20,9 %); la guía de 2026 es de 270-290 M con ventas +9-12 %, y el objetivo a medio plazo, un margen EBITDA de ~25 % en 2028 [7]. La amortización de las licencias y compras (151,2 M EUR en 2025) separa mucho el EBITDA del beneficio [10]. Parte de las ventas no es recurrente: desinversiones de marcas maduras (Algidol y Sekisan, 12 M EUR en 2025; Actithiol, 13 M EUR en 2026) se contabilizan como ventas [7, 8].</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Europa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Medicina general y OTC Europa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Europa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Medicina general y OTC Europa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las ventas, según la nota de segmentos [1]. Los compradores directos son mayoristas, operadores logísticos, farmacias y hospitales, pero quien decide el precio y el acceso es el pagador público de cada país (las cuentas citan recortes unilaterales de precio, límites al número de pacientes tratados y la sustitución por genéricos como formas de contención del gasto) [1]. Los licenciatarios aportan el 10 % de las ventas (111,5 M EUR) y un socio en Europa del Este pagó 20 M EUR en 2025 por renovar su acuerdo hasta 2030 [1, 10]. El poder de precios es bajo en el negocio maduro: en 2025 cayeron Ebastel (−4,9 %), Almax (−5,4 %), Crestor (−4,6 %) y Sativex (−2,4 %), y en el 1S26 la medicina general y el autocuidado en Europa bajaron un 4,4 % [7, 8]. El crecimiento viene de volumen en dermatología (Europa +25,6 % en 2025 y +18,1 % en el 1S26), no de precio [7, 8]. EE. UU. se contrae: −18,4 % en 2025 y −20,2 % en el 1S26, con Seysara −17,7 % [7, 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Ebglyss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 (2025); 84,5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Trimestres: 19, 25, 31, 35, 41,9 y 42,6 M del 1T25 al 2T26: el 2T26 crece solo un 1,7 % sobre el 1T26 [8, 44, 45].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Ilumetri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 (2025); 125,2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máximas &gt;300 M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Europa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+18,1 % en el 1S26 (341,9 M)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Medicina general y OTC Europa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−4,4 % en el 1S26 (212,0 M) sin contar la venta de Actithiol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EE. UU.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−20,2 % en el 1S26 (19,7 M); Seysara −17,7 % en 2025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en % de ventas (gasto en la cuenta)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Además se activaron 28,1 M de desarrollo en 2025 (20,4 M en 2024)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dermatología médica con receta: biológicos y orales de psoriasis y dermatitis atópica, tópicos de queratosis actínica, acné y onicomicosis, y las nuevas áreas inflamatorias (hidradenitis supurativa, alopecia, vitíligo). Almirall vende el 90,8 % en Europa [7], pero la única serie pública de tamaño es mundial: Evaluate Pharma, citada por la propia Almirall [9]. Se usa esa serie y se contrasta con un ancla independiente: Dupixent, el líder en dermatitis atópica, vendió 15.714 M EUR en 2025 en todas sus indicaciones, 1.700-2.000 M en Europa al ritmo del 4T25 (509 M)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63.300 M USD en 2025, mundo (Evaluate Pharma en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mund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Biológicos y orales sustituyen a tópicos y sistémicos clásicos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casi se duplica entre 2024 y 2030 (54,3 → 103,6 bn USD) según Evaluate Pharma [9]; Dupixent +25,2 % en 2025 [46].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mecanismos en dermatitis atópica (IL-13, IL-31, OX40)</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Nemluvio de Galderma vendió 452 M USD en su primer año completo y su guía de ventas máximas sube a &gt;4.000 M USD [47]; Sanofi tiene amlitelimab con fases III positivas [46].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y precios de referencia en el negocio maduro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Ebastel −2,6 %, Crestor −4,6 % y Sativex −2,4 % en 2025; medicina general y OTC Europa −4,4 % en el 1S26 [7,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Contención del gasto farmacéutico público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cuentas citan recortes de precio unilaterales, límites de pacientes tratados y sustitución por genéricos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Nuevas indicaciones inflamatorias (hidradenitis, alopecia)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Hidradenitis: 1,6 bn USD en 2025 y 4,3 bn en 2030 (Evaluate Pharma) [9].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dermatitis atópica compiten Dupixent (15.714 M EUR en 2025 [46]), Adtralza de LEO, Nemluvio de Galderma, JAK orales y Ebglyss; en psoriasis, cinco anti-IL-17/23.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pagador público fija precio y acceso en cada país europeo; las cuentas de Almirall citan recortes de precio y límites de pacientes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biológicos se licencian: Almirall paga hitos de ventas a Lilly (hasta 119 M USD), Sun Pharma (55 M USD en dic-2025) y MC2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Desarrollar un biológico cuesta años y la fase II solo la supera el 31,4 % de los programas inmunológicos [41]; la red comercial dermatológica europea es una barrera.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Orales (JAK, OX40) y biosimilares de ustekinumab y adalimumab presionan precios de los biológicos de psoriasis.</w:t>
            </w:r>
          </w:p>
        </w:tc>
      </w:tr>
    </w:tbl>
    <w:p>
      <w:pPr>
        <w:spacing w:after="160" w:before="0"/>
      </w:pPr>
    </w:p>
    <w:p>
      <w:pPr>
        <w:pStyle w:val="Heading2"/>
      </w:pPr>
      <w:r>
        <w:t xml:space="preserve">Ciclo</w:t>
      </w:r>
    </w:p>
    <w:p>
      <w:pPr>
        <w:spacing w:after="100"/>
      </w:pPr>
      <w:r>
        <w:t xml:space="preserve">La demanda de medicamentos con receta no depende del ciclo económico: en 2020, con la pandemia, Almirall vendió 807,4 M y en 2021, 827,2 M; en 2022 creció un 4,4 % [3, 4]. El ciclo relevante es el de producto: la dermatología médica crece al 11,4 % anual previsto hasta 2030 [9] mientras los productos maduros de Almirall caen un 2-5 % al año por genéricos [7]. El riesgo cíclico está en el gasto público: los recortes de precio llegan cuando los presupuestos sanitarios se tensan.</w:t>
      </w:r>
    </w:p>
    <w:p>
      <w:pPr>
        <w:pStyle w:val="Heading2"/>
      </w:pPr>
      <w:r>
        <w:t xml:space="preserve">Regulación</w:t>
      </w:r>
    </w:p>
    <w:p>
      <w:pPr>
        <w:spacing w:after="100"/>
      </w:pPr>
      <w:r>
        <w:t xml:space="preserve">Precios y reembolso nacionales: en Alemania, primer mercado de Ebglyss, el AMNOG fija el precio tras el primer año según el beneficio adicional; en España rige el sistema de precios de referencia, que arrastra a Ebastel, Crestor y Almax [1]. La reforma farmacéutica de la UE, en tramitación, recorta la protección regulatoria de datos (hoy 8+2+1 años), lo que acortaría la exclusividad de las moléculas que Almirall lance después de su entrada en vigor. Ebglyss y Klisyri, aprobados en 2023 y 2021, quedan bajo el régimen actual.</w:t>
      </w:r>
    </w:p>
    <w:p>
      <w:pPr>
        <w:pStyle w:val="Heading2"/>
      </w:pPr>
      <w:r>
        <w:t xml:space="preserve">Tendencias y disrupción</w:t>
      </w:r>
    </w:p>
    <w:p>
      <w:pPr>
        <w:spacing w:after="100"/>
      </w:pPr>
      <w:r>
        <w:t xml:space="preserve">La dermatología se ha convertido en un mercado de inmunología: la mayoría del crecimiento viene de biológicos y orales caros para pacientes moderados y graves [9]. Almirall gana con ello porque tiene dos biológicos en Europa y la red de visitadores dermatológicos para venderlos [7], pero compite con Sanofi, Galderma y LEO, que tienen más presupuesto de marketing y moléculas propias. Pierde en EE. UU., donde su cartera de tópicos (Seysara) cae un 18 % al año [7].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cuatro grupos europeos especializados en dermatología médica (con LEO Pharma, Galderma y Pierre Fabre); 608,0 M EUR de ventas dermatológicas en Europa en 2025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 (Dupixent, con Regeneron)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dermatitis atópica: Dupixent 15.714 M EUR (+25,2 %), 509 M en Europa en el 4T25 (+17,9 %); margen operativo de negocio, no NIIF [46].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Galderma (Nemluvio)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5.207 M USD (+17,7 %); dermatología terapéutica 1.185 M USD (+50,2 %) por Nemluvio (452 M USD); margen EBITDA core 23,3 % [47].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 Pharma (Adtralza, Anzupgo)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13.499 M DKK (+10 % a cambio constante); EBIT 2.279 M DKK con un cobro inicial de Gilead; margen EBITDA ajustado 16 % [48].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UCB (Bimzelx)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Bélgica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UCB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Bimzelx compite con Ilumetri en psoriasis; ventas 2025 de 7.741 M y EBIT de 2.009 M según MarketScreener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medicamentos.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paciente estable con un biológico rara vez cambia, pero los nuevos pacientes eligen cada año entre 5-6 opciones.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exclusivas en Europa de lebrikizumab (Lilly) y tildrakizumab (Sun); protección regulatoria de Ebglyss hasta 2033-2034. Son licencias, no patentes propias, y pagan hitos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del 3,0 % frente a 15,2 % de mediana de los comparables: sin ventaja de costes visible.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comercial dermatológica en los grandes mercados europeos que permite licenciar y lanzar moléculas de terceros: Ilumetri pasó de 0 a 234,4 M en seis años [B1].</w:t>
            </w:r>
          </w:p>
        </w:tc>
      </w:tr>
    </w:tbl>
    <w:p>
      <w:pPr>
        <w:spacing w:after="160" w:before="0"/>
      </w:pPr>
    </w:p>
    <w:p>
      <w:pPr>
        <w:pStyle w:val="Heading2"/>
      </w:pPr>
      <w:r>
        <w:t xml:space="preserve">Amenazas</w:t>
      </w:r>
    </w:p>
    <w:p>
      <w:pPr>
        <w:spacing w:after="100"/>
      </w:pPr>
      <w:r>
        <w:t xml:space="preserve">La amenaza principal es la competencia en dermatitis atópica: Nemluvio de Galderma crece más deprisa que Ebglyss (452 M USD en su primer año completo frente a 110,8 M EUR [7, 47]) y llegan amlitelimab de Sanofi y orales anti-OX40. Probabilidad alta de que Ebglyss quede por debajo de su guía de &gt;450 M si el 2T26 (+1,7 % sobre el trimestre anterior) no es puntual. En psoriasis, los biosimilares de ustekinumab y los anti-IL-17 de nueva generación presionan el precio de Ilumetri antes de su pérdida de exclusividad.</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spacing w:after="100"/>
      </w:pPr>
      <w:r>
        <w:t xml:space="preserve">Crecimiento anual compuesto 2020-2025: ingresos </w:t>
      </w:r>
      <w:r>
        <w:rPr>
          <w:b/>
          <w:bCs/>
        </w:rPr>
        <w:t xml:space="preserve">6,5 %</w:t>
      </w:r>
      <w:r>
        <w:t xml:space="preserve">, EBITDA </w:t>
      </w:r>
      <w:r>
        <w:rPr>
          <w:b/>
          <w:bCs/>
        </w:rPr>
        <w:t xml:space="preserve">-0,6 %</w:t>
      </w:r>
      <w:r>
        <w:t xml:space="preserve">, BPA </w:t>
      </w:r>
      <w:r>
        <w:rPr>
          <w:b/>
          <w:bCs/>
        </w:rPr>
        <w:t xml:space="preserve">-12,1 %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a una tasa anual compuesta del 6,5 % entre 2020 y 2025, casi todo en los tres últimos años (+10,2 % y +12,4 %) por Ilumetri y Ebglyss [7]. El crecimiento es orgánico: no hubo compras desde 2018. El margen EBITDA (EBIT más amortizaciones y deterioros) cayó del 28,7 % en 2020 al 18,6 % en 2023 por el coste de lanzar Ebglyss y Wynzora y la erosión del negocio maduro, y se recupera al 20,2 % en 2025 y al 25,0 % (de la empresa) en el 1S26 por el apalancamiento operativo: los gastos comerciales bajaron un 0,9 % con ventas +7,5 % [8]. El EBIT sigue bajo (6,6 % en 2025) porque la amortización de licencias y compras se come 13,6 puntos de margen. El beneficio neto fue negativo en 2021 y 2023 por deterioros de 103,5 M y 47,3 M (Seysara y otros activos de EE. UU.) [49, 51]. El BPA cae a una tasa anual del 12,1 % en 2020-2025 por los deterioros y por la dilución: las acciones pasaron de 178,9 M a 214 M [1, 2, 3, 4, 5, 6].</w:t>
      </w:r>
    </w:p>
    <w:p>
      <w:pPr>
        <w:pStyle w:val="Heading2"/>
      </w:pPr>
      <w:r>
        <w:t xml:space="preserve">Ajustes y partidas no recurrentes</w:t>
      </w:r>
    </w:p>
    <w:p>
      <w:pPr>
        <w:spacing w:after="100"/>
      </w:pPr>
      <w:r>
        <w:t xml:space="preserve">Almirall publica un EBITDA que excluye deterioros, reestructuración, «otros costes» y resultados por venta de activos: 232,9 M en 2025 frente a 224,3 M con la definición de este informe (EBIT NIIF más amortizaciones y deterioros) [7]. La diferencia (8,6 M) es reestructuración y otros que se repiten todos los años: 6,1-12,2 M entre 2020 y 2025, un 0,6-1,4 % de las ventas [43, 49, 50, 51]. Los deterioros sí son extraordinarios (103,5 M en 2021, 47,3 M en 2023, 11,7 M en 2024) y se suman al EBITDA. Las ventas incluyen desinversiones de marcas maduras como ingreso ordinario: Algidol y Sekisan (12 M) en el 1T25 y Actithiol (13 M + 1 M) en el 2T26 [7, 8]. Sin Actithiol, el crecimiento del 1S26 sería del 5,0 %.</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Los trimestres se calculan por diferencia entre las presentaciones acumuladas (1T, 1S, 9M y año) [7, 8, 43, 44, 45, 52, 53, 54, 55]. En el 1T26 (11-may) la dirección presentó un trimestre plano en ventas (+2,2 %) por la base alta del 1T25, que incluía 12 M por la venta de Algidol y Sekisan, y un EBITDA de 67,5 M (−4,8 %), y pidió mirar el año entero: guía de ventas +9-12 % y EBITDA de 270-290 M reiterada [45]. En el 1S26 (24-jul) el mensaje cambió hacia la rentabilidad: EBITDA de 150,7 M (+23,7 %, margen 25,0 %) con gastos comerciales a la baja, pero el titular de crecimiento depende de los 14 M de Actithiol y Ebglyss vendió 42,6 M en el 2T26 frente a 41,9 M en el 1T26 [8, 45]. La presentación de 2025 repetía la guía de ventas máximas de Ebglyss (&gt;450 M) en la conferencia de JP Morgan de enero [9], pero las del 1T26 y 1S26 ya no la mencionan y solo reiteran la de Ilumetri (&gt;300 M) [8, 45]. No se ha encontrado una transcripción gratuita de las conferencias (financialfilings.com da 403): las preguntas de los analistas quedan sin documentar.</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bajó de 472,6 M en 2020 a 276,2 M en jun-2026, y la caja neta (sin pensiones) es de 78 M: la ampliación de 2023 (197,8 M) pagó el lanzamiento de Ebglyss [3]. En dic-2025 se refinanció el bono con uno de 250 M al 3,75 % hasta 2031 (50 M menos que el anterior) [5]. El circulante comercial subió del 8,3 % de las ventas en 2021 al 13,9 % en 2024 y al 12,9 % en 2025 por las existencias de biológicos (178,1 M), que se compran a Lilly y Sun; es un coste de crecer en biológicos licenciados. La deuda neta ajustada (con pensiones y el swap) es de 35 M: el balance no limita la tesis y deja margen para licencias.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105</w:t>
      </w:r>
      <w:r>
        <w:t xml:space="preserve">, conversión </w:t>
      </w:r>
      <w:r>
        <w:rPr>
          <w:b/>
          <w:bCs/>
        </w:rPr>
        <w:t xml:space="preserve">190 %</w:t>
      </w:r>
      <w:r>
        <w:t xml:space="preserve"> del beneficio neto; adquisiciones 0, dividendos 58, recompras 0.</w:t>
      </w:r>
    </w:p>
    <w:p>
      <w:pPr>
        <w:spacing w:after="100"/>
      </w:pPr>
      <w:r>
        <w:t xml:space="preserve">La conversión de beneficio en caja es pobre: el flujo libre acumulado de 2020-2025 fue de 105 M con un flujo operativo de 931 M, porque Almirall invierte cada año en licencias e hitos (intangibles: 64,6, 52,3, 93,5, 125,8, 131,6 y 102,4 M) además de 12-35 M en planta [1, 3, 4]. Esos pagos son el capex de este modelo: sin ellos no hay productos nuevos. 2023 y 2024 fueron negativos (−83 y −20 M) por los hitos de Ebglyss e Ilumetri y un EBITDA en mínimos. Estimación propia: el capex de mantenimiento (planta y desarrollo activado de productos vendidos) ronda 60-70 M (5-6 % de las ventas); el resto son hitos de crecimiento que dependen de las ventas de Ilumetri y Ebglyss. 2026 arranca con el pago del hito de Ilumetri de 46,8 M en el 1T26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Auditores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Tres asuntos contables pesan. Primero, Almirall </w:t>
      </w:r>
      <w:r>
        <w:rPr>
          <w:b/>
        </w:rPr>
        <w:t xml:space="preserve">activa desarrollo</w:t>
      </w:r>
      <w:r>
        <w:t xml:space="preserve">: 28,1 M en 2025 y 20,4 M en 2024 (estudios de Ebglyss tras su aprobación), un 12,5 % del EBITDA de 2025; el gasto de I+D en la cuenta (138,1 M) subestima el esfuerzo real (166,2 M) [1, 7]. Segundo, las </w:t>
      </w:r>
      <w:r>
        <w:rPr>
          <w:b/>
        </w:rPr>
        <w:t xml:space="preserve">licencias y compras</w:t>
      </w:r>
      <w:r>
        <w:t xml:space="preserve"> (1.229,9 M de fondo de comercio e intangibles en jun-2026) se amortizan a razón de ~130 M al año dentro de los gastos comerciales, y los hitos de ventas se activan al devengarse [1, 8]: el EBITDA no ve ese coste económico, que vuelve como capex. Tercero, los </w:t>
      </w:r>
      <w:r>
        <w:rPr>
          <w:b/>
        </w:rPr>
        <w:t xml:space="preserve">deterioros</w:t>
      </w:r>
      <w:r>
        <w:t xml:space="preserve"> han sido recurrentes (16,2 M, 103,5 M, 18,7 M, 47,3 M y 11,7 M en 2020-2024), en buena parte en EE. UU. (47,3 M de Seysara en 2023 por menores ventas máximas [3]), donde la cartera comprada a Allergan en 2018 por 471,2 M hoy vende 45,2 M [1, 7]: la asignación de capital en EE. UU. ha destruido valor. El EBITDA de la empresa excluye la reestructuración, que se repite cada año (0,8 % de las ventas de media). Los indicadores del motor no muestran manipulación: Beneish M de −2,67 (por debajo de −1,78), Piotroski F de 8 (mejora de rentabilidad y de caja) y Altman Z de 2,82 (zona gris por el peso de los intangibles, no por deuda). El tipo impositivo efectivo (61,9 % en 2024 y 38,0 % en 2025) refleja amortizaciones no deducibles y pérdidas de EE. UU. sin activar.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Desarrollo activado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28,1 M en 2025 (+38 %): infla el EBITDA en ~2,5 puntos de margen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en EE. UU.</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 M de deterioros en 2020-2024; la cartera de Allergan (471,2 M) vende 45,2 M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marcas como ingreso ordinario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M en el 1T25 y 14 M en el 2T26: maquillan el crecimiento trimestral [7,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Reestructuración todos los años fuera del EBITDA de la empresa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6,1-12,2 M al año en 2020-2025 [7, 49, 50, 51].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9,1 %.</w:t>
      </w:r>
    </w:p>
    <w:p>
      <w:pPr>
        <w:spacing w:after="100"/>
      </w:pPr>
      <w:r>
        <w:t xml:space="preserve">Almirall no crea valor sobre su capital contable: el ROIC fue del 3,0 % en 2025 frente a un WACC del 9,1 %, y no ha superado el 5,3 % desde 2020. La causa es el denominador: 1.210 M de fondo de comercio e intangibles de compras y licencias (Hermal, Polichem, la cartera de Allergan) que rinden poco, y un margen EBIT del 6,6 % lastrado por su amortización. El ROE (3,1 %) cuenta lo mismo. La mejora reciente viene del margen, no de la rotación: el EBIT pasó de −5,3 M en 2023 a 73,1 M en 2025. Los comparables obtienen un ROIC mediano del 15,2 % con márgenes EBITDA del 31,0 %, porque sus productos son propios o están más amortizados. El ROIC incremental de Ebglyss sí es alto (el EBITDA subió 58 M en 2023-2025 con ~250 M invertidos en hitos y lanzamiento, estimación propia): la tesis exige que ese retorno incremental siga.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354,6 M y línea de crédito de 275 M sin disponer (vence en feb-2028) a 30-jun-2026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Ba1 (subida desde Ba2 en jun-2026) [8]; S&amp;P BB+ (2025)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de 51,8 M (Alemania), 38,9 M después de impuestos en el puente [8]. Equity swap con CaixaBank sobre 2.510.952 acciones propias con un coste de 35,1 M: Almirall paga un interés variable y soporta la caída del precio (pasivo por derivado de 6,8 M a 30-jun-2026); si el valor baja del 75 % del coste debe aportar caja [5]. Se trata como autocartera financiada con deuda. Pagos contingentes por licencias no reconocidos: hitos de ventas a Lilly por lebrikizumab (hasta 119 M USD), a MC2 por Wynzora (hasta 221 M EUR) y a Sun Pharma por Ilumetri; el quinto hito de Ilumetri (55 M USD) se devengó en dic-2025 y se pagó en el 1T26 [1]. Arrendamiento de la sede a una sociedad de la familia Gallardo (pasivo de 25,3 M) [1]. Sin factoring ni covenants en riesgo (se cumplen todos) [5].</w:t>
      </w:r>
    </w:p>
    <w:p>
      <w:pPr>
        <w:pStyle w:val="Heading1"/>
      </w:pPr>
      <w:r>
        <w:t xml:space="preserve">12. Asignación de capital</w:t>
      </w:r>
    </w:p>
    <w:p>
      <w:pPr>
        <w:pStyle w:val="Confianza"/>
        <w:spacing w:after="100"/>
      </w:pPr>
      <w:r>
        <w:t xml:space="preserve">Confianza: Media</w:t>
      </w:r>
    </w:p>
    <w:p>
      <w:pPr>
        <w:spacing w:after="100"/>
      </w:pPr>
      <w:r>
        <w:t xml:space="preserve">Dividendo flexible (scrip): la junta de 2026 aprobó 40,8 M (0,19 EUR por acción), que cada accionista cobra en caja o en acciones nuevas; en jun-2026 se emitieron acciones nuevas y Almirall compró los derechos de quien prefirió caja [17, 23]. La familia Gallardo toma acciones, lo que diluye a quien cobra en efectivo. Sin recompras (solo contrato de liquidez y el equity swap). Prioridades declaradas: lanzar Ebglyss, cartera de inmunología en fase temprana y compras «oportunistas» de productos comercializados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Poli Group (Polichem; onicomicosis, Ciclopoli)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la venta del negocio respiratorio a AstraZeneca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Ciclopoli vende ~50 M al año (24,5 M en el 1S26)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europea de tildrakizumab (Ilumetri), Sun Pharma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hitos de ventas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Éxito: 234,4 M de ventas en 2025 y guía de &gt;300 M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dermatológica de Allergan en EE. UU. (Seysara y otros cuatro)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deterioro de 47,3 M de Seysara en 2023 por menores ventas máximas, tras los de 2021; EE. UU. vende 45,2 M en 2025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europea de lebrikizumab (Ebglyss), Dermira/Lilly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hitos hasta 119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lanzamiento: 110,8 M en 2025; meseta en el 2T26 [7,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de capital acelerada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24,4 M de acciones a 8,20 EUR; la familia suscribió su 59,66 %</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Financió el lanzamiento de Ebglyss; la acción cotiza hoy un 24 % por encima del precio de emisión [3, 13].</w:t>
            </w:r>
          </w:p>
        </w:tc>
      </w:tr>
    </w:tbl>
    <w:p>
      <w:pPr>
        <w:spacing w:after="160" w:before="0"/>
      </w:pPr>
    </w:p>
    <w:p>
      <w:pPr>
        <w:spacing w:after="100"/>
      </w:pPr>
      <w:r>
        <w:t xml:space="preserve">Asignación de capital con un éxito claro (Ilumetri) y un fracaso caro (la compra de Allergan en EE. UU. por 471,2 M, que hoy vende 45,2 M y acumula deterioros). En 2020-2025 el flujo libre acumulado fue de 105 M y se pagaron 58 M de dividendos en caja (el resto, en acciones), con una conversión del 190 % sobre el beneficio por los años de pérdidas. La dilución ha sido alta: de 178,9 M de acciones en 2020 a 217,8 M hoy (+22 %), por la ampliación de 2023 y los dividendos flexibles [4, 17]. El ROIC del 3,0 % dice que, sobre el capital acumulado, la dirección no ha creado valor; el giro de 2022-2025 (Ebglyss, recorte de gastos, venta de marcas maduras) va en la buena dirección.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Gallardo Piqué</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industrial (UPC) y MBA de Stanford; Pfizer en Nueva York y Almirall desde 2004 (estrategia, ventas, licencias, M&amp;A). Presidente desde mayo de 2022 y consejero delegado desde nov-2022 (confirmado en feb-2023). Con él, el EBITDA pasó de 174,1 M (2023) a 232,9 M (2025) y la guía de 2025 se cumplió [7,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Enrique de Leyva Pérez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coordinador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desde 2019; presidió la comisión de auditoría hasta 2024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Antonio Gallardo Torrededía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dominical (familia Gallardo)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 a Grupo Plafin y Grupo Corporativo Landon en el consejo y en la comisión de auditoría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básicas: crecimiento de un dígito medio; EBITDA 190-210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básicas +6,6 %; EBITDA 198,3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crecimiento de un dígito medio; EBITDA 165-180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+3,6 %; EBITDA 174,1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crecimiento alto de un dígito; EBITDA 175-190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+10,2 %; EBITDA 192,6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+10-13 %; EBITDA 220-240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+12,4 %; EBITDA 232,9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+9-12 %; EBITDA 270-290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+7,5 %, EBITDA 150,7 M (+23,7 %)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operativa ha mejorado: la guía de EBITDA se ha cumplido todos los años de 2022 a 2025 y en 2024 se superó (192,6 M frente a 175-190 M) [7, 43, 49, 50]; en ventas, 2023 quedó en el 3,6 % frente a un crecimiento «de un dígito medio». El riesgo está en el largo plazo: la guía de ventas máximas de Ebglyss (&gt;450 M) dejó de aparecer en las presentaciones de 2026 [8, 45]. La estabilidad depende de la familia: el presidente es a la vez primer ejecutivo y miembro de la familia de control, tras la salida en 2022 del primer consejero delegado ajeno a la familia (Gianfranco Nazzi, 2021-2022) [14]. No hay plan de sucesión público. El equipo de dirección no se ha podido documentar más allá del consejo (página de la dirección no accesible sin navegador).</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Gallardo Piqué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Enrique de Leyva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Gallardo Torrededía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Karin Dorrepaal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Seth J. Orlow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Alexandra B. Kimball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Eva-Lotta Allan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Ruud Dobber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Ugo Di Francesco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Eva Abans Iglesias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Sostenibilidad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Karin Dorrepaal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Gallardo (Grupo Corporativo Landon, S.L. y Grupo Plafin, S.A.U.)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(pacto de accionistas de Antonio y Jorge Gallardo Ballart)</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suscribió a prorrata la colocación de 2023 y los dividendos flexibles; 59,66 % en jun-2023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Norbel Inversiones,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Significativo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directa e indirecta (equity swap con CaixaBank)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2.510.952 acciones del swap, renovado en dic-2025 por dos años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0,75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devengó 1,79 M en 2025: 930.000 EUR de salario más 90.000 de consejero, 748.400 EUR de variable anual y 14.500 de otros; el salario se subió un 20 % (desde 775.000) en la política de 2025 [22]. El variable anual va del 50 % al 100 % del fijo. El plan de acciones por objetivos (775.000 EUR anuales de objetivo, 70-150 % de consolidación) pesa TSR relativo frente a Ipsen, UCB, Orion, Recordati, Lundbeck, Rovi, Galderma y Grifols (35 %), EBITDA acumulado (35 %), hitos de I+D (15 %), satisfacción de empleados (7,5 %) y huella de carbono (7,5 %) [22]: premia rentabilidad y no crecimiento a cualquier precio, pero ninguna métrica mide el retorno sobre el capital invertido en licencias. Ratio frente al coste medio por empleado (127.000 EUR): 14 veces. La junta de 2026 aprobó el informe con un 94,9 % a favor y un 4,8 % en contra; descontando el bloque familiar (59,88 %), el voto en contra del capital libre presente fue del 14,3 % (estimación propia) [23].</w:t>
      </w:r>
    </w:p>
    <w:p>
      <w:pPr>
        <w:pStyle w:val="Heading2"/>
      </w:pPr>
      <w:r>
        <w:t xml:space="preserve">Operaciones vinculadas, estructura de control y defensas</w:t>
      </w:r>
    </w:p>
    <w:p>
      <w:pPr>
        <w:spacing w:after="100"/>
      </w:pPr>
      <w:r>
        <w:t xml:space="preserve">La familia Gallardo controla el 59,88 % a través de Grupo Corporativo Landon y su filial Grupo Plafin, con un pacto de acción concertada entre Antonio y Jorge Gallardo Ballart [21, 24]. Preside y dirige un miembro de la familia (Carlos Gallardo Piqué) y otro es consejero dominical; los otros siete son independientes y una es «otra externa» [21]. Una acción, un voto, sin límites estatutarios. Vinculadas: la sede de Barcelona se alquila a Sinkasen, sociedad de Landon, por 3,4 M al año hasta 2032 (pasivo de 25,3 M) [1]; la familia suscribió su parte de la ampliación de 2023 con aprobación de la comisión de auditoría y abstención de los consejeros afectados [13]. En la junta de 2026, la reforma de estatutos sobre emisión de obligaciones convertibles con exclusión del derecho de suscripción recibió un 12,7 % en contra (≈ 38 % del capital libre presente) [23]. El control hace improbable una OPA hostil.</w:t>
      </w:r>
    </w:p>
    <w:p>
      <w:pPr>
        <w:pStyle w:val="Heading2"/>
      </w:pPr>
      <w:r>
        <w:t xml:space="preserve">Señales de alerta</w:t>
      </w:r>
    </w:p>
    <w:p>
      <w:pPr>
        <w:pStyle w:val="ListParagraph"/>
        <w:numPr>
          <w:ilvl w:val="0"/>
          <w:numId w:val="2"/>
        </w:numPr>
        <w:spacing w:after="60"/>
      </w:pPr>
      <w:r>
        <w:t xml:space="preserve">Presidente y primer ejecutivo en la misma persona, que además pertenece a la familia de control [21].</w:t>
      </w:r>
    </w:p>
    <w:p>
      <w:pPr>
        <w:pStyle w:val="ListParagraph"/>
        <w:numPr>
          <w:ilvl w:val="0"/>
          <w:numId w:val="2"/>
        </w:numPr>
        <w:spacing w:after="60"/>
      </w:pPr>
      <w:r>
        <w:t xml:space="preserve">Arrendamiento de la sede a una sociedad de la familia (3,4 M al año, renovado en 2023 hasta 2032) [1].</w:t>
      </w:r>
    </w:p>
    <w:p>
      <w:pPr>
        <w:pStyle w:val="ListParagraph"/>
        <w:numPr>
          <w:ilvl w:val="0"/>
          <w:numId w:val="2"/>
        </w:numPr>
        <w:spacing w:after="60"/>
      </w:pPr>
      <w:r>
        <w:t xml:space="preserve">Un 38 % estimado del capital libre presente votó contra la ampliación de facultades para emitir convertibles sin derecho de suscripción en la junta de 2026 [23].</w:t>
      </w:r>
    </w:p>
    <w:p>
      <w:pPr>
        <w:pStyle w:val="ListParagraph"/>
        <w:numPr>
          <w:ilvl w:val="0"/>
          <w:numId w:val="2"/>
        </w:numPr>
        <w:spacing w:after="60"/>
      </w:pPr>
      <w:r>
        <w:t xml:space="preserve">Equity swap sobre acciones propias renovado en dic-2025: exposición apalancada al precio de la propia acción [5].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(presentación de resultados de 2025, 23-feb-2026; reiterada el 11-may y el 24-jul): ventas +9-12 % sobre 1.108,1 M y EBITDA de 270-290 M, con I+D en torno al 12,5 % de las ventas, gastos comerciales creciendo menos que las ventas y tipo impositivo bajando hacia el 25 % [7, 8, 45]. A medio plazo: crecimiento de ventas de doble dígito en 2023-2030 y margen EBITDA de ~25 % en 2028; ventas máximas de &gt;450 M para Ebglyss y &gt;300 M para Ilumetri (&gt;800 M juntos), reiteradas en JP Morgan en ene-2026 [7, 9]. El EBITDA de la guía es el de la empresa, sin reestructuración ni otros costes.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[18]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[18]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12 analistas [18]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11,50 – 17,50</w:t>
            </w:r>
          </w:p>
        </w:tc>
      </w:tr>
    </w:tbl>
    <w:p>
      <w:pPr>
        <w:spacing w:after="160" w:before="0"/>
      </w:pPr>
    </w:p>
    <w:p>
      <w:pPr>
        <w:pStyle w:val="Heading2"/>
      </w:pPr>
      <w:r>
        <w:t xml:space="preserve">Revisiones de estimaciones</w:t>
      </w:r>
    </w:p>
    <w:p>
      <w:pPr>
        <w:spacing w:after="100"/>
      </w:pPr>
      <w:r>
        <w:t xml:space="preserve">Solo hay una fuente gratuita con estimaciones completas (MarketScreener, 12 analistas) [18]; Investing confirma el número de analistas, 10 recomendaciones de compra y 2 de mantener, y un precio objetivo medio de 14,33 EUR (11,50-17,50) [19, 25]. El EBITDA de 2026e del consenso (282,5 M) está en la mitad alta de la guía y el de 2028e (369,7 M, 25,1 % de margen) asume que se cumple el objetivo de margen. No hay historial gratuito de revisiones a 3 y 12 meses; la caída de la acción del 20,7 % en el año sugiere que el mercado ya descuenta menos que el consenso publicado.</w:t>
      </w:r>
    </w:p>
    <w:p>
      <w:pPr>
        <w:pStyle w:val="Heading1"/>
      </w:pPr>
      <w:r>
        <w:t xml:space="preserve">16. Comportamiento en bolsa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vale 10,18 EUR, un 20,7 % menos que a fin de 2025, frente a un IBEX que sube un 12,3 % y un índice de salud europeo que cae un 5,2 % [16]. La caída empezó tras el 1T26 (ventas +2,2 %) y se acentuó con el 2T26, cuando Ebglyss creció solo un 1,7 % sobre el trimestre anterior [8, 45]. En 2025 había subido un 55,9 % con la aceleración de Ebglyss y la subida del rating. A diez años la acción pierde un 2,6 % anual en precio: la compra de Allergan y la dilución pesaron más que el giro a dermatología. Beta frente al STOXX de 0,37 y volatilidad del 23,8 %: la acción se mueve por noticias propias, no por el mercado. Liquidez baja: 1,4 M EUR al día. Sin dato de posiciones cortas.</w:t>
      </w:r>
    </w:p>
    <w:p>
      <w:pPr>
        <w:pStyle w:val="Heading1"/>
      </w:pPr>
      <w:r>
        <w:t xml:space="preserve">17. Múltiplos frente a su historia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mismo criterio que hoy, Almirall cotizó entre 9,5x y 12,2x EV/EBITDA de los últimos 12 meses al cierre de 2020-2025 (media 10,0x); hoy, 8,8x, un 12 % por debajo. El PER histórico no sirve (beneficio deprimido por deterioros: 26x-452x). El descuento no se explica por el balance (caja neta) sino por la duda sobre Ebglyss y la falta de crecimiento del negocio maduro. Con tipos a 10 años del 4,13 %, 0,9 puntos más que hace un año [39], un múltiplo algo menor que la media de 2020-2021 es razonable.</w:t>
      </w:r>
    </w:p>
    <w:p>
      <w:pPr>
        <w:pStyle w:val="Heading1"/>
      </w:pPr>
      <w:r>
        <w:t xml:space="preserve">18. Comparables cotizados</w:t>
      </w:r>
    </w:p>
    <w:p>
      <w:pPr>
        <w:pStyle w:val="Confianza"/>
        <w:spacing w:after="100"/>
      </w:pPr>
      <w:r>
        <w:t xml:space="preserve">Confianza: Media</w:t>
      </w:r>
    </w:p>
    <w:p>
      <w:pPr>
        <w:spacing w:after="100"/>
      </w:pPr>
      <w:r>
        <w:t xml:space="preserve">Cifras de Stock Analysis y MarketScreener a 7-oct-2026 [26, 27, 28, 29, 30, 31, 32, 33, 34, 35, 36, 37], cambio del BCE [38]. Farmacéuticas europeas medianas y especializadas, con productos licenciados o de nicho y presencia en dermatología o inmunología: Galderma (dermatología pura), UCB (Bimzelx en psoriasis), Ipsen y Recordati (especialidades y enfermedades raras), y las españolas Faes Farma y Rovi (mismo mercado de precios y misma liquidez). Se excluyen LEO Pharma (no cotiza), Sanofi y AbbVie (tamaño y diversificación) y Grifols (hemoderivados y deuda).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Almirall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Galderma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Ipsen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Recordati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Faes Farma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Rovi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11,7x / 12,3x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13,9x / 14,6x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16,9x / 17,9x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 / 4,4x / 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-1,4 + 1,20 × crecimiento; R² = 0,83. Para el crecimiento esperado de la empresa (11,6 %), el múltiplo ajustado es 12,5x y el valor por acción, 17,51.</w:t>
      </w:r>
    </w:p>
    <w:p>
      <w:pPr>
        <w:spacing w:after="100"/>
      </w:pPr>
      <w:r>
        <w:t xml:space="preserve">Almirall cotiza a 7,3x EV/EBITDA de los próximos 12 meses frente a 11,7x de mediana de los comparables, pero a 20,2x PER frente a 17,0x. La contradicción es contable: el EBITDA de Almirall no lleva los ~130 M anuales de amortización de licencias, que en su modelo son un coste recurrente (los hitos vuelven como capex), mientras que Ipsen, Recordati o UCB tienen márgenes EBITDA del 35-39 % con productos propios. Por EV/EBITDA, el valor implícito es de 16,31 EUR; por PER, 8,56 EUR. Ninguno de los dos extremos es fiable; la media de ambos (12,43 EUR) pesa poco en la síntesis. La regresión de EV/EBITDA sobre crecimiento tiene un R² de 0,83 y daría 12,5x y 17,51 EUR para el 11,6 % de crecimiento que el motor calcula para Almirall, pero la sostiene Galderma (22,9x y 19,3 %), diez veces más grande, y aplica un múltiplo de EBITDA a una empresa cuyo EBITDA excluye el coste de sus licencias: no se usa.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En 2026e, +10,5 %, mitad de la guía (+9-12 %) e incluido el cobro de Actithiol [7, 8]. 2027e +8,0 % y 2028e +7,5 %, por debajo del consenso (+10,0 % y +8,9 % [18]): Ebglyss se aplanó en el 2T26 y los 14 M de Actithiol no se repiten. Después, convergencia al 2,0 % en 2033e. La dermatología europea creció un 25,6 % en 2025 y el negocio maduro cae un 2-5 % al año: con dermatología al 60 % de las ventas y bajando su crecimiento al 8-10 %, el grupo crece al 5-6 %. El TCAC 2020-2025 fue del 6,5 %.</w:t>
      </w:r>
    </w:p>
    <w:p>
      <w:pPr>
        <w:keepNext/>
        <w:spacing w:after="100"/>
      </w:pPr>
      <w:r>
        <w:rPr>
          <w:b/>
          <w:bCs/>
        </w:rPr>
        <w:t xml:space="preserve">Márgenes.</w:t>
      </w:r>
    </w:p>
    <w:p>
      <w:pPr>
        <w:spacing w:after="100"/>
      </w:pPr>
      <w:r>
        <w:t xml:space="preserve">Margen EBITDA (definición del informe, con reestructuración) del 22,1 % en 2026e (guía de 270-290 M menos ~10 M de reestructuración) al 24,5 % en 2030e, equivalente al objetivo de ~25 % de la empresa en 2028 con un año de retraso. El 1S26 ya marcó un 25,0 % con su definición [8]. No se proyecta más: los comparables ganan un 31 % de mediana con productos propios, y Almirall paga regalías e hitos a Lilly y Sun. Bajada al 24,0 % al final por la erosión de Ilumetri.</w:t>
      </w:r>
    </w:p>
    <w:p>
      <w:pPr>
        <w:keepNext/>
        <w:spacing w:after="100"/>
      </w:pPr>
      <w:r>
        <w:rPr>
          <w:b/>
          <w:bCs/>
        </w:rPr>
        <w:t xml:space="preserve">Inversión y circulante.</w:t>
      </w:r>
    </w:p>
    <w:p>
      <w:pPr>
        <w:spacing w:after="100"/>
      </w:pPr>
      <w:r>
        <w:t xml:space="preserve">Capex (planta más intangibles, con hitos de licencias) del 11,5 % de las ventas en 2026e (incluye el hito de Ilumetri de 46,8 M) bajando al 10 %; la media de 2020-2025 fue del 13,0 %. Amortización del 12,5 % al 10 % (13,6 % en 2025) y igual al capex al final. Circulante comercial del 13 % de las ventas, como en 2025 (12,9 %).</w:t>
      </w:r>
    </w:p>
    <w:p>
      <w:pPr>
        <w:keepNext/>
        <w:spacing w:after="100"/>
      </w:pPr>
      <w:r>
        <w:rPr>
          <w:b/>
          <w:bCs/>
        </w:rPr>
        <w:t xml:space="preserve">Coste del capital.</w:t>
      </w:r>
    </w:p>
    <w:p>
      <w:pPr>
        <w:spacing w:after="100"/>
      </w:pPr>
      <w:r>
        <w:t xml:space="preserve">Tasa libre: bono español a 10 años, 4,13 % [39]. Beta de 0,96: la desapalancada de farmacéuticas de Damodaran (0,89, ene-2026) [40] reapalancada con ~11 % de deuda sobre capital; la medida frente al STOXX (0,37) [16] no es fiable con 1,4 M EUR diarios de negociación. Prima de mercado 5,5 % y 0,5 puntos adicionales por tamaño y liquidez. Coste de la deuda: 4,2 %, TIR efectiva del bono de 2031 [5]. Peso de la deuda del 12 %. WACC: 9,10 %.</w:t>
      </w:r>
    </w:p>
    <w:p>
      <w:pPr>
        <w:keepNext/>
        <w:spacing w:after="100"/>
      </w:pPr>
      <w:r>
        <w:rPr>
          <w:b/>
          <w:bCs/>
        </w:rPr>
        <w:t xml:space="preserve">Valor terminal.</w:t>
      </w:r>
    </w:p>
    <w:p>
      <w:pPr>
        <w:spacing w:after="100"/>
      </w:pPr>
      <w:r>
        <w:t xml:space="preserve">Crecimiento a perpetuidad del 1,5 %, por debajo del nominal europeo (≈ 3,5 %) porque Ilumetri pierde exclusividad en la década de 2030 y Ebglyss hacia 2034-2035: el valor terminal supone que la I+D (12,5 % de las ventas, dentro del margen) repone esos productos. El valor de los programas concretos de la cartera se calcula aparte (rNPV) y se suma en la suma de partes. Múltiplo de salida de contraste: 9,0x, frente a 5,7x implícito en el Gordon.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M (1 % del NOPAT)</w:t>
            </w:r>
          </w:p>
        </w:tc>
      </w:tr>
    </w:tbl>
    <w:p>
      <w:pPr>
        <w:spacing w:after="160" w:before="0"/>
      </w:pPr>
    </w:p>
    <w:p>
      <w:pPr>
        <w:spacing w:after="100"/>
      </w:pPr>
      <w:r>
        <w:t xml:space="preserve">La proyección apenas necesita inversión neta de la amortización (reinversión acumulada de 8 M, el 1 % del NOPAT, con un capex bruto medio del 10,6 % de las ventas). En un negocio de activos ligeros, el crecimiento medio del 5,6 %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Ebglyss (84,5 M en el 1S26, +88 %) e Ilumetri (+10,5 %) en dermatología Europa, +18,1 % en el 1S26, contra un negocio maduro que cae un 4,4 % [8]. Precio: recortes unilaterales y precios de referencia en Europa [1] (reparto entre volumen y precio, estimación propia). Otros: los 14 M de la venta de Actithiol dentro de las ventas [8]. Guía: +9-12 %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dermatología creciendo al 15 % frente al 18 % del 1S26 (Ebglyss en meseta desde el 2T26) y medicina general cayendo un 2-5 % [7, 8]. Otros: Actithiol no se repite. Por debajo del consenso (+10,0 %)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Ebglyss e Ilumetri hacia sus ventas máximas guiadas (&gt;450 M y &gt;300 M) [7, 9]; el resto igual que en 2027e. Consenso: +8,9 % [18].</w:t>
            </w:r>
          </w:p>
        </w:tc>
      </w:tr>
    </w:tbl>
    <w:p>
      <w:pPr>
        <w:spacing w:after="160" w:before="0"/>
      </w:pPr>
    </w:p>
    <w:p>
      <w:pPr>
        <w:spacing w:after="100"/>
      </w:pPr>
      <w:r>
        <w:t xml:space="preserve">Sí, con el margen como supuesto que vigilar. El crecimiento (5,6 % anual en 2026-2033e, por debajo del consenso [18]) es de volumen: dos licencias ya pagadas, Ebglyss e Ilumetri, en un mercado que crece al 11,4 % [9]; el precio resta (recortes en Europa [1]): no hay poder de precios. El motor no ve inversión neta porque los hitos (10-11 % de las ventas) se amortizan al mismo ritmo, no porque el negocio sea ligero. Cuota, a mano: la dermatología crece menos que el mercado. El margen EBITDA de 2030e (24,5 %) queda bajo la guía (~25 % en 2028 [7]). Foso estrecho y ROIC (3,0 %) bajo el WACC: crecer no crea valor.</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(base: 4,9 %)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25,4 % (base: 24,0 %)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(WACC: 9,1 %)</w:t>
            </w:r>
          </w:p>
        </w:tc>
      </w:tr>
    </w:tbl>
    <w:p>
      <w:pPr>
        <w:spacing w:after="160" w:before="0"/>
      </w:pPr>
    </w:p>
    <w:p>
      <w:pPr>
        <w:spacing w:after="100"/>
      </w:pPr>
      <w:r>
        <w:t xml:space="preserve">El DCF del negocio comercializado da 9,19 EUR por acción, un 9,7 % por debajo del precio, con un WACC del 9,10 % y un valor terminal que pesa el 62 %. El precio (10,18 EUR) descuenta una rentabilidad anual del 8,4 %, o, con nuestro WACC, un crecimiento de las ventas del 7,2 % anual en 2027-2033e frente al 4,9 % de nuestro caso base, o un margen EBITDA del 25,4 % frente al 24,0 %. Ese crecimiento implícito no es exigente si se cree la guía de la empresa (doble dígito en 2023-2030), pero sí lo es si Ebglyss se queda en la meseta del 2T26. La diferencia entre el DCF y el precio se cierra casi exactamente con la cartera de I+D: el rNPV de diez programas suma 437 M (2,03 EUR por acción), y la suma de partes da 11,23 EUR. El mercado, por tanto, paga hoy el negocio que hay más una opción moderada sobre la cartera; no descuenta el consenso (precio objetivo medio de 14,33 EUR [25]), que supone ventas un 3,5 % y un EBITDA un 6 % por encima de los nuestros en 2028e.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Ebglyss se estanca en 170-200 M anuales por Nemluvio y los orales anti-OX40, Ilumetri pierde precio con los biosimilares de ustekinumab y el negocio maduro cae al 5 %: el crecimiento queda 2 puntos por debajo del base cada año y el margen 2 puntos por debajo, como en 2022-2023, cuando el margen bajó al 18,6 % [49]. La prima de riesgo sube 0,5 puntos y el crecimiento a perpetuidad baja al 1,0 %.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Ebglyss crece de nuevo desde el 2S26 con las nuevas indicaciones y llega a 300-350 M en 2030, Ilumetri a su guía de &gt;300 M, el negocio maduro cae un 2-3 % al año y el margen llega al 24,5 % en 2030e.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Ebglyss alcanza la guía de &gt;450 M con la indicación pediátrica (aceptada por la EMA en jul-2026 [42]) y el margen supera el objetivo de la empresa; crecimiento 2 puntos y margen 1,5 puntos por encima del base, WACC 0,3 puntos menor y crecimiento a perpetuidad del 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10,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9,28 EUR (-8,8 %).</w:t>
      </w:r>
    </w:p>
    <w:p>
      <w:pPr>
        <w:spacing w:after="100"/>
      </w:pPr>
      <w:r>
        <w:t xml:space="preserve">Los escenarios valoran solo el negocio comercializado (el motor no admite la cartera): bajista 6,47 EUR (−36,4 %), base 9,19 EUR y alcista 12,28 EUR (+20,6 %), con un valor ponderado de 9,28 EUR. La asimetría es desfavorable (0,57x): se pierde más en el bajista de lo que se gana en el alcista. Con la cartera de I+D sumada a los tres casos (2,03 EUR por acción, que también variaría entre escenarios), el alcista subiría a ≈ 14,3 EUR y el bajista a ≈ 8,5 EUR (estimación propia), una asimetría cercana a 1. La decisión, por tanto, depende de cuánto se crea en la cartera, cuya probabilidad de éxito es baja (19 % en fase II).</w:t>
      </w:r>
    </w:p>
    <w:p>
      <w:pPr>
        <w:pStyle w:val="Heading1"/>
      </w:pPr>
      <w:r>
        <w:t xml:space="preserve">22. Suma de partes</w:t>
      </w:r>
    </w:p>
    <w:p>
      <w:pPr>
        <w:pStyle w:val="Confianza"/>
        <w:spacing w:after="100"/>
      </w:pPr>
      <w:r>
        <w:t xml:space="preserve">Confianza: Baja</w:t>
      </w:r>
    </w:p>
    <w:p>
      <w:pPr>
        <w:spacing w:after="100"/>
      </w:pPr>
      <w:r>
        <w:rPr>
          <w:b/>
        </w:rPr>
        <w:t xml:space="preserve">Método.</w:t>
      </w:r>
      <w:r>
        <w:t xml:space="preserve"> La cartera se valora por rNPV, activo a activo: (1) una curva de ventas que sube linealmente desde el año de lanzamiento hasta las ventas máximas en 4-6 años, se mantiene hasta la pérdida de exclusividad y cae a la mitad cada año después; (2) un margen de contribución tras coste de ventas, regalías al licenciante y gastos comerciales del producto (50 % en extensiones de Ebglyss, 45 % en moléculas nuevas); (3) impuesto del 25 %; (4) la probabilidad acumulada de llegar a la aprobación según la fase actual, de BIO/Informa/QLS 2021 para el área de inmunología [41]; (5) descuento al WACC del DCF hasta 2045, sin valor terminal. Los costes de desarrollo no se restan porque Almirall los paga dentro de su I+D (12,5 % de las ventas), que ya reduce el margen del DCF. </w:t>
      </w:r>
      <w:r>
        <w:rPr>
          <w:b/>
        </w:rPr>
        <w:t xml:space="preserve">Resultado.</w:t>
      </w:r>
      <w:r>
        <w:t xml:space="preserve"> rNPV de 437 M (1.939 M sin ajustar por riesgo): la indicación pediátrica de Ebglyss (en registro) aporta 92 M; los tres programas en fase III o registro, 118 M; los seis en fase II, 263 M; los de fase I, 57 M. </w:t>
      </w:r>
      <w:r>
        <w:rPr>
          <w:b/>
        </w:rPr>
        <w:t xml:space="preserve">Lectura.</w:t>
      </w:r>
      <w:r>
        <w:t xml:space="preserve"> El 60 % del valor está en programas de fase II con un 19,3 % de probabilidad y ventas máximas estimadas por nosotros (150-300 M cada uno): es el número menos fiable del informe. Hay solapamiento parcial con el valor terminal del DCF, que supone que la I+D repone los productos que pierden exclusividad. La suma de partes da 11,23 EUR por acción, un 10,3 % sobre el precio. El rango que imprime el motor (−0,16 a 22,62 EUR) mueve ±1 vez el «múltiplo» de cada parte y no tiene sentido económico para un valor de DCF y un rNPV: no se usa.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 comercializado (DCF)</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DCF</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DCF del negocio comercializado (2.013 M): ventas, márgenes e inversión de la sección 20, con todo el gasto de I+D dentro del margen.</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I+D (rNPV)</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rNPV de 10 programas, M EUR</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rNPV de diez programas (notas/rnpv.mjs): ventas máximas y lanzamientos propios, probabilidades de éxito de BIO/Informa/QLS 2021 para inmunología (registro 94,1 %, fase III 61,4 %, fase II 19,3 %, fase I 10,7 %) [41], margen de contribución del 45-50 %, impuesto del 25 % y descuento al WACC del 9,1 %. Bruto de I+D: el coste de desarrollo ya está en el margen del DCF.</w:t>
            </w:r>
          </w:p>
        </w:tc>
      </w:tr>
    </w:tbl>
    <w:p>
      <w:pPr>
        <w:spacing w:after="160" w:before="0"/>
      </w:pPr>
    </w:p>
    <w:p>
      <w:pPr>
        <w:spacing w:after="100"/>
      </w:pPr>
      <w:r>
        <w:rPr>
          <w:b/>
          <w:bCs/>
        </w:rPr>
        <w:t xml:space="preserve">Valor por acción por suma de partes:</w:t>
      </w:r>
      <w:r>
        <w:t xml:space="preserve"> 11,23 (+10,3 %); con ±1x en los múltiplos, 9,52 – 12,94.</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10,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objetivo ponderado:</w:t>
      </w:r>
      <w:r>
        <w:t xml:space="preserve"> 10,41 EUR (+2,3 % sobre 10,18).</w:t>
      </w:r>
    </w:p>
    <w:p>
      <w:pPr>
        <w:spacing w:after="100"/>
      </w:pPr>
      <w:r>
        <w:t xml:space="preserve">Pesos: DCF 30 %, suma de partes 35 %, escenarios 20 % y comparables 15 %; transacciones 0 % (no hay operaciones de dermatología con múltiplos publicados y ninguna OPA es probable con un 59,88 % familiar). El método más fiable es la suma de partes, porque es el único que paga la cartera de I+D que Almirall financia con un 12,5 % de sus ventas; el DCF solo y los escenarios la ignoran y quedan como suelo. Los comparables pesan poco porque sus dos múltiplos dan valores opuestos (16,31 EUR por EV/EBITDA y 8,56 EUR por PER) por la forma de contabilizar las licencias. La dispersión es amplia (8,56-16,31 EUR), pero los tres métodos de flujos se concentran entre 9,19 y 11,23 EUR, alrededor del precio. Valor objetivo: 10,41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Ebglyss del 3T26: la prueba de si la meseta del 2T26 fue puntual; confirmación de la guía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tras la meseta de Ebglyss; si repite la guía de ventas máximas de &gt;450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2S27 (estimación)</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Opinión del CHMP sobre Ebglyss pediátrico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Indicación de 6 meses a 18 años; ~92 M de rNPV en juego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de la fase II del anti-IL-1RAP en hidradenitis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activo de la cartera por rNPV (74 M); éxito o fracaso mueve ±1,5 EUR por acción en el valor sin ajustar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productos comercializados («bolt-on»)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línea de 275 M sin usar; el historial de Allergan aconseja prudencia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del equity swap con CaixaBank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Liquidación de 2,5 M de acciones a un coste de 35,1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Ebglyss por debajo de la guía (&gt;450 M) por la competencia de Nemluvio y orales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(escenario bajista: 6,47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Indicación pediátrica y dosificación cada 4 semanas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trimestrales de Ebglyss por debajo de 45 M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 de los programas de fase II (anti-IL-1RAP, anti-IL-21, IL-2muFc)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(−263 M de rNPV, −1,22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diversificada en cinco programas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Lecturas de prueba de concepto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del negocio maduro más rápida (genéricos, precios de referencia)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marcas maduras (Actithiol, Algidol)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Medicina general y OTC Europa cayendo más del 5 %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 en Ilumetri (biosimilares de ustekinumab, IL-17 de nueva generación)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Dosis de 200 mg y datos a largo plazo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Ilumetri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cara de un activo comercializado (repetición de Allergan)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70 % de independientes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más de 4x ventas o en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familiar y dilución por dividendo flexible y ampliaciones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familia suscribe a prorrata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ampliación sin derecho de suscripción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Pérdidas del equity swap si cae la acción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acotado (35,1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por debajo de 10,5 EUR (75 % del coste)</w:t>
            </w:r>
          </w:p>
        </w:tc>
      </w:tr>
    </w:tbl>
    <w:p>
      <w:pPr>
        <w:spacing w:after="160" w:before="0"/>
      </w:pPr>
    </w:p>
    <w:p>
      <w:pPr>
        <w:pStyle w:val="Heading2"/>
      </w:pPr>
      <w:r>
        <w:t xml:space="preserve">Pre-mortem</w:t>
      </w:r>
    </w:p>
    <w:p>
      <w:pPr>
        <w:spacing w:after="100"/>
      </w:pPr>
      <w:r>
        <w:t xml:space="preserve">Octubre de 2029: la acción vale 6 EUR. El 3T26 confirmó la meseta de Ebglyss: 43 M, igual que el 2T26. En Alemania, la renegociación del precio tras el AMNOG recortó un 15 % y Nemluvio, con dosis mensual y prurito como argumento, se llevó la mayoría de los pacientes nuevos. En la guía de 2027 la empresa rebajó las ventas máximas a 300 M y el crecimiento a un dígito. Para compensar, compró un paquete de marcas en EE. UU. a 4x ventas con la línea de 275 M: el mismo error que con Allergan en 2018. En 2028 las fases II en hidradenitis dieron un efecto inferior al de los anti-IL-17 y se pararon, y el anti-IL-1RAP se deterioró. El margen se quedó en el 21 % porque los gastos comerciales de Ebglyss no se podían recortar sin perder cuota. La familia, cómoda con el control, no vendió ni buscó socio. Señales que lo habrían anticipado: ventas trimestrales de Ebglyss por debajo de 45 M en el 2S26, la desaparición de la guía de &gt;450 M en las presentaciones (ya ocurrió en 2026) y cualquier compra en EE. UU.</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ESG que mueven cifras en Almirall son de gobierno y de acceso, no ambientales. Gobierno: un accionista de control con el 59,88 % que preside y dirige la compañía, y operaciones con sociedades de la familia (sede alquilada por 3,4 M al año) [1, 21]. Acceso y precio: el 90,8 % de las ventas depende de pagadores públicos europeos [7]. El plan de acciones del primer ejecutivo incluye un 7,5 % ligado a la reducción de la huella de carbono frente a 2019 (objetivo del 45 %) [22]; la planta solar y la reducción de emisiones directas son pequeñas frente al coste del producto.</w:t>
      </w:r>
    </w:p>
    <w:p>
      <w:pPr>
        <w:pStyle w:val="Heading2"/>
      </w:pPr>
      <w:r>
        <w:t xml:space="preserve">Controversias</w:t>
      </w:r>
    </w:p>
    <w:p>
      <w:pPr>
        <w:spacing w:after="100"/>
      </w:pPr>
      <w:r>
        <w:t xml:space="preserve">No se han encontrado sanciones, litigios materiales ni incidentes en 2023-2026 en las cuentas anuales de 2025 ni en el IAGC [1, 21]. No se ha revisado la prensa por el corte de los subagentes.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Ebglyss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explica la meseta del 2T26 (42,6 M frente a 41,9 M): precio en Alemania, existencias o pérdida de pacientes nuevos frente a Nemluvio? ¿Mantienen la guía de &gt;450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(9,19 EUR) y el alcista (12,28 EUR).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leen las fases II del anti-IL-1RAP y del anti-IL-21 en hidradenitis, y qué perfil de eficacia necesitan frente a Bimzelx y Cosentyx?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60 % del rNPV (263 M) está en fase II.</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Contabilidad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estudios de Ebglyss se activan como desarrollo (28,1 M en 2025) y cuánto se activará en 2026-2027?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el EBITDA en ~2,5 puntos de margen y cambia la comparación con 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queda de hitos de ventas por pagar a Lilly, Sun Pharma y MC2 y a qué niveles de ventas se activan?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deuda contingente que no está en el puente y que crece con el éxito comercial.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múltiplo máximo pagarían por un producto comercializado y en qué geografía, después de la experiencia de Allergan?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mal hecha es el segundo riesgo del pre-mortem.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plan de sucesión para el presidente y consejero delegado, y se separarán los cargos?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concentración de poder en la familia penaliza la puntuación de gobierno.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Equity swap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renovar en 2025 un swap sobre acciones propias y qué harán al vencimiento en dic-2027?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Exposición apalancada al propio precio sin función clara.</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21 controles correctos y 4 explicados. Fuentes: 56 (33 primarias); citas distintas en el texto: 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61,9 %: explica la causa (créditos fiscales, regularizaciones, mezcla de países) y no lo proyectes en el DCF. Explicación: 61,9 %: amortizaciones y deterioros de intangibles de EE. UU. no deducibles y bases imponibles negativas que no se activan; con un BAI de 26,5 M cualquier gasto no deducible dispara el tipo. El DCF usa 30 % en 2026e y 25 % desde 2028e (guía de la empresa: hacia el 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38,0 %: explica la causa (créditos fiscales, regularizaciones, mezcla de países) y no lo proyectes en el DCF. Explicación: 38,0 % por la misma causa; en el 1S26 fue del 35 % [8].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13,0 % frente a 12,9 % real: genera una variación de circulante de 16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105 M de flujo libre medio en sus tres primeros años, frente a -29 M de media real en los tres últimos: justifica el salto (circulante, inversión, márgenes) o ajusta los supuestos. Explicación: El flujo libre de 2023-2025 (−83, −20 y +16 M) cargó 125,8, 131,6 y 102,4 M de inversión en intangibles (licencias, hitos y desarrollo activado) con un EBITDA en mínimos (166-224 M) [1, 3]. El consenso espera 117 M de flujo libre en 2026e y 154 M en 2027e [18]; el DCF proyecta 78, 110 y 127 M en 2026-2028e, por debajo.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16,31 y PER 8,56 por acción: si la empresa amortiza mucho más que sus comparables (licencias, intangibles adquiridos) el EBITDA la favorece; usa EV/EBIT o EV/(EBITDA − capex) y explícalo. Explicación: Almirall activa licencias e hitos (10-11 % de las ventas) y los amortiza por debajo del EBITDA, así que EV/EBITDA la favorece (16,31 EUR) y el PER la castiga (8,56 EUR). Por eso los comparables pesan solo un 15 % y la síntesis se apoya en los métodos de flujos (9,19-11,23 EUR).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fuentes (33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Subagente D encargado de las operaciones de dermatología (Nestlé Skin Health, Organon-Dermavant, Sun-Concert, Allergan-Almirall): cortado por el límite de uso antes de escribir; 2) Revisión de las operaciones conocidas: la mayoría son compras de biotecnológicas sin ventas (múltiplos no significativos); 3) Las compras de Almirall (Allergan 2018, Polichem 2016) no publicaron EBITDA del perímetro comprado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operaciones de directivos de la CNMV: 403/400 sin navegador; 2) IAGC 2025, sección A.3: solo participaciones de consejeros (0,0086 % del presidente), no operaciones; 3) Hechos relevantes de la web de inversores: sin comunicaciones de operaciones de directivos en la lista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CNMV: no accesible sin navegador; 2) Stock Analysis: no publica cortos de valores españoles; 3) Prensa: no se buscó por el corte de los subagentes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EINF 2025 (descargado por B): no se llegó a revisar; 2) MSCI y Sustainalytics: páginas con JavaScript; 3) Subagente B cortado por el límite de uso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fuente de tamaño de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JP Morgan 2026 (Evaluate Pharma): usada; 2) Ventas de Dupixent de Sanofi como ancla: usada; 3) Informes de mercado gratuitos de dermatitis atópica: no se buscaron por el corte de 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y transcripciones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financialfilings.com (transcripción del 1T26): 403; 2) roic.ai: requiere registro; 3) MarketScreener: sin consenso trimestral previo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directivo (CFO, I+D)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la dirección de la web de inversores: antibot (Incapsula); 2) IAGC 2025: solo lista la alta dirección por cargo sin trayectoria; 3) Subagente C cortado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2025 (con comparativo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https://blob.almirall.com/files/2026-03/EN-Consolidated-Annual-Accounts-2025.pdf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https://blob.almirall.com/files/documents_pdf/EN%20-%20CCAACC%202024189cc05c-5e20-d58c-73d7-ff8f733bfd79.pdf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2023 (con comparativo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https://blob.almirall.com/files/documents_pdf/EN%20-%20CCAACC%2020230de83cca-b74e-0b73-722f-a4b1deffbf80.pdf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2021 (con comparativo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https://blob.almirall.com/files/documents_pdf/EN%20-%20CCAACC%20202183621dcb-23b1-5d84-31b7-a19fa2e5dc32.pdf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consolidados resumidos,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https://blob.almirall.com/files/2026-07/EN-H1-2026-Accounts.pdf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consolidados resumidos,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https://blob.almirall.com/files/2026-03/EN-Consolidado-CCAA-30.06.2025.pdf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2025 Financial Results &amp; Business Update (presentación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https://blob.almirall.com/files/2026-05/Financial_Results_Business_Update_ENG_FY2025_Final.pdf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Financial Results &amp; Business Update (presentación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https://blob.almirall.com/files/2026-07/EN-Financial_Results_Business_Update_H1-2026-vFinal.pdf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European Medical Dermatology Leader. 44th J.P. Morgan Healthcare Conference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https://blob.almirall.com/files/2026-04/JP-Morgan-2026-vFinal.pdf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gestión consolidado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https://blob.almirall.com/files/documents_pdf/EN%20-%20Consolidated%20Management%20Report%202025f8272954-6b74-3deb-81ce-a91e6e53370d.pdf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 de información no financiera y de sostenibilidad 2025 (EINF)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https://blob.almirall.com/files/documents_pdf/EN%20-%20EINF%202025%20Almirallc298e222-c89b-2beb-0d09-ebc4359986db.pdf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 agrees strategic transaction with Almirall in respiratory disease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2014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https://www.astrazeneca.com/media-centre/press-releases/2014/astrazeneca-almirall-respiratory-disease-30072014.html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los administradores sobre la ampliación de capital acelerada y la exclusión del derecho de suscripción preferente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https://blob.almirall.com/files/2026-04/20230609-Grandchild-Informe-de-administradores-ABO-y-exclusion-DSP-2.pdf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(artículo de enciclopedia)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 en español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https://es.wikipedia.org/wiki/Almirall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https://blob.almirall.com/files/2026-01/Almirall_AR2021_EN_web.pdf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ALM.MC, ^IBEX, EXV4.DE y ^STOXX (herramientas/bolsa.mjs) hasta 2026-10-06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https://finance.yahoo.com/quote/ALM.MC/history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resultado del aumento de capital del dividendo flexible y compra de derechos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https://blob.almirall.com/files/2026-06/20260604-Almirall-OIR-Resultado-aumento-y-ejercicio-compra-ENG.pdf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S.A.: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https://www.marketscreener.com/quote/stock/ALMIRALL-S-A-268048/finances/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S.A.: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https://www.marketscreener.com/quote/stock/ALMIRALL-S-A-268048/consensus/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(BME:ALM)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https://stockanalysis.com/quote/bme/ALM/statistics/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(IAGC)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https://blob.almirall.com/files/2026-03/EN-IAGC-2025.pdf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remuneraciones de los consejeros 2025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https://blob.almirall.com/files/2026-03/EN-IARC-2025.pdf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y resultado de las votaciones de la junta general ordinaria del 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https://blob.almirall.com/files/2026-05/EN-Almirall-OIR-Resultados-JG-2026.pdf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Pacto de accionistas (Antonio y Jorge Gallardo Ballart)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https://blob.almirall.com/files/2026-01/4.%20Almirall%20-%20Shareholders_Agreement%20%28ENG%29.pdf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 S.A.: consenso de recomendaciones (12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https://www.investing.com/equities/almirall-sa-consensus-estimates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Galderma Group (SWX:GALD)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https://stockanalysis.com/quote/swx/GALD/statistics/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UCB (EBR:UCB)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https://stockanalysis.com/quote/ebr/UCB/statistics/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Ipsen (EPA:IPN)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https://stockanalysis.com/quote/epa/IPN/statistics/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(BIT:REC)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https://stockanalysis.com/quote/bit/REC/statistics/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Faes Farma (BME:FAE)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https://stockanalysis.com/quote/bme/FAE/statistics/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(BME:ROVI)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https://stockanalysis.com/quote/bme/ROVI/statistics/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Galderma Group AG: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https://www.marketscreener.com/quote/stock/GALDERMA-GROUP-AG-167234206/finances/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UCB: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https://www.marketscreener.com/quote/stock/UCB-5963/finances/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Ipsen: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https://www.marketscreener.com/quote/stock/IPSEN-5137/finances/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Recordati: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https://www.marketscreener.com/quote/stock/RECORDATI-159075/finances/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Faes Farma: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https://www.marketscreener.com/quote/stock/FAES-FARMA-S-A-224975/finances/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Farmacéuticos Rovi: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https://www.marketscreener.com/quote/stock/LABORATORIOS-FARMACEUTICO-388853/finances/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Clinical Development Success Rates 2011-2020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 Informa Pharma Intelligence y QLS Advisors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https://go.bio.org/rs/490-EHZ-999/images/ClinicalDevelopmentSuccessRates2011_2020.pdf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EMA acepta la solicitud de registro pediátrico de lebrikizumab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https://blob.almirall.com/files-es/2026-09/NP_Aceptacion-de-EMA_Solicitud-indicacion-pediatrica-Lebri_Approved.pdf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2024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https://blob.almirall.com/files/documents_pdf/EN%20-%20Financial%20Results_Business%20Update_FY%20202479637a06-f870-d4b5-8f31-9f1f47cff91e.pdf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 2025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https://blob.almirall.com/files/2026-04/Financial-Results_Business-Update-9M-2025_10112025-vFinal-1.pdf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https://blob.almirall.com/files/2026-05/EN-Financial_Results_Business_Update_Q1-2026-vFinal.pdf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Q4 and full-year 2025 results (nota de prensa,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https://www.sec.gov/Archives/edgar/data/1121404/000112140426000001/pressreleaseq42025english.htm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Galderma delivers record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Galderma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https://www.galderma.com/news/galderma-delivers-record-2025-results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 Pharma delivers 10% revenue growth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 Pharma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https://www.biospace.com/press-releases/leo-pharma-delivers-10-revenue-growth-in-2025-and-more-than-doubles-adjusted-ebitda-margin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2023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https://blob.almirall.com/files/documents_pdf/EN%20-%20Financial%20Results_Business%20Update%20FY%20202327971327-53ff-58ea-87a3-adb2bbf69a95.pdf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2022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https://blob.almirall.com/files/documents_pdf/EN%20-%20Financial%20Results_Business%20Update%20FY%202022dbdc4c0c-be5f-c79f-60b2-c01980097b2f.pdf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2021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https://blob.almirall.com/files/documents_pdf/EN%20-%20Financial%20Results_Business%20Update_FY%202021cb5a061d-35a7-ea98-77f2-29dc7fee552c.pdf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2025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https://blob.almirall.com/files/2026-03/Financial-Results_Business-Update-H1-2025_25072025.pdf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 2024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https://blob.almirall.com/files/documents_pdf/Financial%20Results_Business%20Update_9M%202024_%20vFinal%20WEBd7bc4135-27b8-c502-8d0f-2dd829d11c0b.pdf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2024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https://blob.almirall.com/files/documents_pdf/Financial%20Results_Business%20Update_H1%202024_vFinalfed815f7-291f-856b-5424-3c23cd1fdc45.pdf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2025 Financial Results &amp; Business Update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Almirall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https://blob.almirall.com/files/2026-01/Financial%20Results_Business%20Update_Q1%202025_12052025%20ENG.pdf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81,5 %</w:t>
      </w:r>
      <w:r>
        <w:t xml:space="preserve"> · Secciones con menos del 60 % de campos cubiertos: </w:t>
      </w:r>
      <w:r>
        <w:rPr>
          <w:b/>
          <w:bCs/>
        </w:rPr>
        <w:t xml:space="preserve">transacciones, sentimiento, multiplos_historicos</w:t>
      </w:r>
      <w:r>
        <w:t xml:space="preserve"> · Generado el 13 oct 2026.</w:t>
      </w:r>
    </w:p>
    <w:p>
      <w:pPr>
        <w:pStyle w:val="Nota"/>
        <w:spacing w:after="100"/>
      </w:pPr>
      <w:r>
        <w:t xml:space="preserve">Precio de cierre del 6-oct-2026 (la sesión del 7-oct no había cerrado) [16]. Acciones: 217,78 M tras el dividendo flexible de jun-2026 [17] menos 0,156 M de autocartera y 2,511 M del equity swap con CaixaBank, que el IAGC trata como autocartera indirecta [21]; el coste del swap (35,1 M) va al puente como deuda [5]. El EBITDA de las cuentas se define aquí como EBIT NIIF más amortizaciones y deterioros, por lo que sí resta la reestructuración y los «otros costes» que la empresa excluye de su EBITDA (0,6-1,4 % de las ventas al año). Segmentos: Almirall reporta un solo segmento; se usan sus líneas de venta (Dermatología Europa, Medicina general y OTC Europa, EE. UU., Resto del mundo) con la reexpresión de la presentación de 2025 para 2024 y la de 2024 para 2023; los años anteriores no se reexpresaron. Comparables: capitalización y valor empresa de Stock Analysis y ventas, EBITDA y beneficio de MarketScreener; LTM aproximado como media de 2025 y 2026e. Galderma publica en USD: múltiplos calculados en USD y capitalización convertida a EUR con el cambio del BCE del 6-oct-2026 [38]. La cartera de I+D se valora con un rNPV propio fuera del motor (notas/rnpv.mjs). Cuatro de los cinco subagentes de investigación se cortaron por el límite de uso: transacciones, ESG, operaciones de directivos y posiciones cortas quedan sin cubrir.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Almirall, S.A. (ALM)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10,18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(10,02 – 13,98)</c:v>
                </c:pt>
                <c:pt idx="1">
                  <c:v>Precio objetivo de los analistas (11,50 – 17,50)</c:v>
                </c:pt>
                <c:pt idx="2">
                  <c:v>Comparables: EV/EBITDA NTM (15,14 – 17,15)</c:v>
                </c:pt>
                <c:pt idx="3">
                  <c:v>Comparables: PER NTM (7,42 – 9,05)</c:v>
                </c:pt>
                <c:pt idx="4">
                  <c:v>DCF (WACC y g ± 0,5) (8,27 – 10,39)</c:v>
                </c:pt>
                <c:pt idx="5">
                  <c:v>Escenarios (bajista – alcista) (6,47 – 12,28)</c:v>
                </c:pt>
                <c:pt idx="6">
                  <c:v>Suma de partes (9,52 – 12,94)</c:v>
                </c:pt>
                <c:pt idx="7">
                  <c:v>DCF con la prima implícita del mercado (4,2 %)</c:v>
                </c:pt>
                <c:pt idx="8">
                  <c:v>Precio actual (10,18)</c:v>
                </c:pt>
              </c:strCache>
            </c:strRef>
          </c:cat>
          <c:val>
            <c:numRef>
              <c:f>Hoja1!$B$2:$B$10</c:f>
              <c:numCache>
                <c:formatCode>#,##0.0</c:formatCode>
                <c:ptCount val="9"/>
                <c:pt idx="0">
                  <c:v>10.02</c:v>
                </c:pt>
                <c:pt idx="1">
                  <c:v>11.5</c:v>
                </c:pt>
                <c:pt idx="2">
                  <c:v>15.14</c:v>
                </c:pt>
                <c:pt idx="3">
                  <c:v>7.42</c:v>
                </c:pt>
                <c:pt idx="4">
                  <c:v>8.27</c:v>
                </c:pt>
                <c:pt idx="5">
                  <c:v>6.47</c:v>
                </c:pt>
                <c:pt idx="6">
                  <c:v>9.52</c:v>
                </c:pt>
                <c:pt idx="7">
                  <c:v>10.01</c:v>
                </c:pt>
                <c:pt idx="8">
                  <c:v>10.13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(10,02 – 13,98)</c:v>
                </c:pt>
                <c:pt idx="1">
                  <c:v>Precio objetivo de los analistas (11,50 – 17,50)</c:v>
                </c:pt>
                <c:pt idx="2">
                  <c:v>Comparables: EV/EBITDA NTM (15,14 – 17,15)</c:v>
                </c:pt>
                <c:pt idx="3">
                  <c:v>Comparables: PER NTM (7,42 – 9,05)</c:v>
                </c:pt>
                <c:pt idx="4">
                  <c:v>DCF (WACC y g ± 0,5) (8,27 – 10,39)</c:v>
                </c:pt>
                <c:pt idx="5">
                  <c:v>Escenarios (bajista – alcista) (6,47 – 12,28)</c:v>
                </c:pt>
                <c:pt idx="6">
                  <c:v>Suma de partes (9,52 – 12,94)</c:v>
                </c:pt>
                <c:pt idx="7">
                  <c:v>DCF con la prima implícita del mercado (4,2 %)</c:v>
                </c:pt>
                <c:pt idx="8">
                  <c:v>Precio actual (10,18)</c:v>
                </c:pt>
              </c:strCache>
            </c:strRef>
          </c:cat>
          <c:val>
            <c:numRef>
              <c:f>Hoja1!$C$2:$C$10</c:f>
              <c:numCache>
                <c:formatCode>#,##0.0</c:formatCode>
                <c:ptCount val="9"/>
                <c:pt idx="0">
                  <c:v>3.960000000000001</c:v>
                </c:pt>
                <c:pt idx="1">
                  <c:v>6</c:v>
                </c:pt>
                <c:pt idx="2">
                  <c:v>2.009999999999998</c:v>
                </c:pt>
                <c:pt idx="3">
                  <c:v>1.6300000000000008</c:v>
                </c:pt>
                <c:pt idx="4">
                  <c:v>2.120000000000001</c:v>
                </c:pt>
                <c:pt idx="5">
                  <c:v>5.81</c:v>
                </c:pt>
                <c:pt idx="6">
                  <c:v>3.42</c:v>
                </c:pt>
                <c:pt idx="7">
                  <c:v>1.7400000000000002</c:v>
                </c:pt>
                <c:pt idx="8">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Dermatología Europa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395.2</c:v>
                </c:pt>
                <c:pt idx="1">
                  <c:v>484.1</c:v>
                </c:pt>
                <c:pt idx="2">
                  <c:v>608</c:v>
                </c:pt>
              </c:numCache>
            </c:numRef>
          </c:val>
        </c:ser>
        <c:ser>
          <c:idx val="1"/>
          <c:order val="1"/>
          <c:tx>
            <c:strRef>
              <c:f>Hoja1!$C$1</c:f>
              <c:strCache>
                <c:ptCount val="1"/>
                <c:pt idx="0">
                  <c:v>Medicina general y OTC Europa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388.6</c:v>
                </c:pt>
                <c:pt idx="1">
                  <c:v>391.1</c:v>
                </c:pt>
                <c:pt idx="2">
                  <c:v>397.9</c:v>
                </c:pt>
              </c:numCache>
            </c:numRef>
          </c:val>
        </c:ser>
        <c:ser>
          <c:idx val="2"/>
          <c:order val="2"/>
          <c:tx>
            <c:strRef>
              <c:f>Hoja1!$D$1</c:f>
              <c:strCache>
                <c:ptCount val="1"/>
                <c:pt idx="0">
                  <c:v>EE. UU.</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58.8</c:v>
                </c:pt>
                <c:pt idx="1">
                  <c:v>55.4</c:v>
                </c:pt>
                <c:pt idx="2">
                  <c:v>45.2</c:v>
                </c:pt>
              </c:numCache>
            </c:numRef>
          </c:val>
        </c:ser>
        <c:ser>
          <c:idx val="3"/>
          <c:order val="3"/>
          <c:tx>
            <c:strRef>
              <c:f>Hoja1!$E$1</c:f>
              <c:strCache>
                <c:ptCount val="1"/>
                <c:pt idx="0">
                  <c:v>Resto del mundo</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51.9</c:v>
                </c:pt>
                <c:pt idx="1">
                  <c:v>55.1</c:v>
                </c:pt>
                <c:pt idx="2">
                  <c:v>57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Dermatología Europa</c:v>
                </c:pt>
                <c:pt idx="1">
                  <c:v>Medicina general y OTC Europa</c:v>
                </c:pt>
                <c:pt idx="2">
                  <c:v>EE. UU.</c:v>
                </c:pt>
                <c:pt idx="3">
                  <c:v>Resto del mundo</c:v>
                </c:pt>
              </c:strCache>
            </c:strRef>
          </c:cat>
          <c:val>
            <c:numRef>
              <c:f>Hoja1!$B$2:$B$5</c:f>
              <c:numCache>
                <c:formatCode>General</c:formatCode>
                <c:ptCount val="4"/>
                <c:pt idx="0">
                  <c:v>54.9</c:v>
                </c:pt>
                <c:pt idx="1">
                  <c:v>35.9</c:v>
                </c:pt>
                <c:pt idx="2">
                  <c:v>4.1</c:v>
                </c:pt>
                <c:pt idx="3">
                  <c:v>5.1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Europa</c:v>
                </c:pt>
                <c:pt idx="1">
                  <c:v>EE. UU.</c:v>
                </c:pt>
                <c:pt idx="2">
                  <c:v>Resto del mundo</c:v>
                </c:pt>
              </c:strCache>
            </c:strRef>
          </c:cat>
          <c:val>
            <c:numRef>
              <c:f>Hoja1!$B$2:$B$4</c:f>
              <c:numCache>
                <c:formatCode>0"%"</c:formatCode>
                <c:ptCount val="3"/>
                <c:pt idx="0">
                  <c:v>90.8</c:v>
                </c:pt>
                <c:pt idx="1">
                  <c:v>4.1</c:v>
                </c:pt>
                <c:pt idx="2">
                  <c:v>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(mundo))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2024</c:v>
                </c:pt>
                <c:pt idx="1">
                  <c:v>2025</c:v>
                </c:pt>
                <c:pt idx="2">
                  <c:v>2026e</c:v>
                </c:pt>
                <c:pt idx="3">
                  <c:v>2027e</c:v>
                </c:pt>
                <c:pt idx="4">
                  <c:v>2028e</c:v>
                </c:pt>
                <c:pt idx="5">
                  <c:v>2029e</c:v>
                </c:pt>
                <c:pt idx="6">
                  <c:v>2030e</c:v>
                </c:pt>
              </c:strCache>
            </c:strRef>
          </c:cat>
          <c:val>
            <c:numRef>
              <c:f>Hoja1!$B$2:$B$8</c:f>
              <c:numCache>
                <c:formatCode>#,##0</c:formatCode>
                <c:ptCount val="7"/>
                <c:pt idx="0">
                  <c:v>54.3</c:v>
                </c:pt>
                <c:pt idx="1">
                  <c:v>63.3</c:v>
                </c:pt>
                <c:pt idx="2">
                  <c:v>71.6</c:v>
                </c:pt>
                <c:pt idx="3">
                  <c:v>79.6</c:v>
                </c:pt>
                <c:pt idx="4">
                  <c:v>87.8</c:v>
                </c:pt>
                <c:pt idx="5">
                  <c:v>95.5</c:v>
                </c:pt>
                <c:pt idx="6">
                  <c:v>103.6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Almirall</c:v>
                </c:pt>
                <c:pt idx="1">
                  <c:v>Sanofi (Dupixent, con Regeneron)</c:v>
                </c:pt>
                <c:pt idx="2">
                  <c:v>Galderma (Nemluvio)</c:v>
                </c:pt>
                <c:pt idx="3">
                  <c:v>LEO Pharma (Adtralza, Anzupgo)</c:v>
                </c:pt>
                <c:pt idx="4">
                  <c:v>UCB (Bimzelx)</c:v>
                </c:pt>
              </c:strCache>
            </c:strRef>
          </c:cat>
          <c:val>
            <c:numRef>
              <c:f>Hoja1!$B$2:$B$6</c:f>
              <c:numCache>
                <c:formatCode>0.0"%"</c:formatCode>
                <c:ptCount val="5"/>
                <c:pt idx="0">
                  <c:v>6.6</c:v>
                </c:pt>
                <c:pt idx="1">
                  <c:v>27.8</c:v>
                </c:pt>
                <c:pt idx="3">
                  <c:v>17</c:v>
                </c:pt>
                <c:pt idx="4">
                  <c:v>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1</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807.4</c:v>
                </c:pt>
                <c:pt idx="1">
                  <c:v>827.2</c:v>
                </c:pt>
                <c:pt idx="2">
                  <c:v>863.2</c:v>
                </c:pt>
                <c:pt idx="3">
                  <c:v>894.5</c:v>
                </c:pt>
                <c:pt idx="4">
                  <c:v>985.7</c:v>
                </c:pt>
                <c:pt idx="5">
                  <c:v>1108.1</c:v>
                </c:pt>
                <c:pt idx="6">
                  <c:v>1224</c:v>
                </c:pt>
                <c:pt idx="7">
                  <c:v>1322</c:v>
                </c:pt>
                <c:pt idx="8">
                  <c:v>1422</c:v>
                </c:pt>
                <c:pt idx="9">
                  <c:v>1507</c:v>
                </c:pt>
                <c:pt idx="10">
                  <c:v>1575</c:v>
                </c:pt>
                <c:pt idx="11">
                  <c:v>1630</c:v>
                </c:pt>
                <c:pt idx="12">
                  <c:v>1671</c:v>
                </c:pt>
                <c:pt idx="13">
                  <c:v>1704</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231.6</c:v>
                </c:pt>
                <c:pt idx="1">
                  <c:v>229.2</c:v>
                </c:pt>
                <c:pt idx="2">
                  <c:v>186.2</c:v>
                </c:pt>
                <c:pt idx="3">
                  <c:v>166.3</c:v>
                </c:pt>
                <c:pt idx="4">
                  <c:v>186.9</c:v>
                </c:pt>
                <c:pt idx="5">
                  <c:v>224.3</c:v>
                </c:pt>
                <c:pt idx="6">
                  <c:v>271</c:v>
                </c:pt>
                <c:pt idx="7">
                  <c:v>304</c:v>
                </c:pt>
                <c:pt idx="8">
                  <c:v>338</c:v>
                </c:pt>
                <c:pt idx="9">
                  <c:v>366</c:v>
                </c:pt>
                <c:pt idx="10">
                  <c:v>386</c:v>
                </c:pt>
                <c:pt idx="11">
                  <c:v>399</c:v>
                </c:pt>
                <c:pt idx="12">
                  <c:v>401</c:v>
                </c:pt>
                <c:pt idx="13">
                  <c:v>409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78</c:v>
                </c:pt>
                <c:pt idx="1">
                  <c:v>78</c:v>
                </c:pt>
                <c:pt idx="2">
                  <c:v>75.9</c:v>
                </c:pt>
                <c:pt idx="3">
                  <c:v>75.2</c:v>
                </c:pt>
                <c:pt idx="4">
                  <c:v>75.8</c:v>
                </c:pt>
                <c:pt idx="5">
                  <c:v>76.1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28.7</c:v>
                </c:pt>
                <c:pt idx="1">
                  <c:v>27.7</c:v>
                </c:pt>
                <c:pt idx="2">
                  <c:v>21.6</c:v>
                </c:pt>
                <c:pt idx="3">
                  <c:v>18.6</c:v>
                </c:pt>
                <c:pt idx="4">
                  <c:v>19</c:v>
                </c:pt>
                <c:pt idx="5">
                  <c:v>20.2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11.4</c:v>
                </c:pt>
                <c:pt idx="1">
                  <c:v>0.7</c:v>
                </c:pt>
                <c:pt idx="2">
                  <c:v>5.4</c:v>
                </c:pt>
                <c:pt idx="3">
                  <c:v>-0.6</c:v>
                </c:pt>
                <c:pt idx="4">
                  <c:v>3.7</c:v>
                </c:pt>
                <c:pt idx="5">
                  <c:v>6.6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9.2</c:v>
                </c:pt>
                <c:pt idx="1">
                  <c:v>-4.9</c:v>
                </c:pt>
                <c:pt idx="2">
                  <c:v>0.5</c:v>
                </c:pt>
                <c:pt idx="3">
                  <c:v>-4.3</c:v>
                </c:pt>
                <c:pt idx="4">
                  <c:v>1</c:v>
                </c:pt>
                <c:pt idx="5">
                  <c:v>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10.5</c:v>
                </c:pt>
                <c:pt idx="1">
                  <c:v>17.4</c:v>
                </c:pt>
                <c:pt idx="2">
                  <c:v>15</c:v>
                </c:pt>
                <c:pt idx="3">
                  <c:v>10.4</c:v>
                </c:pt>
                <c:pt idx="4">
                  <c:v>12.9</c:v>
                </c:pt>
                <c:pt idx="5">
                  <c:v>11.4</c:v>
                </c:pt>
                <c:pt idx="6">
                  <c:v>2.2</c:v>
                </c:pt>
                <c:pt idx="7">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50</c:v>
                </c:pt>
                <c:pt idx="1">
                  <c:v>56</c:v>
                </c:pt>
                <c:pt idx="2">
                  <c:v>58</c:v>
                </c:pt>
                <c:pt idx="3">
                  <c:v>54</c:v>
                </c:pt>
                <c:pt idx="4">
                  <c:v>56</c:v>
                </c:pt>
                <c:pt idx="5">
                  <c:v>52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83</c:v>
                </c:pt>
                <c:pt idx="1">
                  <c:v>72</c:v>
                </c:pt>
                <c:pt idx="2">
                  <c:v>70</c:v>
                </c:pt>
                <c:pt idx="3">
                  <c:v>84</c:v>
                </c:pt>
                <c:pt idx="4">
                  <c:v>79</c:v>
                </c:pt>
                <c:pt idx="5">
                  <c:v>74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103</c:v>
                </c:pt>
                <c:pt idx="1">
                  <c:v>109</c:v>
                </c:pt>
                <c:pt idx="2">
                  <c:v>99</c:v>
                </c:pt>
                <c:pt idx="3">
                  <c:v>91</c:v>
                </c:pt>
                <c:pt idx="4">
                  <c:v>85</c:v>
                </c:pt>
                <c:pt idx="5">
                  <c:v>80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21.499999999999996</c:v>
                </c:pt>
                <c:pt idx="1">
                  <c:v>148.79999999999998</c:v>
                </c:pt>
                <c:pt idx="2">
                  <c:v>21.499999999999993</c:v>
                </c:pt>
                <c:pt idx="3">
                  <c:v>-82.90000000000002</c:v>
                </c:pt>
                <c:pt idx="4">
                  <c:v>-19.699999999999996</c:v>
                </c:pt>
                <c:pt idx="5">
                  <c:v>16.099999999999987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74.3</c:v>
                </c:pt>
                <c:pt idx="1">
                  <c:v>-40.9</c:v>
                </c:pt>
                <c:pt idx="2">
                  <c:v>4.3</c:v>
                </c:pt>
                <c:pt idx="3">
                  <c:v>-38.5</c:v>
                </c:pt>
                <c:pt idx="4">
                  <c:v>10.1</c:v>
                </c:pt>
                <c:pt idx="5">
                  <c:v>46.2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5.3</c:v>
                </c:pt>
                <c:pt idx="1">
                  <c:v>0.3</c:v>
                </c:pt>
                <c:pt idx="2">
                  <c:v>1.9</c:v>
                </c:pt>
                <c:pt idx="3">
                  <c:v>-0.3</c:v>
                </c:pt>
                <c:pt idx="4">
                  <c:v>1.5</c:v>
                </c:pt>
                <c:pt idx="5">
                  <c:v>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9.1</c:v>
                </c:pt>
                <c:pt idx="1">
                  <c:v>9.1</c:v>
                </c:pt>
                <c:pt idx="2">
                  <c:v>9.1</c:v>
                </c:pt>
                <c:pt idx="3">
                  <c:v>9.1</c:v>
                </c:pt>
                <c:pt idx="4">
                  <c:v>9.1</c:v>
                </c:pt>
                <c:pt idx="5">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5.7</c:v>
                </c:pt>
                <c:pt idx="1">
                  <c:v>-3.2</c:v>
                </c:pt>
                <c:pt idx="2">
                  <c:v>0.3</c:v>
                </c:pt>
                <c:pt idx="3">
                  <c:v>-2.8</c:v>
                </c:pt>
                <c:pt idx="4">
                  <c:v>0.7</c:v>
                </c:pt>
                <c:pt idx="5">
                  <c:v>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1.44</c:v>
                </c:pt>
                <c:pt idx="1">
                  <c:v>0.81</c:v>
                </c:pt>
                <c:pt idx="2">
                  <c:v>0.82</c:v>
                </c:pt>
                <c:pt idx="3">
                  <c:v>0.07</c:v>
                </c:pt>
                <c:pt idx="4">
                  <c:v>0.08</c:v>
                </c:pt>
                <c:pt idx="5">
                  <c:v>-0.05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2031</c:v>
                </c:pt>
              </c:strCache>
            </c:strRef>
          </c:cat>
          <c:val>
            <c:numRef>
              <c:f>Hoja1!$B$2:$B$5</c:f>
              <c:numCache>
                <c:formatCode>#,##0</c:formatCode>
                <c:ptCount val="4"/>
                <c:pt idx="0">
                  <c:v>10</c:v>
                </c:pt>
                <c:pt idx="1">
                  <c:v>10</c:v>
                </c:pt>
                <c:pt idx="2">
                  <c:v>10</c:v>
                </c:pt>
                <c:pt idx="3">
                  <c:v>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0</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2.1</c:v>
                </c:pt>
                <c:pt idx="1">
                  <c:v>11.7</c:v>
                </c:pt>
                <c:pt idx="2">
                  <c:v>12.4</c:v>
                </c:pt>
                <c:pt idx="3">
                  <c:v>2.6</c:v>
                </c:pt>
                <c:pt idx="4">
                  <c:v>3.3</c:v>
                </c:pt>
                <c:pt idx="5">
                  <c:v>26.2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0.1</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Independiente</c:v>
                </c:pt>
                <c:pt idx="2">
                  <c:v>Dominical</c:v>
                </c:pt>
                <c:pt idx="3">
                  <c:v>Otro externo</c:v>
                </c:pt>
              </c:strCache>
            </c:strRef>
          </c:cat>
          <c:val>
            <c:numRef>
              <c:f>Hoja1!$B$2:$B$5</c:f>
              <c:numCache>
                <c:formatCode>0</c:formatCode>
                <c:ptCount val="4"/>
                <c:pt idx="0">
                  <c:v>1</c:v>
                </c:pt>
                <c:pt idx="1">
                  <c:v>7</c:v>
                </c:pt>
                <c:pt idx="2">
                  <c:v>1</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Familia Gallardo (Grupo Corporativo Landon, S.L. y Grupo Plafin, S.A.U.)</c:v>
                </c:pt>
                <c:pt idx="1">
                  <c:v>Norbel Inversiones, S.L.</c:v>
                </c:pt>
                <c:pt idx="2">
                  <c:v>Autocartera directa e indirecta (equity swap con CaixaBank)</c:v>
                </c:pt>
              </c:strCache>
            </c:strRef>
          </c:cat>
          <c:val>
            <c:numRef>
              <c:f>Hoja1!$B$2:$B$4</c:f>
              <c:numCache>
                <c:formatCode>0.0"%"</c:formatCode>
                <c:ptCount val="3"/>
                <c:pt idx="0">
                  <c:v>59.88</c:v>
                </c:pt>
                <c:pt idx="1">
                  <c:v>5.07</c:v>
                </c:pt>
                <c:pt idx="2">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-20.8</c:v>
                </c:pt>
                <c:pt idx="1">
                  <c:v>-43.4</c:v>
                </c:pt>
                <c:pt idx="2">
                  <c:v>60.1</c:v>
                </c:pt>
                <c:pt idx="3">
                  <c:v>9.5</c:v>
                </c:pt>
                <c:pt idx="4">
                  <c:v>-25.4</c:v>
                </c:pt>
                <c:pt idx="5">
                  <c:v>3.5</c:v>
                </c:pt>
                <c:pt idx="6">
                  <c:v>-20</c:v>
                </c:pt>
                <c:pt idx="7">
                  <c:v>-6.8</c:v>
                </c:pt>
                <c:pt idx="8">
                  <c:v>-2.3</c:v>
                </c:pt>
                <c:pt idx="9">
                  <c:v>55.9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9.9</c:v>
                </c:pt>
                <c:pt idx="1">
                  <c:v>9.6</c:v>
                </c:pt>
                <c:pt idx="2">
                  <c:v>10.4</c:v>
                </c:pt>
                <c:pt idx="3">
                  <c:v>10.1</c:v>
                </c:pt>
                <c:pt idx="4">
                  <c:v>9.5</c:v>
                </c:pt>
                <c:pt idx="5">
                  <c:v>12.2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10</c:v>
                </c:pt>
                <c:pt idx="1">
                  <c:v>10</c:v>
                </c:pt>
                <c:pt idx="2">
                  <c:v>10</c:v>
                </c:pt>
                <c:pt idx="3">
                  <c:v>10</c:v>
                </c:pt>
                <c:pt idx="4">
                  <c:v>10</c:v>
                </c:pt>
                <c:pt idx="5">
                  <c:v>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Almirall</c:v>
                </c:pt>
                <c:pt idx="1">
                  <c:v>Galderma</c:v>
                </c:pt>
                <c:pt idx="2">
                  <c:v>UCB</c:v>
                </c:pt>
                <c:pt idx="3">
                  <c:v>Ipsen</c:v>
                </c:pt>
                <c:pt idx="4">
                  <c:v>Recordati</c:v>
                </c:pt>
                <c:pt idx="5">
                  <c:v>Faes Farma</c:v>
                </c:pt>
                <c:pt idx="6">
                  <c:v>Rovi</c:v>
                </c:pt>
              </c:strCache>
            </c:strRef>
          </c:cat>
          <c:val>
            <c:numRef>
              <c:f>Hoja1!$B$2:$B$8</c:f>
              <c:numCache>
                <c:formatCode>0.0"x"</c:formatCode>
                <c:ptCount val="7"/>
                <c:pt idx="0">
                  <c:v>7.3</c:v>
                </c:pt>
                <c:pt idx="1">
                  <c:v>22.9</c:v>
                </c:pt>
                <c:pt idx="2">
                  <c:v>11.8</c:v>
                </c:pt>
                <c:pt idx="3">
                  <c:v>5.9</c:v>
                </c:pt>
                <c:pt idx="4">
                  <c:v>11.5</c:v>
                </c:pt>
                <c:pt idx="5">
                  <c:v>10.6</c:v>
                </c:pt>
                <c:pt idx="6">
                  <c:v>12.4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Almirall</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11.6</c:v>
                </c:pt>
              </c:numCache>
            </c:numRef>
          </c:xVal>
          <c:yVal>
            <c:numRef>
              <c:f>Hoja1!$C$2</c:f>
              <c:numCache>
                <c:formatCode>0.0"x"</c:formatCode>
                <c:ptCount val="1"/>
                <c:pt idx="0">
                  <c:v>7.3</c:v>
                </c:pt>
              </c:numCache>
            </c:numRef>
          </c:yVal>
          <c:smooth val="0"/>
        </c:ser>
        <c:ser>
          <c:idx val="1"/>
          <c:order val="1"/>
          <c:tx>
            <c:strRef>
              <c:f>Hoja1!$A$3</c:f>
              <c:strCache>
                <c:ptCount val="1"/>
                <c:pt idx="0">
                  <c:v>Galderma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19.3</c:v>
                </c:pt>
              </c:numCache>
            </c:numRef>
          </c:xVal>
          <c:yVal>
            <c:numRef>
              <c:f>Hoja1!$C$3</c:f>
              <c:numCache>
                <c:formatCode>0.0"x"</c:formatCode>
                <c:ptCount val="1"/>
                <c:pt idx="0">
                  <c:v>22.9</c:v>
                </c:pt>
              </c:numCache>
            </c:numRef>
          </c:yVal>
          <c:smooth val="0"/>
        </c:ser>
        <c:ser>
          <c:idx val="2"/>
          <c:order val="2"/>
          <c:tx>
            <c:strRef>
              <c:f>Hoja1!$A$4</c:f>
              <c:strCache>
                <c:ptCount val="1"/>
                <c:pt idx="0">
                  <c:v>UCB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11.4</c:v>
                </c:pt>
              </c:numCache>
            </c:numRef>
          </c:xVal>
          <c:yVal>
            <c:numRef>
              <c:f>Hoja1!$C$4</c:f>
              <c:numCache>
                <c:formatCode>0.0"x"</c:formatCode>
                <c:ptCount val="1"/>
                <c:pt idx="0">
                  <c:v>11.8</c:v>
                </c:pt>
              </c:numCache>
            </c:numRef>
          </c:yVal>
          <c:smooth val="0"/>
        </c:ser>
        <c:ser>
          <c:idx val="3"/>
          <c:order val="3"/>
          <c:tx>
            <c:strRef>
              <c:f>Hoja1!$A$5</c:f>
              <c:strCache>
                <c:ptCount val="1"/>
                <c:pt idx="0">
                  <c:v>Ipsen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7.5</c:v>
                </c:pt>
              </c:numCache>
            </c:numRef>
          </c:xVal>
          <c:yVal>
            <c:numRef>
              <c:f>Hoja1!$C$5</c:f>
              <c:numCache>
                <c:formatCode>0.0"x"</c:formatCode>
                <c:ptCount val="1"/>
                <c:pt idx="0">
                  <c:v>5.9</c:v>
                </c:pt>
              </c:numCache>
            </c:numRef>
          </c:yVal>
          <c:smooth val="0"/>
        </c:ser>
        <c:ser>
          <c:idx val="4"/>
          <c:order val="4"/>
          <c:tx>
            <c:strRef>
              <c:f>Hoja1!$A$6</c:f>
              <c:strCache>
                <c:ptCount val="1"/>
                <c:pt idx="0">
                  <c:v>Recordati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7.9</c:v>
                </c:pt>
              </c:numCache>
            </c:numRef>
          </c:xVal>
          <c:yVal>
            <c:numRef>
              <c:f>Hoja1!$C$6</c:f>
              <c:numCache>
                <c:formatCode>0.0"x"</c:formatCode>
                <c:ptCount val="1"/>
                <c:pt idx="0">
                  <c:v>11.5</c:v>
                </c:pt>
              </c:numCache>
            </c:numRef>
          </c:yVal>
          <c:smooth val="0"/>
        </c:ser>
        <c:ser>
          <c:idx val="5"/>
          <c:order val="5"/>
          <c:tx>
            <c:strRef>
              <c:f>Hoja1!$A$7</c:f>
              <c:strCache>
                <c:ptCount val="1"/>
                <c:pt idx="0">
                  <c:v>Faes Farma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12.6</c:v>
                </c:pt>
              </c:numCache>
            </c:numRef>
          </c:xVal>
          <c:yVal>
            <c:numRef>
              <c:f>Hoja1!$C$7</c:f>
              <c:numCache>
                <c:formatCode>0.0"x"</c:formatCode>
                <c:ptCount val="1"/>
                <c:pt idx="0">
                  <c:v>10.6</c:v>
                </c:pt>
              </c:numCache>
            </c:numRef>
          </c:yVal>
          <c:smooth val="0"/>
        </c:ser>
        <c:ser>
          <c:idx val="6"/>
          <c:order val="6"/>
          <c:tx>
            <c:strRef>
              <c:f>Hoja1!$A$8</c:f>
              <c:strCache>
                <c:ptCount val="1"/>
                <c:pt idx="0">
                  <c:v>Rovi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11.1</c:v>
                </c:pt>
              </c:numCache>
            </c:numRef>
          </c:xVal>
          <c:yVal>
            <c:numRef>
              <c:f>Hoja1!$C$8</c:f>
              <c:numCache>
                <c:formatCode>0.0"x"</c:formatCode>
                <c:ptCount val="1"/>
                <c:pt idx="0">
                  <c:v>12.4</c:v>
                </c:pt>
              </c:numCache>
            </c:numRef>
          </c:yVal>
          <c:smooth val="0"/>
        </c:ser>
        <c:axId val="10"/>
        <c:axId val="20"/>
      </c:scatterChart>
      <c:valAx>
        <c:axId val="10"/>
        <c:scaling>
          <c:orientation val="minMax"/>
          <c:max val="23"/>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78</c:v>
                </c:pt>
                <c:pt idx="1">
                  <c:v>110</c:v>
                </c:pt>
                <c:pt idx="2">
                  <c:v>127</c:v>
                </c:pt>
                <c:pt idx="3">
                  <c:v>149</c:v>
                </c:pt>
                <c:pt idx="4">
                  <c:v>158</c:v>
                </c:pt>
                <c:pt idx="5">
                  <c:v>164</c:v>
                </c:pt>
                <c:pt idx="6">
                  <c:v>170</c:v>
                </c:pt>
                <c:pt idx="7">
                  <c:v>175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771</c:v>
                </c:pt>
                <c:pt idx="1">
                  <c:v>1242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10,18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6.47</c:v>
                </c:pt>
                <c:pt idx="1">
                  <c:v>9.19</c:v>
                </c:pt>
                <c:pt idx="2">
                  <c:v>12.28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10,18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(10,02 – 13,98)</c:v>
                </c:pt>
                <c:pt idx="1">
                  <c:v>Precio objetivo de los analistas (11,50 – 17,50)</c:v>
                </c:pt>
                <c:pt idx="2">
                  <c:v>Comparables: EV/EBITDA NTM (15,14 – 17,15)</c:v>
                </c:pt>
                <c:pt idx="3">
                  <c:v>Comparables: PER NTM (7,42 – 9,05)</c:v>
                </c:pt>
                <c:pt idx="4">
                  <c:v>DCF (WACC y g ± 0,5) (8,27 – 10,39)</c:v>
                </c:pt>
                <c:pt idx="5">
                  <c:v>Escenarios (bajista – alcista) (6,47 – 12,28)</c:v>
                </c:pt>
                <c:pt idx="6">
                  <c:v>Suma de partes (9,52 – 12,94)</c:v>
                </c:pt>
                <c:pt idx="7">
                  <c:v>DCF con la prima implícita del mercado (4,2 %)</c:v>
                </c:pt>
                <c:pt idx="8">
                  <c:v>Precio actual (10,18)</c:v>
                </c:pt>
              </c:strCache>
            </c:strRef>
          </c:cat>
          <c:val>
            <c:numRef>
              <c:f>Hoja1!$B$2:$B$10</c:f>
              <c:numCache>
                <c:formatCode>#,##0.0</c:formatCode>
                <c:ptCount val="9"/>
                <c:pt idx="0">
                  <c:v>10.02</c:v>
                </c:pt>
                <c:pt idx="1">
                  <c:v>11.5</c:v>
                </c:pt>
                <c:pt idx="2">
                  <c:v>15.14</c:v>
                </c:pt>
                <c:pt idx="3">
                  <c:v>7.42</c:v>
                </c:pt>
                <c:pt idx="4">
                  <c:v>8.27</c:v>
                </c:pt>
                <c:pt idx="5">
                  <c:v>6.47</c:v>
                </c:pt>
                <c:pt idx="6">
                  <c:v>9.52</c:v>
                </c:pt>
                <c:pt idx="7">
                  <c:v>10.01</c:v>
                </c:pt>
                <c:pt idx="8">
                  <c:v>10.13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(10,02 – 13,98)</c:v>
                </c:pt>
                <c:pt idx="1">
                  <c:v>Precio objetivo de los analistas (11,50 – 17,50)</c:v>
                </c:pt>
                <c:pt idx="2">
                  <c:v>Comparables: EV/EBITDA NTM (15,14 – 17,15)</c:v>
                </c:pt>
                <c:pt idx="3">
                  <c:v>Comparables: PER NTM (7,42 – 9,05)</c:v>
                </c:pt>
                <c:pt idx="4">
                  <c:v>DCF (WACC y g ± 0,5) (8,27 – 10,39)</c:v>
                </c:pt>
                <c:pt idx="5">
                  <c:v>Escenarios (bajista – alcista) (6,47 – 12,28)</c:v>
                </c:pt>
                <c:pt idx="6">
                  <c:v>Suma de partes (9,52 – 12,94)</c:v>
                </c:pt>
                <c:pt idx="7">
                  <c:v>DCF con la prima implícita del mercado (4,2 %)</c:v>
                </c:pt>
                <c:pt idx="8">
                  <c:v>Precio actual (10,18)</c:v>
                </c:pt>
              </c:strCache>
            </c:strRef>
          </c:cat>
          <c:val>
            <c:numRef>
              <c:f>Hoja1!$C$2:$C$10</c:f>
              <c:numCache>
                <c:formatCode>#,##0.0</c:formatCode>
                <c:ptCount val="9"/>
                <c:pt idx="0">
                  <c:v>3.960000000000001</c:v>
                </c:pt>
                <c:pt idx="1">
                  <c:v>6</c:v>
                </c:pt>
                <c:pt idx="2">
                  <c:v>2.009999999999998</c:v>
                </c:pt>
                <c:pt idx="3">
                  <c:v>1.6300000000000008</c:v>
                </c:pt>
                <c:pt idx="4">
                  <c:v>2.120000000000001</c:v>
                </c:pt>
                <c:pt idx="5">
                  <c:v>5.81</c:v>
                </c:pt>
                <c:pt idx="6">
                  <c:v>3.42</c:v>
                </c:pt>
                <c:pt idx="7">
                  <c:v>1.7400000000000002</c:v>
                </c:pt>
                <c:pt idx="8">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