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LVMH Moët Hennessy Louis Vuitton SE</w:t>
      </w:r>
    </w:p>
    <w:p>
      <w:pPr>
        <w:spacing w:after="60"/>
        <w:rPr>
          <w:color w:val="52514E"/>
          <w:sz w:val="22"/>
          <w:szCs w:val="22"/>
        </w:rPr>
      </w:pPr>
      <w:r>
        <w:rPr>
          <w:color w:val="52514E"/>
          <w:sz w:val="22"/>
          <w:szCs w:val="22"/>
        </w:rPr>
        <w:t xml:space="preserve">MC · Euronext París · ISIN FR0000121014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380,90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410,00 EUR · mercado 478,01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+11,1 % · mercado +28,9 %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187.963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LVMH Moët Hennessy Louis Vuitton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 / FR0000121014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www.lvmh.com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376,00 – 654,70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187.963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217.695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 M EUR/día (≈ 0,53 M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410,00 EUR</w:t>
      </w:r>
      <w:r>
        <w:t xml:space="preserve"> frente a 380,90 · con la prima implícita del mercado: 478,01 (+25,5 %) · Rentabilidad total esperada a 12 meses </w:t>
      </w:r>
      <w:r>
        <w:rPr>
          <w:b/>
          <w:bCs/>
        </w:rPr>
        <w:t xml:space="preserve">+11,1 %</w:t>
      </w:r>
      <w:r>
        <w:t xml:space="preserve"> · Alcista / bajista +23,1 % / -29,5 %</w:t>
      </w:r>
    </w:p>
    <w:p>
      <w:pPr>
        <w:spacing w:after="100"/>
      </w:pPr>
      <w:r>
        <w:rPr>
          <w:b/>
        </w:rPr>
        <w:t xml:space="preserve">La recomendación y por qué.</w:t>
      </w:r>
      <w:r>
        <w:t xml:space="preserve"> Comprar, con convicción baja. El valor objetivo es de 410,00 EUR, un 7,6 % sobre el precio de 380,90 EUR; con el dividendo (3,4 %), la rentabilidad total esperada es del 11,1 %, con una asimetría de 0,78 veces. Con nuestro coste de capital la regla da Mantener; con la prima que hoy pide el mercado (4,2 %) da Comprar, con un valor de 478,01 EUR y una rentabilidad del 28,9 %. Manda la relativa: LVMH ofrece un 9,1 % anual implícito, más que el 7,9 % que el mercado pide a un valor de su beta, pero no supera nuestro WACC del 9,3 %. La convicción es baja porque nuestras cifras coinciden con el consenso y la diferencia es de tasa, no de negocio.</w:t>
      </w:r>
    </w:p>
    <w:p>
      <w:pPr>
        <w:spacing w:after="100"/>
      </w:pPr>
      <w:r>
        <w:rPr>
          <w:b/>
        </w:rPr>
        <w:t xml:space="preserve">El negocio.</w:t>
      </w:r>
      <w:r>
        <w:t xml:space="preserve"> El mayor grupo de lujo del mundo, con 80.807 M de ventas en 2025 y el 47 % en Moda y Marroquinería, que gana un 35 % de margen [2]. El ROIC ha bajado del 20,1 % de 2022 al 12,7 %, todavía 3,5 puntos por encima del WACC: crea valor, pero el foso de Louis Vuitton y Dior se ha mostrado más sensible al precio de lo que el mercado creía en 2023.</w:t>
      </w:r>
    </w:p>
    <w:p>
      <w:pPr>
        <w:spacing w:after="100"/>
      </w:pPr>
      <w:r>
        <w:rPr>
          <w:b/>
        </w:rPr>
        <w:t xml:space="preserve">Sector y ciclo.</w:t>
      </w:r>
      <w:r>
        <w:t xml:space="preserve"> El lujo personal cayó dos años (358.000 M EUR en 2025) y Bain prevé un +2-4 % en 2026 [14]. LVMH volvió al crecimiento orgánico (+2 % en el 1S26, +3 % en el 2T) [5], pero la acción cayó un 40 % en el año, 27,5 puntos más que el ETF de lujo [38].</w:t>
      </w:r>
    </w:p>
    <w:p>
      <w:pPr>
        <w:spacing w:after="100"/>
      </w:pPr>
      <w:r>
        <w:rPr>
          <w:b/>
        </w:rPr>
        <w:t xml:space="preserve">Finanzas.</w:t>
      </w:r>
      <w:r>
        <w:t xml:space="preserve"> El margen operativo recurrente bajó del 26,5 % de 2023 al 22,0 % de 2025 y la divisa restó 1.065 M en 2025 [2]. La caja aguanta: 11.333 M de flujo libre operativo en 2025 tras arrendamientos y una deuda financiera neta de 8.245 M; con arrendamientos y el compromiso con Diageo, la deuda neta ajustada es de 31.325 M, 1,3 veces el EBITDA [4].</w:t>
      </w:r>
    </w:p>
    <w:p>
      <w:pPr>
        <w:spacing w:after="100"/>
      </w:pPr>
      <w:r>
        <w:rPr>
          <w:b/>
        </w:rPr>
        <w:t xml:space="preserve">Equipo y gobierno.</w:t>
      </w:r>
      <w:r>
        <w:t xml:space="preserve"> Resta. La familia Arnault controla el 66,39 % de los votos con voto doble [4]; el 76 % de los votos libres rechazó en 2026 la remuneración del PDG (estimación propia) [25], cuyas acciones de rendimiento se cobran si mejora uno de tres indicadores. A favor: la familia compró 659 M EUR de acciones entre enero y marzo de 2026, a 534-546 EUR [28].</w:t>
      </w:r>
    </w:p>
    <w:p>
      <w:pPr>
        <w:spacing w:after="100"/>
      </w:pPr>
      <w:r>
        <w:rPr>
          <w:b/>
        </w:rPr>
        <w:t xml:space="preserve">Valoración.</w:t>
      </w:r>
      <w:r>
        <w:t xml:space="preserve"> El DCF da 372,60 EUR; la suma de partes, 419,10 EUR; los comparables, más. El precio descuenta un crecimiento del 4,6 % anual en 2027e-2035e frente al 4,2 % de nuestro caso base: no es exigente. LVMH cotiza a 9,1 veces el EBITDA y 17,4 el beneficio, mínimos de cinco años, y el consenso mantiene un objetivo medio de 526,49 EUR [40].</w:t>
      </w:r>
    </w:p>
    <w:p>
      <w:pPr>
        <w:spacing w:after="100"/>
      </w:pPr>
      <w:r>
        <w:rPr>
          <w:b/>
        </w:rPr>
        <w:t xml:space="preserve">Riesgos y catalizadores.</w:t>
      </w:r>
      <w:r>
        <w:t xml:space="preserve"> Fatiga de precios en Moda (2 puntos menos de margen: 332,20 EUR), recaída de China (bajista: 268,68 EUR) y coste de capital (medio punto más de WACC: 342,02 EUR). Catalizadores: ventas del 3T26 el 12 de octubre [65] y resultados de 2026 a finales de enero.</w:t>
      </w:r>
    </w:p>
    <w:p>
      <w:pPr>
        <w:spacing w:after="100"/>
      </w:pPr>
      <w:r>
        <w:rPr>
          <w:b/>
        </w:rPr>
        <w:t xml:space="preserve">Qué cambiaría la decisión.</w:t>
      </w:r>
      <w:r>
        <w:t xml:space="preserve"> Con la regla combinada, LVMH es compra por debajo de 422,71 EUR, Mantener entre ese nivel y 530,95 EUR, y venta por encima. Pasaríamos a Mantener si Moda vuelve a crecer por debajo del 0 % orgánico en dos trimestres o si el margen semestral baja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410,00 EUR</w:t>
      </w:r>
      <w:r>
        <w:t xml:space="preserve"> (+7,6 % sobre 380,90; rentabilidad total esperada +11,1 %) · con la prima implícita del mercado: 478,01 (+25,5 %)</w:t>
      </w:r>
    </w:p>
    <w:p>
      <w:pPr>
        <w:spacing w:after="100"/>
      </w:pPr>
      <w:r>
        <w:t xml:space="preserve">LVMH es el mayor grupo de lujo del mundo: 80.807 M EUR de ventas en 2025, 17.755 M de resultado operativo recurrente y 11.333 M de flujo libre operativo después de arrendamientos [2]. Su núcleo, Louis Vuitton y Dior, gana un 35 % de margen; Sephora, Tiffany, Bvlgari, Moët y Hennessy diversifican. El ROIC (12,7 %) supera aún al coste de capital, aunque ha perdido 7 puntos desde 2022.</w:t>
      </w:r>
    </w:p>
    <w:p>
      <w:pPr>
        <w:spacing w:after="100"/>
      </w:pPr>
      <w:r>
        <w:t xml:space="preserve">El precio de 380,90 EUR descuenta un crecimiento del 4,6 % anual en 2027e-2035e con un margen EBITDA del 32 %, o una rentabilidad del 9,1 % anual con nuestro caso base. Cotiza a 8,5 veces el EBITDA de los próximos 12 meses y 15,9 veces el beneficio, frente a 13-18 y 24-30 veces a cierre de 2021-2025.</w:t>
      </w:r>
    </w:p>
    <w:p>
      <w:pPr>
        <w:spacing w:after="100"/>
      </w:pPr>
      <w:r>
        <w:t xml:space="preserve">El mercado ha pasado de pagar a LVMH como un compuesto de calidad a cotizarlo como un cíclico de consumo. Para invertir hay que creer que el margen operativo recurrente se estabiliza en el 22-24 % y que las ventas vuelven a crecer un 4-5 %, lo que el 2T26 empieza a mostrar [5]. No hay que creer en una vuelta al pico de 2021-2023. Lo que no tenemos es una visión distinta del consenso sobre el negocio: la oportunidad es de precio y de tasa de descuento.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 -29,5 %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422,71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422,71 y 530,95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530,95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supera 422,71 EUR sin mejora de las estimaciones, pasaríamos a Mantener.</w:t>
      </w:r>
    </w:p>
    <w:p>
      <w:pPr>
        <w:pStyle w:val="ListParagraph"/>
        <w:numPr>
          <w:ilvl w:val="0"/>
          <w:numId w:val="2"/>
        </w:numPr>
        <w:spacing w:after="60"/>
      </w:pPr>
      <w:r>
        <w:t xml:space="preserve">Si supera 530,95 EUR, pasaríamos a Vender.</w:t>
      </w:r>
    </w:p>
    <w:p>
      <w:pPr>
        <w:pStyle w:val="ListParagraph"/>
        <w:numPr>
          <w:ilvl w:val="0"/>
          <w:numId w:val="2"/>
        </w:numPr>
        <w:spacing w:after="60"/>
      </w:pPr>
      <w:r>
        <w:t xml:space="preserve">Si el crecimiento orgánico de Moda y Marroquinería es negativo en el 3T26 y el 4T26, pasaríamos a Mantener.</w:t>
      </w:r>
    </w:p>
    <w:p>
      <w:pPr>
        <w:pStyle w:val="ListParagraph"/>
        <w:numPr>
          <w:ilvl w:val="0"/>
          <w:numId w:val="2"/>
        </w:numPr>
        <w:spacing w:after="60"/>
      </w:pPr>
      <w:r>
        <w:t xml:space="preserve">Si el margen operativo recurrente del 2S26 o del 1S27 baja del 21 %, pasaríamos a Mantener.</w:t>
      </w:r>
    </w:p>
    <w:p>
      <w:pPr>
        <w:pStyle w:val="ListParagraph"/>
        <w:numPr>
          <w:ilvl w:val="0"/>
          <w:numId w:val="2"/>
        </w:numPr>
        <w:spacing w:after="60"/>
      </w:pPr>
      <w:r>
        <w:t xml:space="preserve">Si el Bund a 10 años supera el 4 %, revisaríamos el valor (medio punto más de WACC resta un 8 %).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4,6 % anual y un margen en torno al actual, con una prima de riesgo alta para un valor Aa3/AA-: la beta a cinco años frente a los índices europeos amplios es de 1,25-1,40 [38].</w:t>
      </w:r>
    </w:p>
    <w:p>
      <w:pPr>
        <w:keepNext/>
        <w:spacing w:after="100"/>
      </w:pPr>
      <w:r>
        <w:rPr>
          <w:b/>
          <w:bCs/>
        </w:rPr>
        <w:t xml:space="preserve">Lo que creemos nosotros.</w:t>
      </w:r>
    </w:p>
    <w:p>
      <w:pPr>
        <w:spacing w:after="100"/>
      </w:pPr>
      <w:r>
        <w:t xml:space="preserve">Coincidimos con el consenso en las cifras (nuestro resultado operativo recurrente queda un 1-2 % por debajo en 2026e-2028e) [39]. Discrepamos en el riesgo: a 8,5 veces el EBITDA, el precio ya recoge un ciclo malo y deja un 9,1 % anual.</w:t>
      </w:r>
    </w:p>
    <w:p>
      <w:pPr>
        <w:keepNext/>
        <w:spacing w:after="100"/>
      </w:pPr>
      <w:r>
        <w:rPr>
          <w:b/>
          <w:bCs/>
        </w:rPr>
        <w:t xml:space="preserve">Por qué podemos tener razón.</w:t>
      </w:r>
    </w:p>
    <w:p>
      <w:pPr>
        <w:spacing w:after="100"/>
      </w:pPr>
      <w:r>
        <w:t xml:space="preserve">La familia de control compró 659 M EUR a 534-546 EUR en 2026 [28], el balance tiene una deuda financiera neta de 0,3 veces el EBITDA y el flujo libre cubre 1,75 veces el dividendo. Pero no tenemos un catalizador propio con fecha: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 de cinco años</w:t>
      </w:r>
      <w:r>
        <w:t xml:space="preserve">: 9,1 veces el EBITDA y 17,4 el beneficio de los últimos 12 meses, frente a 13-18 y 24-30 veces en 2021-2025.</w:t>
      </w:r>
    </w:p>
    <w:p>
      <w:pPr>
        <w:pStyle w:val="ListParagraph"/>
        <w:numPr>
          <w:ilvl w:val="0"/>
          <w:numId w:val="2"/>
        </w:numPr>
        <w:spacing w:after="60"/>
      </w:pPr>
      <w:r>
        <w:rPr>
          <w:b/>
        </w:rPr>
        <w:t xml:space="preserve">Vuelta al crecimiento orgánico</w:t>
      </w:r>
      <w:r>
        <w:t xml:space="preserve">: +2 % en el 1S26 y +3 % en el 2T, con EE. UU. al +6 % y Japón al +14 % [5].</w:t>
      </w:r>
    </w:p>
    <w:p>
      <w:pPr>
        <w:pStyle w:val="ListParagraph"/>
        <w:numPr>
          <w:ilvl w:val="0"/>
          <w:numId w:val="2"/>
        </w:numPr>
        <w:spacing w:after="60"/>
      </w:pPr>
      <w:r>
        <w:rPr>
          <w:b/>
        </w:rPr>
        <w:t xml:space="preserve">Caja abundante</w:t>
      </w:r>
      <w:r>
        <w:t xml:space="preserve">: 11.333 M de flujo libre operativo en 2025, 1,75 veces el dividendo, y 3.299 M de recompras en 18 meses [2, 4].</w:t>
      </w:r>
    </w:p>
    <w:p>
      <w:pPr>
        <w:pStyle w:val="ListParagraph"/>
        <w:numPr>
          <w:ilvl w:val="0"/>
          <w:numId w:val="2"/>
        </w:numPr>
        <w:spacing w:after="60"/>
      </w:pPr>
      <w:r>
        <w:rPr>
          <w:b/>
        </w:rPr>
        <w:t xml:space="preserve">La familia compra</w:t>
      </w:r>
      <w:r>
        <w:t xml:space="preserve">: 659 M EUR en el mercado entre enero y marzo de 2026, a 534-546 EUR por acción [28].</w:t>
      </w:r>
    </w:p>
    <w:p>
      <w:pPr>
        <w:pStyle w:val="ListParagraph"/>
        <w:numPr>
          <w:ilvl w:val="0"/>
          <w:numId w:val="2"/>
        </w:numPr>
        <w:spacing w:after="60"/>
      </w:pPr>
      <w:r>
        <w:rPr>
          <w:b/>
        </w:rPr>
        <w:t xml:space="preserve">Balance de calidad</w:t>
      </w:r>
      <w:r>
        <w:t xml:space="preserve">: Aa3/AA-, con una deuda financiera neta de 8.245 M y una ratio de endeudamiento del 11,8 % [4, 6].</w:t>
      </w:r>
    </w:p>
    <w:p>
      <w:pPr>
        <w:pStyle w:val="Heading2"/>
      </w:pPr>
      <w:r>
        <w:t xml:space="preserve">En contra</w:t>
      </w:r>
    </w:p>
    <w:p>
      <w:pPr>
        <w:pStyle w:val="ListParagraph"/>
        <w:numPr>
          <w:ilvl w:val="0"/>
          <w:numId w:val="2"/>
        </w:numPr>
        <w:spacing w:after="60"/>
      </w:pPr>
      <w:r>
        <w:rPr>
          <w:b/>
        </w:rPr>
        <w:t xml:space="preserve">Margen en caída</w:t>
      </w:r>
      <w:r>
        <w:t xml:space="preserve">: el operativo recurrente pasó del 26,5 % (2023) al 22,0 % (2025) y Moda del 39,9 % al 35,0 % [2].</w:t>
      </w:r>
    </w:p>
    <w:p>
      <w:pPr>
        <w:pStyle w:val="ListParagraph"/>
        <w:numPr>
          <w:ilvl w:val="0"/>
          <w:numId w:val="2"/>
        </w:numPr>
        <w:spacing w:after="60"/>
      </w:pPr>
      <w:r>
        <w:rPr>
          <w:b/>
        </w:rPr>
        <w:t xml:space="preserve">ROIC en descenso</w:t>
      </w:r>
      <w:r>
        <w:t xml:space="preserve">: del 20,1 % en 2022 al 12,7 % en 2025, con un ROIC incremental negativo en 2021-2025.</w:t>
      </w:r>
    </w:p>
    <w:p>
      <w:pPr>
        <w:pStyle w:val="ListParagraph"/>
        <w:numPr>
          <w:ilvl w:val="0"/>
          <w:numId w:val="2"/>
        </w:numPr>
        <w:spacing w:after="60"/>
      </w:pPr>
      <w:r>
        <w:rPr>
          <w:b/>
        </w:rPr>
        <w:t xml:space="preserve">Gobierno</w:t>
      </w:r>
      <w:r>
        <w:t xml:space="preserve">: voto doble, el 76 % de los votos libres contra la remuneración del PDG y sucesión sin nombre [1, 25].</w:t>
      </w:r>
    </w:p>
    <w:p>
      <w:pPr>
        <w:pStyle w:val="ListParagraph"/>
        <w:numPr>
          <w:ilvl w:val="0"/>
          <w:numId w:val="2"/>
        </w:numPr>
        <w:spacing w:after="60"/>
      </w:pPr>
      <w:r>
        <w:rPr>
          <w:b/>
        </w:rPr>
        <w:t xml:space="preserve">Divisa y aranceles</w:t>
      </w:r>
      <w:r>
        <w:t xml:space="preserve">: la divisa restó 1.065 M al resultado de 2025 y Hennessy perdió seis puntos de cuota en coñac [1, 2].</w:t>
      </w:r>
    </w:p>
    <w:p>
      <w:pPr>
        <w:pStyle w:val="ListParagraph"/>
        <w:numPr>
          <w:ilvl w:val="0"/>
          <w:numId w:val="2"/>
        </w:numPr>
        <w:spacing w:after="60"/>
      </w:pPr>
      <w:r>
        <w:rPr>
          <w:b/>
        </w:rPr>
        <w:t xml:space="preserve">Sin margen de seguridad con nuestro WACC</w:t>
      </w:r>
      <w:r>
        <w:t xml:space="preserve">: el DCF (372,60 EUR) está al nivel del precio.</w:t>
      </w:r>
    </w:p>
    <w:p>
      <w:pPr>
        <w:pStyle w:val="Heading2"/>
      </w:pPr>
      <w:r>
        <w:t xml:space="preserve">Qué tiene que pasar para que la tesis funcione</w:t>
      </w:r>
    </w:p>
    <w:p>
      <w:pPr>
        <w:spacing w:after="100"/>
      </w:pPr>
      <w:r>
        <w:t xml:space="preserve">La tesis depende de que Moda y Marroquinería vuelva a crecer sin perder más margen. La señal de que no se cumple sería un crecimiento orgánico de Moda negativo en el 3T26 y el 4T26, o un margen operativo recurrente semestral por debajo del 21 %. También el euro: por encima de 1,25 dólares, la divisa volvería a restar más de 1.000 M al resultado.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Moda y Marroquinería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el 2T26; −1 %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47 % de las ventas y el 75 % del resultado.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en el 1S26; 22,0 %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una subida al 23,8 % en 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en Asia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29 % de las ventas y origen de la caída de 2024-2025.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Divisa −5 puntos sobre ventas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 de las ventas se factura en dólares.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Rotación de 303 días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320 días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Indicaría que se produce más de lo que se vende.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LVMH nace en 1987 de la fusión de Moët Hennessy (champán y coñac) y Louis Vuitton (marroquinería) [1, 11]. En 1989 Bernard Arnault, que ya controlaba Christian Dior a través de Financière Agache, se convierte en primer accionista y en enero de ese año asume la presidencia [1]. Desde entonces el grupo crece por adquisiciones de casas centenarias: moda y piel en los noventa (Loewe y Celine en 1996, Fendi en 2001), relojería y joyería desde 1999 (TAG Heuer) hasta Bvlgari (2011) y Tiffany &amp; Co. (2021), y diversificación en hoteles (Belmond, 2019) [11]. Hoy agrupa 75 casas en 81 países, con 6.283 tiendas y más de 211.000 empleados; la familia Arnault controla el 49,8 % del capital [1]. Diageo mantiene desde 1994 un 34 % de Moët Hennessy, la sociedad que agrupa vinos y licores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Moët Hennessy y Louis Vuitton: nace LVMH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desde el grupo Agache-Christian Dior, pasa a ser primer accionista y presidente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toma el 34 % de Moët Hennessy; acuerdos de distribución conjunta que en 2025 canalizan el 21 % de las ventas de champán y coñac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Loewe y Celine: arranca la cartera de moda y marroquinería más allá de Louis Vuitton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división de Relojería y Joyería con la compra de TAG Heuer; entran también Krug y Château d'Yquem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Fendi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Bvlgari, base de la joyería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Rimowa (equipaje)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Belmond: entrada en la hostelería de lujo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Tiffany &amp; Co., la mayor operación del grupo; Relojería y Joyería pasa a pesar el 13 % de los ingresos en 2025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tribunal de Milán pone en administración judicial a Manufactures Dior (junio de 2024) y a Loro Piana (julio de 2025) por las condiciones laborales de subcontratistas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vende su negocio en la Gran China a China Tourism Group Duty Free (marzo) y acuerda vender concesiones en EE. UU. y DFS Okinawa: repliegue de la distribución en viaje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LVMH es el mayor grupo de lujo del mundo: 75 casas en 81 países, 117 centros de producción y talleres, 6.283 tiendas propias y 80.807 M EUR de ingresos en 2025 [1]. Opera en cinco grupos de negocio. Moda y Marroquinería (47 % de los ingresos: Louis Vuitton, Christian Dior, Celine, Loewe, Fendi, Loro Piana, Rimowa…) vende en unas 2.300 tiendas propias; el 95 % de su venta es minorista [1]. Distribución Selectiva (23 % con otras actividades) es sobre todo Sephora, primera cadena mundial de belleza selectiva con 2.242 tiendas en 35 países, más DFS (tiendas de aeropuerto y galerías) y Le Bon Marché [1]. Relojería y Joyería (13 %: Tiffany, Bvlgari, TAG Heuer, Hublot…) tiene 969 tiendas; Perfumes y Cosmética (10 %: Parfums Christian Dior, Guerlain, Fenty Beauty…) vende sobre todo en distribución selectiva y más de 700 tiendas propias; Vinos y Licores (7 %: Moët &amp; Chandon, Dom Pérignon, Veuve Clicquot, Hennessy) vende a distribuidores, en parte en empresas conjuntas con Diageo [1].</w:t>
      </w:r>
    </w:p>
    <w:p>
      <w:pPr>
        <w:pStyle w:val="Heading2"/>
      </w:pPr>
      <w:r>
        <w:t xml:space="preserve">Cómo gana dinero</w:t>
      </w:r>
    </w:p>
    <w:p>
      <w:pPr>
        <w:spacing w:after="100"/>
      </w:pPr>
      <w:r>
        <w:t xml:space="preserve">El beneficio sale de la marroquinería: Moda y Marroquinería genera 13.209 M EUR de resultado operativo recurrente en 2025 con un margen del 35,0 % (37,1 % en 2024 y 39,9 % en 2023), frente al 19,0 % de Vinos y Licores y márgenes de un dígito en perfumes y distribución [1]. La economía unitaria se apoya en el precio: según Bain, los bolsos icónicos comparables han subido entre un 50 % y un 70 % de 2019 a 2025 [12]. Controlar la distribución (venta propia, sin mayoristas) retiene el margen del minorista, pero convierte las tiendas en coste fijo: cuando la venta cae, el margen cae más, como en 2023-2025 [1]. No hay ingresos recurrentes por contrato: cada venta es una compra discrecional. La estacionalidad pesa en el cuarto trimestre (22.717 M EUR, el 28 % de los ingresos de 2025) [1]. En vinos y licores las existencias de envejecimiento (champán dos años como mínimo, aguardientes de coñac) inmovilizan capital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grueso es venta al consumidor final en tiendas propias y comercio electrónico; en vinos y licores y en perfumes se vende a distribuidores y grandes almacenes, sin que ninguno pese de forma significativa en la información publicada [1]. La concentración está en el tipo de cliente: según Bain, los clientes que gastan más de 20.000 EUR al año en lujo suponen algo más del 46 % del gasto en 2025 (30 % en 2019), mientras la base de compradores ha caído de 400 millones en 2022 a unos 330 millones en 2025 por la salida de los aspiracionales [12]. El poder de precios es demostrado pero tiene límite: los bolsos icónicos subieron entre un 50 % y un 70 % de 2019 a 2025, muy por encima de la inflación, y Bain atribuye a esas subidas la caída de volumen de la marroquinería (−5 % a −7 % en 2025) [12]. Moda y Marroquinería resistió en 2025 con clientes locales frente a 2024, cuando el gasto turístico (sobre todo en Japón) había inflado las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 +2 %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+2 % orgánico, -5 pts divisa, -1 pt perímetro; 2T26 +3 %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trimestres en 2026: 1T +1 %, 2T +3 %. 2025: efecto divisa -3 pts, perímetro despreciable; 2023: +13 % orgánico con -4 pts de divisa [2,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(resultado operativo recurrente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(2025); 22,5 %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pts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2023. En 2025 la divisa restó 1.065 M€ al resultado recurrente y el crecimiento orgánico 740 M€; en el 1S26 la divisa restó 686 M€ y el orgánico sumó 341 M€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Francia 539, Europa (sin Francia) 1.255, EE. UU. 1.232, Japón 520, Asia (sin Japón) 1.905, otros 832. Eran 5.556 en 2021 [2,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champán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66,5 en 2023 y 70,9 en 2022; cuota de mercado de las casas de champán del grupo, 22 % en volumen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coñac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continua desde 102,6 en 2021, 94,3 en 2022 y 83,2 en 2023; en el 1S26 coñac y licores crecen un 3 % orgánico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publicidad y promoción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a perímetro y divisa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comerciales totales, 37,0 % de las ventas, estables frente a 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215.000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211.000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belleza de gama alta y gafas), medido por Bain y Altagamma a precio de venta al público. Ahí están el 70 % de los ingresos de LVMH (Moda y Marroquinería, Relojería y Joyería, Perfumes y Cosmética) y casi todo su beneficio [1, 14]. LVMH está además en vinos y licores de lujo (Bain: 93.000 M EUR en 2025, −5 %), donde tiene el 22,1 % del champán exportado y vendido en Francia según el CIVC y el 47,9 % del coñac según el BNIC, y en distribución selectiva de belleza (Sephora) [1, 12]. Usamos la serie de Bain-Altagamma de junio de 2026, que recoge 1996-2025 con la base revisada; la contrastamos con la edición de diciembre de 2025 (358.000 M EUR en 2025, 364.000 M EUR en 2024) y con los ingresos publicados por los cinco primeros grupos [12, 14, 15, 16, 17, 18, 19, 20]. El TCAC histórico se mide de 2019 a 2025 para no partir del valle de la pandemia.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con una previsión de 365.000-373.000 M EUR para 2026 [12,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valor a precio de venta al públ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los grandes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que gastan más de 20.000 EUR al año en lujo suponen algo más del 46 % del gasto en 2025, frente al 30 % en 2019, y mantuvieron su gasto en valor absoluto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cliente aspiracional por las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compradores cae de unos 400 millones en 2022 a unos 330 millones en 2025; los bolsos icónicos subieron entre un 50 % y un 70 % de 2019 a 2025 y la marroquinería cayó entre un 5 % y un 7 % en 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en China continental cayó entre un 6 % y un 8 % en 2025 [12]; Bain ve en 2026 una recuperación gradual, con la venta digital creciendo entre un 25 % y un 35 % en el primer trimestre [14]. LVMH: Asia sin Japón sube al 29 % de sus ingresos en el primer semestre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alcanzó unos 101.000 M EUR en 2025 (0 % a +2 %) y es la región que más tira en 2026 según Bain [12, 14]; LVMH habla de una aceleración rápida de Moda y Marroquinería en EE. UU. en el segundo trimestre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turista supone entre el 30 % y el 35 % de las compras de lujo en 2025, frente a cerca del 40 % en 2019; el gasto de los turistas chinos en Europa cayó cerca de un 15 %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de cambio restaron 5 puntos a los ingresos de LVMH en el primer semestre de 2026 (+2 % orgánico, −3 % publicado) [4]; desde el 24 de julio de 2026 EE. UU. grava con un 10 % adicional la mayoría de los productos de la UE, licores incluidos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cerca del 35 % del mercado (estimación propia con sus ingresos de 2025) y solo entre el 40 % y el 45 % de las marcas creció en 2025, frente al 95 % en 2022; el margen operativo medio del sector bajó al 15-16 % desde el 21 % de 2022 [12, 15, 16, 17, 18,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en tienda propia (el 78 % de los ingresos de LVMH) [1]; pero el aspiracional responde al precio: 20 millones de compradores salieron del mercado en 2025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proveedor de piel pesa en torno al 22 % de la piel de Louis Vuitton y el primero de piezas metálicas el 25 % [1]. En coñac, Hennessy compra los aguardientes a unos 1.600 productores y cultiva menos del 1 % de lo que necesita; en champán, las viñas propias cubren el 20 %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el patrimonio y las mejores ubicaciones tardan décadas en construirse; aun así, las marcas de lujo nacidas en EE. UU. crecieron entre un 10 % y un 15 % (1T25-1T26) y en China ganan terreno las marcas locales de gama alta [12,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experiencias de lujo crecen entre un 2 % y un 6 % en 2026 frente al 2-4 % de los bienes personales, y el lujo de segunda mano llegó a unos 50.000 M EUR en 2025 (+4 % a +6 %) [12, 14].</w:t>
            </w:r>
          </w:p>
        </w:tc>
      </w:tr>
    </w:tbl>
    <w:p>
      <w:pPr>
        <w:spacing w:after="160" w:before="0"/>
      </w:pPr>
    </w:p>
    <w:p>
      <w:pPr>
        <w:pStyle w:val="Heading2"/>
      </w:pPr>
      <w:r>
        <w:t xml:space="preserve">Ciclo</w:t>
      </w:r>
    </w:p>
    <w:p>
      <w:pPr>
        <w:spacing w:after="100"/>
      </w:pPr>
      <w:r>
        <w:t xml:space="preserve">Tras dos años de caída (−1 % en 2024 y −2 % en 2025 a tipos corrientes), Bain prevé entre un +2 % y un +4 % a tipos constantes en 2026, con un 70 % de probabilidad, y LVMH creció un 2 % orgánico en el primer semestre de 2026, con un +3 % en el segundo trimestre [4, 5, 14]. Es una salida tibia: el primer semestre sufrió la guerra en Oriente Medio, el petróleo por encima de 100 USD y la primera subida de tipos del BCE desde 2023 [14]. En 2008-09 el mercado cayó un 1 % y un 8 %; en 2020, un 21 %, con rebote del 31 % en 2021; en 2022 subió un 21 % con la reapertura [14].</w:t>
      </w:r>
    </w:p>
    <w:p>
      <w:pPr>
        <w:pStyle w:val="Heading2"/>
      </w:pPr>
      <w:r>
        <w:t xml:space="preserve">Regulación</w:t>
      </w:r>
    </w:p>
    <w:p>
      <w:pPr>
        <w:spacing w:after="100"/>
      </w:pPr>
      <w:r>
        <w:rPr>
          <w:b/>
        </w:rPr>
        <w:t xml:space="preserve">EE. UU.</w:t>
      </w:r>
      <w:r>
        <w:t xml:space="preserve">: el acuerdo de Turnberry (27-7-2025) fijó un techo del 15 % para los productos de la UE, sin exención para vinos y licores; tras la anulación de los aranceles de emergencia por el Tribunal Supremo (febrero de 2026), los licores europeos pagaron un 10 % (Sección 122) y desde el 24-7-2026 un 10 % por la Sección 301, mientras el whisky británico queda exento [13, 14]. </w:t>
      </w:r>
      <w:r>
        <w:rPr>
          <w:b/>
        </w:rPr>
        <w:t xml:space="preserve">China</w:t>
      </w:r>
      <w:r>
        <w:t xml:space="preserve">: aranceles antidumping definitivos al brandy europeo desde el 5-7-2025, por cinco años, con márgenes del 27,7 % al 34,9 %; Hennessy, Pernod Ricard y Rémy Cointreau quedan exentos por compromisos de precio mínimo, pero el canal libre de impuestos (cerca del 20 % del coñac en China) seguía cerrado [22]. </w:t>
      </w:r>
      <w:r>
        <w:rPr>
          <w:b/>
        </w:rPr>
        <w:t xml:space="preserve">Italia</w:t>
      </w:r>
      <w:r>
        <w:t xml:space="preserve">: los tribunales usan la administración judicial (Decreto 159/2011) contra marcas cuyos subcontratistas incumplen la ley laboral [1]. Rémy Cointreau calcula unos 20 M EUR de aranceles en su ejercicio 2026-27 (15 M en EE. UU. y 5 M en China), una referencia del coste para el coñac [24].</w:t>
      </w:r>
    </w:p>
    <w:p>
      <w:pPr>
        <w:pStyle w:val="Heading2"/>
      </w:pPr>
      <w:r>
        <w:t xml:space="preserve">Tendencias y disrupción</w:t>
      </w:r>
    </w:p>
    <w:p>
      <w:pPr>
        <w:spacing w:after="100"/>
      </w:pPr>
      <w:r>
        <w:t xml:space="preserve">El gasto se desplaza de los objetos a las experiencias (hoteles, restaurantes, viajes), que crecen más que los bienes personales [12, 14]; LVMH está en ambos con Belmond y Cheval Blanc. La joyería es la categoría ganadora (+4 % a +6 % en 2025) y la marroquinería la perdedora [12]: favorece a Tiffany y Bvlgari, pero el margen de Relojería y Joyería de LVMH (14,4 %) queda lejos del 30,5 % de las joyerías de Richemont [1, 17]. Crecen la segunda mano y los outlets, con más rebajas y existencias 3-4 puntos por encima de 2019 [12]. La renovación creativa decide cuotas: Dior, Celine, Loewe y Fendi cambiaron de director creativo en 2025 y Dior acelera en 2026 [1, 4]. Sephora gana con la belleza de prestigio, la categoría más grande (unos 78.000 M EUR) [1,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mundial de bienes personales de lujo, con cerca del 16 % del mercado (estimación propia: 56.430 M EUR de ingresos de Moda y Marroquinería, Relojería y Joyería y Perfumes y Cosmética en 2025 sobre 358.000 M EUR de mercado; los ingresos mayoristas de perfumes se miden a precio de fábrica y Bain a precio de venta, así que la cuota real es algo mayor) [1, 12]. En champán, 1.º con el 22,1 % de las botellas de la región en 2025; en coñac, Hennessy es 1.º con el 47,9 % (53,7 % en 2024) [1]. Sephora es la primera cadena mundial de belleza selectiva [1]. En licores, los rivales directos de Hennessy sufren lo mismo: Pernod Ricard facturó 9.404 M EUR en su ejercicio a junio de 2026 (−3,9 % orgánico; −19 % en China y −14 % en EE. UU.) con un 25,8 % de margen, y Rémy Cointreau 935 M EUR (+0,2 % orgánico) con un 17,7 %, frente al 19,0 % de Vinos y Licores de LVMH en 2025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31-3-2026. Líder en joyería (Cartier, Van Cleef &amp; Arpels) con un 30,5 % de margen en sus joyerías; relojería débil (3,4 %). Compite con Tiffany y Bvlgari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y 4.712 M USD de resultado operativo, convertidos a 1,175 USD/EUR del 31-12-2025. Rival directo de Dior en moda y belleza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9 % a tipos constantes en 2025 y mejoró margen mientras Moda y Marroquinería de LVMH caía del 37,1 % al 35,0 %. Escasez deliberada y cliente de muy alto patrimonio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factura 5.992 M EUR con un 16,1 % de margen. En plena reestructuración: el caso de lo que pasa cuando una marca pierde el favor del cliente aspiracional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crecimiento (+9 %, +8 % orgánico) gracias a Miu Miu; consolida Versace desde el 2-12-2025 (684 M EUR de ingresos en 2025), lo que diluye el margen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+3 % a tipos constantes en 2025 con margen estable; especialista en abrigo (Moncler y Stone Island)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el valor de un bolso no aumenta con el número de compradores; más bien lo contrario, de ahí la escasez deliberada de Hermès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el 90 % de los consumidores percibe una experiencia de compra parecida entre marcas y 20 millones salieron del mercado en 2025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y Marroquinería mantiene un 35,0 % de margen en 2025, un año de caída, frente al 15-16 % medio del sector y el 11,1 % de Kering [1, 5, 9]. Louis Vuitton, Dior, Tiffany o Hennessy sostienen precios que en marroquinería han subido entre un 50 % y un 70 % desde 2019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9.214 M EUR de publicidad y promoción en 2025 (11,4 % de los ingresos), más de la mitad de los ingresos totales de Hermès; el volumen permite comprar espacio publicitario a mejor precio y negociar mejores ubicaciones en grandes almacenes [1, 8]. Louis Vuitton fabrica en 29 talleres propios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6.283 tiendas propias y el 78 % de los ingresos en venta directa; las mejores ubicaciones de cada ciudad son escasas y LVMH tiene la red más grande del sector [1]. Pero el mercado sigue fragmentado según la propia empresa, y marcas pequeñas crecen más que los grandes grupos [1, 5].</w:t>
            </w:r>
          </w:p>
        </w:tc>
      </w:tr>
    </w:tbl>
    <w:p>
      <w:pPr>
        <w:spacing w:after="160" w:before="0"/>
      </w:pPr>
    </w:p>
    <w:p>
      <w:pPr>
        <w:pStyle w:val="Heading2"/>
      </w:pPr>
      <w:r>
        <w:t xml:space="preserve">Amenazas</w:t>
      </w:r>
    </w:p>
    <w:p>
      <w:pPr>
        <w:spacing w:after="100"/>
      </w:pPr>
      <w:r>
        <w:t xml:space="preserve">La primera es el </w:t>
      </w:r>
      <w:r>
        <w:rPr>
          <w:b/>
        </w:rPr>
        <w:t xml:space="preserve">agotamiento del precio</w:t>
      </w:r>
      <w:r>
        <w:t xml:space="preserve">: el margen de Moda y Marroquinería cayó del 39,9 % en 2023 al 35,0 % en 2025 mientras Hermès lo subía al 41,0 %; si el aspiracional no vuelve, LVMH depende más de un cliente rico que hoy prefiere marcas más exclusivas [1, 12, 15]. La segunda, la </w:t>
      </w:r>
      <w:r>
        <w:rPr>
          <w:b/>
        </w:rPr>
        <w:t xml:space="preserve">ejecución creativa</w:t>
      </w:r>
      <w:r>
        <w:t xml:space="preserve">: cuatro grandes casas estrenaron director creativo en 2025-2026 y el caso Gucci muestra lo que cuesta fallar [1, 16]. La tercera, los </w:t>
      </w:r>
      <w:r>
        <w:rPr>
          <w:b/>
        </w:rPr>
        <w:t xml:space="preserve">aranceles y las divisas</w:t>
      </w:r>
      <w:r>
        <w:t xml:space="preserve"> en coñac y en EE. UU. [13, 22]. La cuarta, la </w:t>
      </w:r>
      <w:r>
        <w:rPr>
          <w:b/>
        </w:rPr>
        <w:t xml:space="preserve">reputación</w:t>
      </w:r>
      <w:r>
        <w:t xml:space="preserve"> por las condiciones laborales de los subcontratistas italianos [1]. Vemos probable la primera (alta), media la segunda y baja la cuarta en impacto sobre las cifras.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2021-2025: ingresos </w:t>
      </w:r>
      <w:r>
        <w:rPr>
          <w:b/>
          <w:bCs/>
        </w:rPr>
        <w:t xml:space="preserve">5,9 %</w:t>
      </w:r>
      <w:r>
        <w:t xml:space="preserve">, EBITDA </w:t>
      </w:r>
      <w:r>
        <w:rPr>
          <w:b/>
          <w:bCs/>
        </w:rPr>
        <w:t xml:space="preserve">2,1 %</w:t>
      </w:r>
      <w:r>
        <w:t xml:space="preserve">, BPA </w:t>
      </w:r>
      <w:r>
        <w:rPr>
          <w:b/>
          <w:bCs/>
        </w:rPr>
        <w:t xml:space="preserve">-2,2 %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64.215 M€ en 2021 a 86.153 M€ en 2023 y cayeron a 80.807 M€ en 2025 (-5 % publicado, -1 % orgánico, -3 pts por divisa y perímetro despreciable) [2, 3]. En 2023 el orgánico fue +13 % con -4 pts de divisa; en 2024, +1 % orgánico y -2 % publicado [3, 9]. 2021 incluye Tiffany desde el 7 de enero (4.321 M€ de ventas y 778 M€ de resultado recurrente ese año) [3]. En el 1S26 las ventas bajaron un 3 % publicado y subieron un 2 % orgánico (-5 pts divisa, -1 pt perímetro por DFS), con aceleración en el 2T (+3 %) [8].</w:t>
      </w:r>
    </w:p>
    <w:p>
      <w:pPr>
        <w:spacing w:after="100"/>
      </w:pPr>
      <w:r>
        <w:t xml:space="preserve">El margen operativo recurrente cayó de 26,7 % (2021) y 26,5 % (2023) a 23,1 % (2024) y 22,0 % (2025): el margen bruto bajó de 68,8 % a 66,2 % entre 2023 y 2025 y los gastos comerciales se mantuvieron en el 37,0 % de las ventas [2]. La divisa restó 1.065 M€ al resultado recurrente de 2025 y 686 M€ al del 1S26 [2, 5]. Por grupos, el deterioro viene de Vinos y Licores (31,9 % a 19,0 %), Moda y Marroquinería (39,9 % a 35,0 %) y Relojería y Joyería (19,8 % a 14,4 %); Distribución Selectiva mejoró a 9,7 % por Sephora y el equilibrio de DFS [2]. El tipo efectivo de 2025 fue 32,8 % (+4,3 pts) por el recargo extraordinario del impuesto de sociedades en Francia [2].</w:t>
      </w:r>
    </w:p>
    <w:p>
      <w:pPr>
        <w:pStyle w:val="Heading2"/>
      </w:pPr>
      <w:r>
        <w:t xml:space="preserve">Ajustes y partidas no recurrentes</w:t>
      </w:r>
    </w:p>
    <w:p>
      <w:pPr>
        <w:spacing w:after="100"/>
      </w:pPr>
      <w:r>
        <w:t xml:space="preserve">Cifras publicadas. ebit = resultado operativo («operating profit»), que incluye «otros ingresos y gastos operativos»: -4 M€ (ingreso neto) en 2021, 54 M€ en 2022, 242 M€ en 2023, 664 M€ en 2024 y 656 M€ en 2025 de gasto neto, que van en no_recurrentes_en_ebitda [2, 3]. En 2025 son sobre todo deterioros y amortizaciones de marcas, fondos de comercio y activos (720 M€, la mayoría de DFS, con una pérdida estimada de 0,5 mil M€ por su venta), 50 M€ de reestructuración y 127 M€ de plusvalías por ventas [2]. En el LTM jun-26 suman 619 M€ (-642 M€ del 2S25 y +23 M€ del 1S26) [4].</w:t>
      </w:r>
    </w:p>
    <w:p>
      <w:pPr>
        <w:spacing w:after="100"/>
      </w:pPr>
      <w:r>
        <w:t xml:space="preserve">ebitda = resultado operativo + amortizaciones y depreciaciones recurrentes, derechos de uso incluidos (3.143 M€ en 2025). Estimación propia de las amortizaciones recurrentes: la dotación total de la nota de segmentos (5.253, 5.772, 6.018, 6.702 y 7.243 M€ de 2021 a 2025) menos los deterioros y amortizaciones de marcas y fondos de comercio contabilizados en otros gastos operativos (89, 50, 105, 422 y 720 M€) [2, 3]. Así, ebitda + no_recurrentes = resultado operativo recurrente + amortizaciones recurrentes (24.278 M€ en 2025) y el deterioro no se cuenta dos veces. gastos_financieros = coste de la deuda bruta + intereses de arrendamientos (598 + 553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(27-jul-26): la dirección habla de aceleración en el segundo trimestre (+3 % orgánico frente a +1 % del primero; +4 % sin el efecto del conflicto en Oriente Medio) y de resultados sólidos: margen operativo del 22,5 %, flujo de caja libre operativo de 4.100 M€ y deuda neta sobre fondos propios del 11,8 % [5, 8]. Por regiones, en el 2T EE. UU. crece un 6 % orgánico, Japón un 14 %, Asia sin Japón un 4 % y Europa un 0 % (en el 1S25 Japón había caído un 15 % y Asia un 9 %) [5]. Los mensajes por grupo: señales de recuperación en champán y coñac (+5 % orgánico y resultado +11 %), vuelta al crecimiento orgánico de Moda y Marroquinería en el 2T (+1 %) con el arranque de Jonathan Anderson en Dior y las tiendas de Louis Vuitton en Pekín y Seúl, joyería fuerte (+11 % en el 2T) y Sephora creciendo [5, 8]. La divisa restó 686 M€ al resultado recurrente, que sin ella habría subido [5]. Cartera: venta de DFS en la Gran China, de las concesiones de LAX y SFO y de DFS Okinawa, y acuerdo para vender Marc Jacobs a WHP Global [8]. Frente a las cuentas de 2025 (27-ene-26), que hablaban de «resultados sólidos en un entorno desfavorable» y de un 2S25 con +1 % orgánico, el discurso pasa de resistir a acelerar, sin dar previsiones cuantitativas: la perspectiva de 2026 se limita a reforzar los iconos y la deseabilidad con atención a los márgenes [2, 5, 8]. LVMH no publica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DFS reclasificada a activos y pasivos mantenidos para la venta a 31-dic-25 (2.796 M€ de activos y 1.616 M€ de pasivos, incluidos 907 M€ de derechos de uso y 1.023 M€ de pasivos por arrendamiento): salen de las partidas de balance habituales pero sus ventas (1.494 M€) siguen en la cuenta de 2025; venta del negocio de la Gran China en el 1S26 [2,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(sin arrendamientos ni compromisos de minoritarios) pasó de 9.607 M€ en 2021 a 10.746 M€ en 2023 y bajó a 9.228 M€ en 2024 y 6.857 M€ en 2025; a 30-jun-26 subió a 8.245 M€ por el pago de 3.706 M€ de dividendos y 1.659 M€ de compra de acciones propias [2, 3, 4]. Deuda neta sobre fondos propios: 9,9 % en 2025 y 11,8 % en junio de 2026 [4]. Con los arrendamientos (16.018 M€) y el compromiso con Diageo y otros (6.331 M€), los pasivos asimilables a deuda suman 29.206 M€ a cierre de 2025 [2].</w:t>
      </w:r>
    </w:p>
    <w:p>
      <w:pPr>
        <w:spacing w:after="100"/>
      </w:pPr>
      <w:r>
        <w:t xml:space="preserve">Las existencias subieron de 16.549 M€ (2021) a 23.669 M€ (2024): +43 % frente a +32 % de las ventas; en 2025 bajaron a 22.659 M€, pero repuntaron a 24.184 M€ en junio de 2026 [2, 3, 4]. La deuda bruta es de corto plazo y barata: 39 % vence en 2026, en buena parte pagarés, y el coste de la deuda bruta fue del 2,8 % en 2025 (598 M€ sobre una deuda media de 21.643 M€; estimación propia). La vida media de 3,2 años es una estimación propia con el calendario de vencimientos. En febrero de 2026 colocó 1.500 M€ en dos tramos (2,625 % a 2030 y 3,375 % a 2036)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53.559</w:t>
      </w:r>
      <w:r>
        <w:t xml:space="preserve">, conversión </w:t>
      </w:r>
      <w:r>
        <w:rPr>
          <w:b/>
          <w:bCs/>
        </w:rPr>
        <w:t xml:space="preserve">83 %</w:t>
      </w:r>
      <w:r>
        <w:t xml:space="preserve"> del beneficio neto; adquisiciones 15.194, dividendos 28.760, recompras 5.708.</w:t>
      </w:r>
    </w:p>
    <w:p>
      <w:pPr>
        <w:spacing w:after="100"/>
      </w:pPr>
      <w:r>
        <w:t xml:space="preserve">Los intereses de la deuda y de los arrendamientos se pagan dentro del flujo de explotación (545 M€ de intereses de arrendamientos en 2025), así que el flujo operativo ya es después de intereses; los pagos_arrendamientos son solo el principal [2]. El flujo libre operativo que publica LVMH (flujo de explotación - inversiones - principal de arrendamientos) fue de 8.104 M€ en 2023, 10.478 M€ en 2024, 11.333 M€ en 2025 y 4.100 M€ en el 1S26 [2, 8]. 2023 fue el año flojo: circulante -4.577 M€ (existencias -4.230 M€) y capex de 7.478 M€, del que 3.575 M€ se invirtió en Francia (inmuebles) [2, 3].</w:t>
      </w:r>
    </w:p>
    <w:p>
      <w:pPr>
        <w:spacing w:after="100"/>
      </w:pPr>
      <w:r>
        <w:rPr>
          <w:b/>
        </w:rPr>
        <w:t xml:space="preserve">Para el capex del DCF.</w:t>
      </w:r>
      <w:r>
        <w:t xml:space="preserve"> Altas de derechos de uso por contratos nuevos: 2.730 M€ (2021), 3.754 M€ (2022), 3.763 M€ (2023), 2.931 M€ (2024), 2.994 M€ (2025) y 1.329 M€ (1S26), más cambios de hipótesis de duración de -202, 60, 838, 837 y 500 M€ [1, 2, 3, 4]. Alquileres variables no capitalizados (ligados a ventas): 1.702, 2.445, 2.788, 2.509 y 2.184 M€ (1.099 M€ en el 1S26), y alquileres a corto plazo o de poco valor de 506, 458, 548, 582 y 644 M€; ya restan dentro del resultado operativo [2, 3, 4]. Dividendos a minoritarios, no incluidos arriba: 408, 421, 532, 571 y 414 M€; compras de minoritarios (financiación): 435, 351, 17, 173 y 1.091 M€ (el 9 % de Loro Piana por 1.000 M€ en 2025) [2, 3]. LVMH no separa el capex de mantenimiento; las amortizaciones de inmovilizado e intangibles sin derechos de uso fueron ~3.380 M€ en 2025 (estimación propia: 4.100 - 720), frente a 4.567 M€ de capex.</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Forvis Mazars SA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ejercicio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Dos auditores, como exige la ley francesa: Forvis Mazars desde el ejercicio 2016 (10 años) y Deloitte desde 2022, ambos con mandato hasta las cuentas de 2027 [1]. La opinión de 2025 es limpia; las cuestiones clave fueron la valoración del inmovilizado (86.032 M€, sobre todo marcas y fondos de comercio sometidos a test de deterioro por flujos descontados) y la de las existencias (bruto 26.303 M€, con 3.644 M€ de provisión, el 13,9 %) [1]. No se capitaliza la investigación ni el desarrollo salvo decisión de lanzamiento [2]. La remuneración en acciones es pequeña: 159 M€ en 2025 [2]. El compromiso con Diageo se valora por flujos descontados de Moët Hennessy y sus variaciones van a fondo de comercio y no a resultados, una política propia «a falta de norma NIIF específica» [2]. El otro resultado financiero de 2025 (+500 M€) incluye 835 M€ de revalorización de inversiones financieras, volátil y no operativa [2].</w:t>
      </w:r>
    </w:p>
    <w:p>
      <w:pPr>
        <w:spacing w:after="100"/>
      </w:pPr>
      <w:r>
        <w:t xml:space="preserve">Los tres indicadores no muestran alertas. El Altman Z de 2025 es 3,33 (zona segura), el Piotroski F es 7 sobre 9 (fallan la mejora del ROA y del margen bruto, coherente con el ciclo) y el Beneish M es -2,83, lejos del umbral de manipulación (−1,78), aunque el motor lo marca como poco fiable en un grupo con tanto intangible. Lo que sí pide atención son tres cosas: las existencias (303 días de rotación y una provisión del 13,9 %), la política propia de llevar los cambios de valor de la opción de Diageo a fondo de comercio y no a resultados, y que el resultado financiero de 2025 incluya 835 M de revalorización de participaciones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 de compra a Diageo contabilizado contra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anterior a 2010 sin norma NIIF específica: la caída del pasivo de 11.919 M€ a 6.331 M€ (2023-2025) redujo el fondo de comercio en 5.278 M€ sin pasar por resultados. Distorsiona el fondo de comercio y el capital invertido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 y provisión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22.659 M€ en 2025 (28 % de las ventas) y 24.184 M€ en junio de 2026; provisión de 3.644 M€ sobre 26.303 M€ brutos. Es cuestión clave de auditoría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marcas y fondos de comercio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M€ en 2023, 422 M€ en 2024 y 720 M€ en 2025, sobre todo DFS; la venta de DFS se registró con una pérdida estimada de 0,5 mil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apoyado por revalorizaciones financieras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 M€ de ajuste a valor razonable de inversiones financieras en 2025 (481 M€ en 2024 y 447 M€ en el 1S26) dentro del resultado financiero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alto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32,8 % frente a 28,5 % en 2024 por el recargo extraordinario del impuesto de sociedades francés de 2025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-3,4 % · </w:t>
      </w:r>
      <w:r>
        <w:rPr>
          <w:b/>
          <w:bCs/>
        </w:rPr>
        <w:t xml:space="preserve">WACC</w:t>
      </w:r>
      <w:r>
        <w:t xml:space="preserve">: 9,3 %.</w:t>
      </w:r>
    </w:p>
    <w:p>
      <w:pPr>
        <w:spacing w:after="100"/>
      </w:pPr>
      <w:r>
        <w:t xml:space="preserve">LVMH crea valor, pero cada vez menos. El ROIC (capital invertido con fondo de comercio, marcas y derechos de uso) bajó del 20,1 % de 2022 al 12,7 % de 2025, frente a un WACC del 9,25 %: el diferencial pasó de unos 11 puntos a 3,4. Lo mueve el margen, no la rotación: el margen operativo recurrente cayó 4,5 puntos (del 26,5 % al 22,0 %) mientras la rotación del capital se mantuvo en 0,55-0,62 veces las ventas [2]. El ROIC incremental de 2021-2025 es negativo (-3,4 %): el capital invertido creció 21.000 M (Tiffany, existencias +43 % y tiendas) y el NOPAT acabó por debajo del de 2021 [2, 3]. El ROE (16,1 %) supera al ROIC por un apalancamiento moderado. Frente a sus pares, Hermès gana un 41 % de margen operativo y Moncler un 29 %, mientras Kering ha bajado al 11 % [15, 16, 20]: LVMH sigue en la mitad alta del sector, pero su diferencial sobre el coste de capital ya no justifica un DCF de tres etapas.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6.803 M€ + inversiones financieras corrientes 5.399 M€ = 12.202 M€, más 10.800 M€ de líneas de crédito confirmadas no dispuestas, que superan los 5.600 M€ de pagarés en circulación (NEU CP y USCP). A 31-dic-25: 13.502 M€ de caja e inversiones corrientes y las mismas líneas de 10.800 M€ frente a 5.400 M€ de pagarés. De la deuda bruta de 2025, 5.978 M€ vencían en el 1T26, sobre todo pagarés [2,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y S&amp;P AA-, ambos con perspectiva estable (folleto de base EMTN 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Compromisos de compra de minoritarios</w:t>
      </w:r>
      <w:r>
        <w:t xml:space="preserve">: 13.677 M€ en 2021, 12.489 M€ en 2022, 11.919 M€ en 2023, 8.056 M€ en 2024, 6.331 M€ en 2025 y 6.416 M€ a 30-jun-26 (7.015 M€ a 30-jun-25) [2, 3, 4]. Son sobre todo la opción de venta concedida a Diageo por su 34 % de Moët Hennessy, ejercitable en cualquier momento con seis meses de preaviso, por el 80 % del valor razonable de Moët Hennessy calculado por descuento de flujos; también el 6 % restante de Loro Piana y filiales de distribución en Oriente Medio [2]. Los minoritarios del balance </w:t>
      </w:r>
      <w:r>
        <w:rPr>
          <w:b/>
        </w:rPr>
        <w:t xml:space="preserve">sí están reducidos</w:t>
      </w:r>
      <w:r>
        <w:t xml:space="preserve">: la parte de Diageo se cancela y pasa a este pasivo; su cuota en los minoritarios acumulados antes de la opción era de 4.369 M€ a 30-jun-26 [4]. Como el compromiso es anterior a 2010, la diferencia con los minoritarios cancelados se lleva a fondo de comercio: el fondo de comercio ligado a estos compromisos bajó de 5.682 M€ (2023) a 1.239 M€ (2024) y 386 M€ (2025) [2].</w:t>
      </w:r>
    </w:p>
    <w:p>
      <w:pPr>
        <w:spacing w:after="100"/>
      </w:pPr>
      <w:r>
        <w:t xml:space="preserve">Pensiones: provisión de 641 M€ en 2025 (650 M€ en 2024) y gasto anual de 166 M€ [2]. Provisiones para riesgos y litigios, 1.541 M€, y posiciones fiscales inciertas, 1.346 M€; sin litigios significativos según la empresa [2]. Fuera de balance: compromisos de compra de uva, vinos y aguardientes por 3.010 M€, de inmovilizado y servicios de comunicación por 1.882 M€ y avales por 1.054 M€ [2]. Sin covenants en líneas significativas [2, 4].</w:t>
      </w:r>
    </w:p>
    <w:p>
      <w:pPr>
        <w:pStyle w:val="Heading1"/>
      </w:pPr>
      <w:r>
        <w:t xml:space="preserve">12. Asignación de capital</w:t>
      </w:r>
    </w:p>
    <w:p>
      <w:pPr>
        <w:pStyle w:val="Confianza"/>
        <w:spacing w:after="100"/>
      </w:pPr>
      <w:r>
        <w:t xml:space="preserve">Confianza: Alta</w:t>
      </w:r>
    </w:p>
    <w:p>
      <w:pPr>
        <w:spacing w:after="100"/>
      </w:pPr>
      <w:r>
        <w:t xml:space="preserve">LVMH mantiene una política de dividendo «estable» que hace a los accionistas partícipes del crecimiento [1]. Paga a cuenta en diciembre y el complemento en abril: 10,00 € por acción por 2021, 12,00 € por 2022 y 13,00 € por 2023, 2024 y 2025 (5,50 € a cuenta + 7,50 € complementario), unos 6.470 M€ por 2025 [1, 3]. El 3-dic-26 pagará 5,50 € a cuenta de 2026 [5]. Recompras: un programa de hasta 1.000 M€ entre febrero y noviembre de 2025 (1,9 millones de acciones para amortizar); la junta del 17-abr-25 autorizó comprar hasta el 10 % del capital a un máximo de 1.200 € por acción hasta el 16-oct-26 [1]. En total compró acciones propias por 1.640 M€ en 2025 y por 1.659 M€ en el 1S26 [2, 4]. Las acciones bajaron de 504,8 millones (2021) a 495,8 millones (junio de 2026)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Couture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5.000 M€ y pagarés; salida de caja neta de 5.782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6.500 M€, 15,6 veces el EBITDA ajustado a doce meses de marzo de 2017; marca valorada en 3.500 M€ [10]. No consta deterioro en las cuentas de 2021-2025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Rimowa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opción de venta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2017 facturó 417 M€ con 9 M€ de resultado recurrente; marca de 475 M€ y fondo de comercio de 285 M€ [10]. En el 1S26 la empresa destaca su fuerte crecimiento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2.200 M USD por las acciones de clase A a 25 USD, más las compradas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de 2.006 M€; revalorización de inmuebles por 1.193 M€ y marca de 140 M€ [10]. Se integra en Otras actividades, que perdió 477 M€ en 2025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16.100 M USD en efectivo (131,50 USD por acción); bonos de 2020 por 10.700 M€ y pagarés en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5.949 M€ y fondo de comercio de 6.750 M€; en 2021 aportó 4.321 M€ de ventas y 778 M€ de resultado recurrente (18 %) [3]. Sin deterioro, pero el margen de Relojería y Joyería cayó del 19,8 % (2023) al 14,4 % (2025) durante la renovación de tiendas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(9 % adicional, hasta el 94 %)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minoritarios; el 6 % restante sigue bajo compromiso de compra [2].</w:t>
            </w:r>
          </w:p>
        </w:tc>
      </w:tr>
    </w:tbl>
    <w:p>
      <w:pPr>
        <w:spacing w:after="160" w:before="0"/>
      </w:pPr>
    </w:p>
    <w:p>
      <w:pPr>
        <w:spacing w:after="100"/>
      </w:pPr>
      <w:r>
        <w:t xml:space="preserve">Entre 2021 y 2025 LVMH generó 92.679 M€ de flujo de explotación, invirtió 25.209 M€ en capex, pagó 13.911 M€ de principal de arrendamientos, 28.760 M€ de dividendos a sus accionistas y 5.708 M€ en recompras, y destinó 15.045 M€ netos a compras de sociedades, casi todo Tiffany [2, 3]. En 2026 rota la cartera: venta de DFS por partes (pérdida estimada de 0,5 mil M€ registrada en 2025) y acuerdo para vender Marc Jacobs; en 2024 vendió Off-White [2, 8]. Los compromisos de compra de minoritarios, cuyo grueso es la opción de Diageo valorada por LVMH con los flujos descontados de Moët Hennessy, cayeron un 47 % entre 2023 y 2025 [2].</w:t>
      </w:r>
    </w:p>
    <w:p>
      <w:pPr>
        <w:spacing w:after="100"/>
      </w:pPr>
      <w:r>
        <w:t xml:space="preserve">Veredicto: buena asignadora en dividendos y balance, mediocre en compras recientes. En 2021-2025 devolvió 34.468 M a los accionistas (dividendos y recompras), el 64 % de un flujo libre acumulado de 53.559 M, y la deuda financiera neta cayó a 8.245 M [2, 4]. Pero el ROIC incremental del periodo es negativo: Tiffany se pagó 3,8 veces las ventas y Relojería y Joyería ha perdido 5,4 puntos de margen desde entonces, sin deterioro registrado [2, 3]. Las recompras de 2025-2026 (3.299 M) se hicieron a precios muy superiores a los de hoy. La rotación de cartera (DFS, Off-White, Marc Jacobs) es sensata y libera capital de negocios de bajo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26 de septiembre de 1988 y PDG del grupo; la junta de 2025 lo reeligió consejero hasta 2028 (93,44 % a favor) y elevó a 85 años el límite de edad del presidente y del consejero delegado (99,18 % a favor) [1, 26]. La participación es la del grupo familiar que controla como socio comanditado gerente de Agache SCA: 50,21 % del capital y 66,39 % de los votos a 30-6-2026; a título personal declara 946.055 acciones (0,19 %) [1,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Bianchi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del grupo (Group Managing Director) y presidente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LVMH en 2018 como consejero delegado de TAG Heuer y en 2020 pasó a dirigir la división de Relojería y Joyería; en marzo de 2024 asumió las funciones operativas de Antonio Belloni, que dejó el cargo y el consejo en la junta del 18 de abril de 2024 [1, 29]. No es mandatario social, por lo que su remuneración y sus acciones no se publican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Cabanis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era miembro del Comité Ejecutivo; sustituyó a Jean-Jacques Guiony como directora financiera el 1 de febrero de 2025 [30]. Firma el informe semestral de 2026 por delegación del PDG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Jean-Jacques Guiony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Moët Hennessy (Vinos y Licores)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hasta enero de 2025; desde el 1 de febrero de 2025 dirige Moët Hennessy, con Alexandre Arnault como consejero delegado adjunto, en sustitución de Philippe Schaus [1, 30]. La división cayó un 9 % en ventas y un 25 % en resultado operativo corriente en 2025 (5.358 M y 1.016 M EUR)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Delphine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de Christian Dior Couture;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Louis Vuitton de 2013 a febrero de 2023 y desde entonces al frente de Dior; consejera desde 2003, reelegida en 2026 con el 94,36 % a favor [1, 25]. Tiene 503.453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Pietro Beccari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 Group y Louis Vuitton,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30 de junio de 2026 dirige el Fashion Group y Louis Vuitton; Damien Bertrand figura en el Comité Ejecutivo como responsable de Louis Vuitton [4]. Moda y Marroquinería bajó un 8 % en ventas y un 13 % en resultado operativo corriente en 2025 (37.770 M y 13.209 M EUR)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Reforzar su posición de liderazgo mundial en el lujo en 2025, con una estrategia centrada en el desarrollo de las marcas, la innovación y la inversión; sin objetivo numérico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80.807 M EUR, -5 % publicado y -1 % orgánico; resultado operativo corriente de 17.755 M EUR,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objetivo cualitativo para 2026: reforzar el liderazgo mundial en el lujo [1]; en julio, reforzar los iconos y la deseabilidad de las marcas con eficiencia operativa e inversiones selectivas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ventas de 38.644 M EUR, margen operativo del 22,5 % y flujo de caja de 4.100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LVMH no publica guías numéricas: cada año repite el objetivo de reforzar su liderazgo mundial, imposible de verificar, así que la credibilidad se mide por los resultados, y estos caen desde 2023 (resultado operativo corriente de 22.802 M a 17.755 M EUR en 2025) [1, 37]. El equipo es estable y muy endogámico. Bianchi sustituyó a Belloni en 2024 y la rotación de febrero de 2025 llevó a Guiony a Moët Hennessy y a Cabanis a Finanzas [29, 30]. La sucesión es una cuestión familiar sin nombre anunciado: los cinco hijos están en el consejo o en el Comité Ejecutivo, al frente de Dior, Loro Piana y Moët Hennessy [1]. Además, en 2022 Agache pasó a ser una comanditaria cuyo socio comanditado es una sociedad de los cinco hijos a partes iguales [31]. El límite de edad de 85 años permite a Bernard Arnault, que tiene 77, seguir hasta 2034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adjunto de Moët Hennessy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Christian Dior SE; Imagen y Medio Ambiente en 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Delphine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Christian Dior Couture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Loro Piana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Dominique Aumont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Lydia Zune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 de Castries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 (presidente); 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Chassat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 Sun Christianson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Gaymard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Ariane Gorin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Marie-Josée Kravis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Natacha Valla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Hubert Védrine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ejercicio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659,70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familiar Arnault (Agache SCA, Christian Dior SE, Financière Agache y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66,39 % de los votos ejercitables a 30-6-2026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48,60 % (31-12-2023), 49,00 % (31-12-2024), 49,77 % (31-12-2025) y 50,21 % (30-6-2026) [1, 4]. Compró 2.506.379 acciones en 2025 a 550,59 EUR de media (1.380 M EUR) y 1.230.382 acciones entre el 28-1 y el 12-3-2026 por 659 M EUR [1,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los cuales Christian Dior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cotizada, 97,5 % del grupo familiar; 56,26 % de los votos a 31-12-2025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41,64 % (2023), 41,87 % (2024) y 42,17 % (2025) [1,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2.711.853 acciones a 30-6-2026,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0,19 % a 31-12-2024, 0,26 % a 31-12-2025 y 0,55 % a 30-6-2026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Caisse des Dépôts (CDC)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0,83 % de los votos, indirecto, a la fecha del URD</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 la baja y al alza el umbral estatutario del 1 % en 2025; la última vez, el 16-4-2025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900.000 accionistas según la encuesta de Euroclear de diciembre de 2025; 33,61 %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otro accionista declara el 5 % o más; consejo y Comité Ejecutivo tienen directamente el 0,9 % [1,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(PDG): entrega de acciones de rendimiento del plan de 27-10-2022,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Delphine, Antoine, Alexandre y Frédéric Arnault: entrega de acciones de rendimiento (1.696 + 482 + 352 + 352),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(vinculada a Bernard y a Frédéric Arnault): compras en mercado del 28 al 30-1-2026, a unos 546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(vinculada a Bernard Arnault): compras en mercado del 4 y el 5-2-2026, a unos 534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compras en mercado del 2 al 19-2-2026 (diez declaraciones), entre 525 y 545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(30.000) y Financière Agache (20.288): compras del 9 al 12-3-2026, entre 493 y 500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Ariane Gorin (consejera independiente): las 500 acciones que exigen los estatutos, a 480,09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Bernard Arnault devengó 7,94 M EUR: 1,14 M de fijo, 2,20 M de variable anual (idéntico al de 2024), 0,08 M como consejero, 0,04 M en especie y 4,48 M de acciones de rendimiento (7.675 acciones) [1]. El variable anual tiene un tope del 250 % del fijo. La mitad depende de ventas, resultado operativo y caja frente al presupuesto, con objetivos que no se publican; la otra mitad es estratégica (70 %) y de sostenibilidad (30 %) [1]. El 85 % de las acciones se consolida si mejora </w:t>
      </w:r>
      <w:r>
        <w:rPr>
          <w:b/>
        </w:rPr>
        <w:t xml:space="preserve">cualquiera</w:t>
      </w:r>
      <w:r>
        <w:t xml:space="preserve"> de tres indicadores (resultado operativo corriente, caja operativa libre o margen) en cada uno de dos años [1]. El listón es bajo: no hay ROIC ni TSR. No hay indemnización por cese, ni pacto de no competencia, ni cláusula de recuperación publicada [1]. La remuneración equivale a 15,5 veces el salario medio de LVMH Holding, la sociedad francesa de cabecera, no del grupo [1]. Las votaciones superan el 80 % a favor, pero, según una estimación propia, el rechazo llega al 76 % de los votos libres [25, 26, 27].</w:t>
      </w:r>
    </w:p>
    <w:p>
      <w:pPr>
        <w:pStyle w:val="Heading2"/>
      </w:pPr>
      <w:r>
        <w:t xml:space="preserve">Operaciones vinculadas, estructura de control y defensas</w:t>
      </w:r>
    </w:p>
    <w:p>
      <w:pPr>
        <w:spacing w:after="100"/>
      </w:pPr>
      <w:r>
        <w:t xml:space="preserve">El grupo familiar Arnault controla LVMH con el 50,21 % del capital y el 66,39 % de los votos [4]. Lo hace a través de Christian Dior SE y de Agache SCA, una comanditaria cuyo socio comanditado, desde 2022, es una sociedad de los cinco hijos a partes iguales [1, 31]. Las acciones nominativas con tres años de antigüedad votan doble [1]. El control decide la junta: con 489,9 M de votos de 642,6 M emitidos en 2026, la política de remuneración del PDG sale con el 81,9 %. </w:t>
      </w:r>
      <w:r>
        <w:rPr>
          <w:b/>
        </w:rPr>
        <w:t xml:space="preserve">Estimación propia</w:t>
      </w:r>
      <w:r>
        <w:t xml:space="preserve"> descontando esos votos: el 76,0 % de los votos libres emitidos fue en contra en 2026 (116,0 M de 152,7 M), el 70,2 % en 2025 y el 70,3 % en 2024 [1, 25, 26, 27]. Con las compras de 2026 incluidas sube al 76,6 %. Los convenios con Agache (1,58 M EUR) y las prestaciones cruzadas (18 M EUR facturados a Agache en 2025) son menores [1].</w:t>
      </w:r>
    </w:p>
    <w:p>
      <w:pPr>
        <w:pStyle w:val="Heading2"/>
      </w:pPr>
      <w:r>
        <w:t xml:space="preserve">Señales de alerta</w:t>
      </w:r>
    </w:p>
    <w:p>
      <w:pPr>
        <w:pStyle w:val="ListParagraph"/>
        <w:numPr>
          <w:ilvl w:val="0"/>
          <w:numId w:val="2"/>
        </w:numPr>
        <w:spacing w:after="60"/>
      </w:pPr>
      <w:r>
        <w:t xml:space="preserve">Rechazo de los minoritarios a la remuneración del PDG: según una estimación propia sobre los votos libres, el 76 % votó en contra en 2026, y el aprobado se sostiene solo con el voto doble del grupo familiar [25, 26, 27].</w:t>
      </w:r>
    </w:p>
    <w:p>
      <w:pPr>
        <w:pStyle w:val="ListParagraph"/>
        <w:numPr>
          <w:ilvl w:val="0"/>
          <w:numId w:val="2"/>
        </w:numPr>
        <w:spacing w:after="60"/>
      </w:pPr>
      <w:r>
        <w:t xml:space="preserve">Pignoraciones de acciones de los hijos en 2026: Antoine Arnault declaró en la AMF dos prendas sobre cuentas de valores (74.634 acciones el 25-3-2026 y 50.000 el 22-6-2026) y Delphine Arnault una (24.000 acciones el 2-6-2026) [28].</w:t>
      </w:r>
    </w:p>
    <w:p>
      <w:pPr>
        <w:pStyle w:val="ListParagraph"/>
        <w:numPr>
          <w:ilvl w:val="0"/>
          <w:numId w:val="2"/>
        </w:numPr>
        <w:spacing w:after="60"/>
      </w:pPr>
      <w:r>
        <w:t xml:space="preserve">Caso Squarcini: LVMH pagó una multa de interés público de 10 M EUR en la CJIP validada el 17-12-2021 por presunto tráfico de influencias entre 2008 y 2016, sin declaración de culpabilidad [32]; el exjefe de inteligencia fue condenado el 7-3-2025 a cuatro años (dos exentos de cumplimiento) por actividades en beneficio, entre otros, de Bernard Arnault, y anunció que recurriría [35].</w:t>
      </w:r>
    </w:p>
    <w:p>
      <w:pPr>
        <w:pStyle w:val="ListParagraph"/>
        <w:numPr>
          <w:ilvl w:val="0"/>
          <w:numId w:val="2"/>
        </w:numPr>
        <w:spacing w:after="60"/>
      </w:pPr>
      <w:r>
        <w:t xml:space="preserve">Administración judicial en Italia por explotación laboral en subcontratistas: Manufactures Dior (junio de 2024 a 28-2-2025) [33] y Loro Piana (2025, revocada antes de plazo el 17-4-2026, tras 2.400 auditorías y más de 100 proveedores dados de baja) [34].</w:t>
      </w:r>
    </w:p>
    <w:p>
      <w:pPr>
        <w:pStyle w:val="ListParagraph"/>
        <w:numPr>
          <w:ilvl w:val="0"/>
          <w:numId w:val="2"/>
        </w:numPr>
        <w:spacing w:after="60"/>
      </w:pPr>
      <w:r>
        <w:t xml:space="preserve">Hermès: el 29-5-2026 la fiscalía de París imputó al abogado suizo de la sociedad Dilico por presunta complicidad en abuso de confianza en el desvío de acciones de Hermès de Nicolas Puech; LVMH y su accionista no están investigados y niegan los hechos [36].</w:t>
      </w:r>
    </w:p>
    <w:p>
      <w:pPr>
        <w:pStyle w:val="ListParagraph"/>
        <w:numPr>
          <w:ilvl w:val="0"/>
          <w:numId w:val="2"/>
        </w:numPr>
        <w:spacing w:after="60"/>
      </w:pPr>
      <w:r>
        <w:t xml:space="preserve">Las acciones de rendimiento del PDG se consolidan con mejorar cualquiera de tres indicadores: el consejo dio por cumplida la condición financiera del plan de 2023 aunque el resultado operativo corriente bajó un 14 % en 2024 y un 9 % en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LVMH no da objetivos numéricos de ventas ni de margen. En los resultados del primer semestre (27-jul-26) se declaró «confiada» pese a un entorno «incierto» y prometió reforzar su liderazgo en 2026, sin cifras [8]. En el semestre facturó 38.600 M EUR, con un crecimiento orgánico del 3 % en el segundo trimestre (4 % sin el efecto del conflicto de Oriente Medio). El resultado operativo recurrente fue de 8.700 M EUR, un margen del 22,5 %. Pagará un dividendo a cuenta de 5,50 EUR el 3 de diciembre de 2026. La dirección subraya la «muy estrecha atención a los márgenes» y la desinversión de DFS, anunciada en enero de 2026 [4,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27 analistas, 8-oct-26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420,00 – 640,00</w:t>
            </w:r>
          </w:p>
        </w:tc>
      </w:tr>
    </w:tbl>
    <w:p>
      <w:pPr>
        <w:spacing w:after="160" w:before="0"/>
      </w:pPr>
    </w:p>
    <w:p>
      <w:pPr>
        <w:pStyle w:val="Heading2"/>
      </w:pPr>
      <w:r>
        <w:t xml:space="preserve">Revisiones de estimaciones</w:t>
      </w:r>
    </w:p>
    <w:p>
      <w:pPr>
        <w:spacing w:after="100"/>
      </w:pPr>
      <w:r>
        <w:t xml:space="preserve">El consenso de MarketScreener (27 analistas) espera para 2026 unas ventas de 80.586 M EUR (80.807 M en 2025), un resultado operativo recurrente de 17.485 M (17.755 M) y un BPA de 22,19 EUR (21,85 EUR) [39]. La recomendación media es «sobreponderar», con un precio objetivo medio de 526,49 EUR, entre 420 y 640 EUR, un 38 % por encima del precio [40]: los objetivos no han seguido la caída de la acción. Solo hay una fuente gratuita con estimaciones completas a tres años. </w:t>
      </w:r>
      <w:r>
        <w:rPr>
          <w:b/>
        </w:rPr>
        <w:t xml:space="preserve">Definición del EBITDA.</w:t>
      </w:r>
      <w:r>
        <w:t xml:space="preserve"> El del consenso para 2026e-2028e es NIIF 16 y mide lo mismo que el nuestro: la diferencia entre EBITDA y EBIT del consenso es de 6.830 M en 2026e (8,5 % de las ventas), en línea con las amortizaciones de 2025 incluidos los derechos de uso (6.523 M, 8,1 %) [2, 39]. La cifra histórica de 2025 del proveedor (25.756 M) es mayor que la nuestra (24.278 M) porque suma también las dotaciones a provisiones del estado de flujos; no se usa para los múltiplos.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LVMH pierde un 40 % en 2026 (de 645 a 380,9 EUR) frente al −2,7 % del CAC 40 y el −12,5 % del ETF de lujo mundial, con dividendos [38]. La peor sesión fue la del 28 de enero (−7,9 %), al día siguiente de publicar las cuentas de 2025 [38, 42]. En agosto y septiembre encadenó caídas: el 2 de septiembre marcó 439,55 EUR [42] y siguió cediendo hasta los 376 EUR del 2 de octubre, mínimo de 52 semanas [38]. La prensa lo atribuye a la debilidad del consumidor chino, a la rebaja de Bernstein de su previsión de crecimiento orgánico del sector para el tercer trimestre (del 6,3 % al 4,9 %) y al conflicto entre EE. UU. e Irán, que pesa sobre el turismo y la demanda en Oriente Medio [41]. Una parte es sectorial (Hermès también ha perdido cerca de un 40 % en el año), pero LVMH se queda 27,5 puntos por detrás del ETF de lujo. La beta mensual a cinco años es 1,40 frente al CAC 40 y 1,37 frente al Stoxx Europe 600. La AMF no ha publicado ninguna posición corta neta sobre LVMH por encima del umbral del 0,5 % del capital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a 380,90 EUR, LVMH cotiza a 8,63 veces el EBITDA de 2026e y 17,2 veces el beneficio, según MarketScreener [46]. Al cierre de 2024 y de 2025 los múltiplos equivalentes eran 12,7 y 13,5 veces el EBITDA y 25,3 y 29,5 veces el beneficio del año. El descuento no viene de un desplome de los beneficios: el consenso espera un BPA de 22,19 EUR en 2026 frente a 21,85 en 2025 [39]. Viene de la compresión del múltiplo de todo el lujo europeo: Hermès ha pasado de 28,4 a 16 veces el EBITDA en el mismo periodo [47]. El mercado descuenta que el crecimiento de 2015-2023, apoyado en China y en subidas de precio, no vuelve [41].</w:t>
      </w:r>
    </w:p>
    <w:p>
      <w:pPr>
        <w:pStyle w:val="Heading1"/>
      </w:pPr>
      <w:r>
        <w:t xml:space="preserve">18. Comparables cotizados</w:t>
      </w:r>
    </w:p>
    <w:p>
      <w:pPr>
        <w:pStyle w:val="Confianza"/>
        <w:spacing w:after="100"/>
      </w:pPr>
      <w:r>
        <w:t xml:space="preserve">Confianza: Media</w:t>
      </w:r>
    </w:p>
    <w:p>
      <w:pPr>
        <w:spacing w:after="100"/>
      </w:pPr>
      <w:r>
        <w:t xml:space="preserve">Ocho grupos europeos de lujo, bebidas espirituosas y cosmética, los negocios de LVMH: Hermès, Kering, Richemont, Moncler, Prada y Brunello Cucinelli en moda, marroquinería y joyería; Pernod Ricard en vinos y destilados; L'Oréal en perfumes y cosmética. Todos en NIIF. Diageo, Rémy Cointreau y Estée Lauder quedan fuera porque MarketScreener no dio sus cifras completas; Estée Lauder además usa US GAAP, con el alquiler dentro del EBITDA [47, 48, 49, 50, 51, 52, 53,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11,1x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12,4x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24,4x / 26,7x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3,8x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9,8 + 0,20 × crecimiento; R² = 0,08. El crecimiento explica poco los múltiplos de estos comparables (R² &lt; 0,3): la regresión no se usa en la valoración.</w:t>
      </w:r>
    </w:p>
    <w:p>
      <w:pPr>
        <w:spacing w:after="100"/>
      </w:pPr>
      <w:r>
        <w:t xml:space="preserve">Las ocho comparables se dividen en dos grupos. Hermès (15,6 veces el EBITDA de los próximos 12 meses), L'Oréal (16,7), Richemont y Brunello Cucinelli (12,8) cotizan con prima por crecimiento o por calidad de marca. Kering (8,3), Moncler (7,3), Prada (6,4) y Pernod Ricard (9,3) cotizan con descuento [47, 48, 49, 50, 51, 52, 53, 54]. MarketScreener sitúa a LVMH en 8,63 veces el EBITDA de 2026e y 17,2 veces el beneficio [46], junto a Kering y Pernod, pese a un margen EBITDA del 31,9 %, mayor que el de ambas. El PER de los próximos 12 meses de la mitad de las comparables va de 22 a 32 veces; el de LVMH ronda 16. Ojo: la deuda neta de MarketScreener no trata igual los arrendamientos en todas, así que el EV/EBIT es más fiable que el EV/EBITDA para comparar. Para la suma de partes, moda y marroquinería frente a Hermès, Kering, Prada y Moncler; vinos y destilados frente a Pernod; perfumes y cosmética frente a L'Oréal; relojería y joyería frente a Richemont.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(16.100 M USD, 13.100 M EUR en caja); precio de las acciones 13.574 M EUR más 1.199 M de deuda financiera neta y 1.788 M de arrendamientos asumidos. Ventas de 2021, primer año en el grupo: 4.321 M EUR; resultado operativo recurrente 778 M (EV/EBIT ≈ 21,3 veces). Estimación propia con la nota 2.3 de las cuentas de LVMH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USD por acción en caja: 2.600 M USD de valor de las acciones y 3.200 M USD de valor empresa (2.836 M EUR a 1,1285 USD/EUR del BCE). Ingresos de 572 M USD y EBITDA ajustado de 140 M USD en los 12 meses a 30-sep-18 [55, 63]. Hoteles, trenes y cruceros de lujo: negocio intensivo en activos inmobiliarios.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1.150 M EUR por el 100 % del capital, pagado la mitad en caja y la mitad en acciones nuevas de Moncler a 37,51 EUR. Ventas de 240 M EUR en 2020 con un margen EBITDA del 28 %. El múltiplo publicado es de 13,5 veces el EBITDA de 2021e; el de 17,1 veces el EBITDA de 2020 es estimación propia (1.150 / (240 × 28 %)). La cifra viene de la prensa italiana que recoge la nota de Moncler, que no se pudo abrir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 (Michael Kors, Versace, Jimmy Choo)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caja a 57,00 USD por acción; valor empresa de ≈8.500 M USD (7.714 M EUR a 1,1019 USD/EUR), 9 veces el EBITDA ajustado de los últimos 12 meses (7 con sinergias) y una prima del 59 % sobre la media ponderada de 30 días [56, 63]. Ventas de 5.619 M USD en el ejercicio a 1-abr-23 [57]. Excluida: la operación no llegó a cerrarse (Capri la cita como «fusión propuesta anteriormente» y «terminación del acuerdo») [59], y era moda accesible, no lujo.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Versace a Capri por un valor empresa de 1.250 M EUR (1.375 M USD a 1,098) libre de caja y deuda [58]. Versace facturó 821 M USD en el ejercicio a 29-mar-25 (1.030 M el anterior) y perdió dinero en el cuarto trimestre (pérdida operativa de 13 M USD), así que no hay múltiplo de EBITDA [59]. Es una compra de recuperación: 1,7 veces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 a 50 años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por Creed y las licencias a 50 años; L'Oréal pagará además regalías a Kering por las marcas licenciadas [61]. La nota no da ventas ni EBITDA del perímetro: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 FORD (marca)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2.800 M USD (2.691 M EUR a 1,0404); Estée Lauder paga ≈2.300 M USD neto de 250 M USD que aporta Marcolin, con 300 M USD aplazados [62, 63]. Compra de la marca, no de una empresa, con la moda y las gafas cedidas en licencia a Zegna y a Marcolin: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470,72 – 745,08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lujo con múltiplo publicado se pagaron a 1,7-5,6 veces ventas. En EBITDA, Belmond se pagó a 22,9 veces y Stone Island a ≈17 veces (13,5 sobre el EBITDA del año siguiente) [55, 60]. Capri, a 9 veces, era moda accesible y no se cerró [56]. Versace, en pérdidas, cambió de manos por 1,7 veces ventas [58, 59]: en una marca en reestructuración se paga la marca, no el beneficio. Tiffany, la mayor compra de LVMH, costó ≈3,8 veces sus ventas del primer año [3]. Ninguna operación sirve para valorar LVMH entera: con más de 80.000 M de ventas no hay comprador posible, y la familia Arnault controla el grupo. Valen para la suma de partes (joyería, moda y hoteles) y como señal de lo que se paga por una marca de lujo con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Modelamos cada grupo de negocio. 2026e cae un 2,9 %: el primer semestre bajó un 3 % (+2 % orgánico, −5 puntos de divisa, −1 de perímetro) [5] y el segundo suma la salida de DFS en Gran China, Los Ángeles, San Francisco y Okinawa. 2027e crece un 3,2 % (Distribución Selectiva aún −1 % por DFS) y 2028e-2030e entre el 5 % y el 5,5 %, en la banda del 4-6 % anual que Bain prevé para el lujo hasta 2035 [14] y por debajo del 5,9 % anual de LVMH en 2021-2025. Después converge al 3 % en 2035e. Nuestras ventas quedan un 3-4 % por debajo del consenso en 2026e-2028e porque descontamos la salida de DFS y la divisa [39]; el resultado operativo recurrente, solo un 1-2 % por debajo.</w:t>
      </w:r>
    </w:p>
    <w:p>
      <w:pPr>
        <w:keepNext/>
        <w:spacing w:after="100"/>
      </w:pPr>
      <w:r>
        <w:rPr>
          <w:b/>
          <w:bCs/>
        </w:rPr>
        <w:t xml:space="preserve">Márgenes.</w:t>
      </w:r>
    </w:p>
    <w:p>
      <w:pPr>
        <w:spacing w:after="100"/>
      </w:pPr>
      <w:r>
        <w:t xml:space="preserve">El margen EBITDA (NIIF 16, sin otros gastos operativos) sube del 30,0 % de 2025 al 31,9 % en 2030e, con un margen operativo recurrente del 23,8 %: a medio camino entre el 22,0 % de 2025 y el 26,5 % del pico de 2021-2023 [2], y por encima del 21 % de 2017-2019. Por grupos: Moda vuelve al 35,8 % (35,0 % en 2025, 39,9 % en 2023), Relojería y Joyería al 17 % (14,4 % en 2025, 19,8 % en 2023) y Vinos y Licores al 24 % (19,0 % en 2025, 31,9 % en 2023) [2]. Restamos un 0,2 % de las ventas por reestructuraciones recurrentes en caja. No proyectamos la vuelta al pico: el margen de 2021-2023 se apoyó en subidas de precio que el cliente aspiracional ya ha rechazado.</w:t>
      </w:r>
    </w:p>
    <w:p>
      <w:pPr>
        <w:keepNext/>
        <w:spacing w:after="100"/>
      </w:pPr>
      <w:r>
        <w:rPr>
          <w:b/>
          <w:bCs/>
        </w:rPr>
        <w:t xml:space="preserve">Inversión y circulante.</w:t>
      </w:r>
    </w:p>
    <w:p>
      <w:pPr>
        <w:spacing w:after="100"/>
      </w:pPr>
      <w:r>
        <w:t xml:space="preserve">Con los arrendamientos en la deuda, el capex incluye las inversiones operativas y las altas de derechos de uso. Las inversiones operativas fueron el 8,7 % de las ventas en 2023 (con compras de inmuebles en París), el 6,5 % en 2024, el 5,7 % en 2025 y el 5,3 % en el 1S26; las altas de derechos de uso, entre 3.500 y 4.600 M al año, un 4,3-5,3 % de las ventas [2, 4]. Proyectamos un capex total del 9,4 % en 2026e, del 10 % en 2029e-2030e y del 9,2 % en 2035e, frente a unas amortizaciones del 8,2-8,5 % (incluidos los derechos de uso, 3.091 M en 2025) [2]. El circulante se mantiene en el 23,5 % de las ventas (23,2 % en 2024-2025). El tipo impositivo es del 30 % en 2026e (el 1S26 lleva el recargo francés) y del 26 % a largo plazo (26,2 % en 2021 y 2023) [2, 4].</w:t>
      </w:r>
    </w:p>
    <w:p>
      <w:pPr>
        <w:keepNext/>
        <w:spacing w:after="100"/>
      </w:pPr>
      <w:r>
        <w:rPr>
          <w:b/>
          <w:bCs/>
        </w:rPr>
        <w:t xml:space="preserve">Coste del capital.</w:t>
      </w:r>
    </w:p>
    <w:p>
      <w:pPr>
        <w:spacing w:after="100"/>
      </w:pPr>
      <w:r>
        <w:t xml:space="preserve">WACC del 9,25 %. Tasa libre: el Bund a 10 años, 3,57 % el 8-oct-26 (Bundesbank) [45]; no añadimos prima país, porque LVMH vende el 92 % fuera de Francia y en mercados desarrollados en su mayoría. Beta de 1,25: la ajustada mensual a cinco años frente al Stoxx Europe 600 (1,25; 1,27 frente al MSCI Europe). Frente al CAC 40 sale 1,40 y frente al Euro Stoxx 50 1,28, pero LVMH pesa cerca del 10 % en esos índices; frente a los ETF de lujo, 0,98-1,14, también sesgada porque LVMH es su mayor valor [38]. Prima de mercado del 5,5 %: coste de los fondos propios del 10,45 %. Coste de la deuda del 4,0 % antes de impuestos (estimación propia: el Bund más el diferencial de un emisor Aa3/AA-) [6], y un 16 % de deuda (bonos, pagarés y arrendamientos) sobre el valor de mercado.</w:t>
      </w:r>
    </w:p>
    <w:p>
      <w:pPr>
        <w:keepNext/>
        <w:spacing w:after="100"/>
      </w:pPr>
      <w:r>
        <w:rPr>
          <w:b/>
          <w:bCs/>
        </w:rPr>
        <w:t xml:space="preserve">Valor terminal.</w:t>
      </w:r>
    </w:p>
    <w:p>
      <w:pPr>
        <w:spacing w:after="100"/>
      </w:pPr>
      <w:r>
        <w:t xml:space="preserve">Crecimiento a perpetuidad del 2,5 %: inflación de la zona euro del 2 % más medio punto real, por debajo del Bund menos medio punto (3,07 %). Equivale a 7,6 veces el EBITDA de salida, por debajo de las 8,5 veces a las que cotiza hoy el grupo y de las 13-18 de 2021-2025 (cierre de cada año): el valor terminal no descuenta una vuelta a los múltiplos históricos. El valor terminal pesa un 58 % del valor. No usamos un DCF de tres etapas: el ROIC de 2025 (12,7 %) supera al WACC en menos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469,39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 (base: 32,2 %)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9,3 %)</w:t>
            </w:r>
          </w:p>
        </w:tc>
      </w:tr>
    </w:tbl>
    <w:p>
      <w:pPr>
        <w:spacing w:after="160" w:before="0"/>
      </w:pPr>
    </w:p>
    <w:p>
      <w:pPr>
        <w:spacing w:after="100"/>
      </w:pPr>
      <w:r>
        <w:t xml:space="preserve">El DCF da 372,60 EUR por acción, −2,2 % frente al precio, con un WACC del 9,25 % y un 58 % del valor en el terminal. El DCF inverso dice que el precio de 380,90 EUR descuenta un crecimiento anual del 4,6 % en 2027e-2035e con nuestros márgenes, frente al 4,2 % de nuestro caso base, o un margen EBITDA final del 32,6 % frente a nuestro 32,2 %. La rentabilidad anual implícita en el precio es del 9,1 %. Leído así, el mercado no exige nada extraordinario: un crecimiento algo inferior al del 2021-2025 (5,9 %) y al previsto para el lujo (4-6 %), y un margen operativo recurrente de unos 24 puntos, por debajo del 26,5 % de 2021-2023. Tampoco regala nada: con nuestro coste de capital (beta 1,25 y prima del 5,5 %) LVMH vale lo que cotiza. La diferencia está en la tasa: con la prima implícita del mercado (4,2 %) el WACC baja al 7,88 % y el DCF sube a 485,49 EUR. El precio ofrece un 9,1 % anual a quien crea en el caso base, más de lo que hoy pide el mercado a un valor de su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2024-2025: China y el cliente aspiracional de EE. UU. vuelven a caer en 2027 (ventas −4 %, margen 3,5 puntos menor, como en 2024) y la recuperación posterior es lenta, con un crecimiento 1,5 puntos inferior y un margen 2 puntos por debajo del caso base en todos los años: el margen operativo recurrente se queda en el 21-22 %, el de 2017-2019 y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crece un 4-6 % anual desde 2027, Moda recupera volumen con la renovación creativa sin nuevas subidas agresivas de precio, Vinos y Licores sale del fondo y Tiffany mejora margen. El margen operativo recurrente sube al 23,8 % en 2030e, entre el de 2025 y el pico de 2021-2023.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como la de 2021-2023 pero más suave: China y Japón vuelven al crecimiento de dos dígitos, Dior y Celine ganan cuota y el margen operativo recurrente se acerca al 25,5 %, aún por debajo del pico del 26,5 %. Crecimiento 1,5 puntos superior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370,72 EUR (-2,7 %).</w:t>
      </w:r>
    </w:p>
    <w:p>
      <w:pPr>
        <w:spacing w:after="100"/>
      </w:pPr>
      <w:r>
        <w:t xml:space="preserve">La asimetría con nuestro coste de capital es de 0,78 veces: el alcista gana un 23,1 % (469,01 EUR) y el bajista pierde un 29,5 % (268,68 EUR). No compensa por sí sola: el bajista es verosímil porque ya ocurrió en 2024-2025, cuando el margen cayó 4,5 puntos en dos años [2]. Con la prima implícita del mercado la asimetría pasa a 6,92 veces (alcista 623,04 EUR, bajista 345,93 EUR): el bajista queda por debajo del precio, pero mucho menos, porque una tasa de descuento menor pesa más sobre el valor terminal. Ponderamos un 25 % cada extremo.</w:t>
      </w:r>
    </w:p>
    <w:p>
      <w:pPr>
        <w:pStyle w:val="Heading1"/>
      </w:pPr>
      <w:r>
        <w:t xml:space="preserve">22. Suma de partes</w:t>
      </w:r>
    </w:p>
    <w:p>
      <w:pPr>
        <w:pStyle w:val="Confianza"/>
        <w:spacing w:after="100"/>
      </w:pPr>
      <w:r>
        <w:t xml:space="preserve">Confianza: Media</w:t>
      </w:r>
    </w:p>
    <w:p>
      <w:pPr>
        <w:spacing w:after="100"/>
      </w:pPr>
      <w:r>
        <w:t xml:space="preserve">LVMH reúne negocios con perfiles distintos y la suma de partes lo hace visible. Moda y Marroquinería aporta 196.650 M de valor empresa antes del descuento, unas tres cuartas partes del total; Relojería y Joyería, 27.420 M; Distribución Selectiva, 20.713 M; Vinos y Licores, 12.793 M, y Perfumes y Cosmética, 11.494 M. Aplicamos un 10 % de descuento de conglomerado por el control familiar y el rechazo de los minoritarios a la remuneración [1]. El resultado es de 419,10 EUR por acción, +10,0 % sobre el precio. El mercado valora hoy el grupo entero a 12,5 veces el EBIT de los últimos 12 meses, menos que cualquiera de sus pares de moda salvo Moncler y Prada [50, 51]: o descuenta un descuento de conglomerado mayor, o duda de que Louis Vuitton y Dior recuperen crecimiento. Los múltiplos se aplican al resultado de 2027e, que recoge ya la salida de DFS y Marc Jacobs.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Dior, Loro Piana y Celine: margen del 34-35 %, entre Hermès (41 %) y Prada o Moncler (23-29 %) [2, 15]. 15 veces el EBIT de los próximos 12 meses, la mediana de Hermès (17,5x), Kering (15,4x), Prada (11,1x), Moncler (10,2x) y Cucinelli (22,3x) [47, 48, 50, 51, 52].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en el fondo del ciclo (margen del 19 % en 2025 frente al 32 % de 2023) [2]. Pernod Ricard cotiza a 10,7 veces el EBIT [53]; se valora el 100 % y el 34 % de Diageo se resta en el puente como compromiso de compra.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cotiza a 19,7 veces el EBIT [54], pero con un margen del 20 % frente al 9-10 % de este grupo, que vende en buena parte a mayoristas [2]; Estée Lauder, el par más parecido, no se pudo documentar. 14 veces, con descuento sobre L'Oréal.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y Bvlgari: Richemont, su comparable directo, cotiza a 16,5 veces el EBIT de los próximos 12 meses con un margen del 20 % [49]; aquí el margen es del 14-16 % [2], de ahí el descuento.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Sephora y Le Bon Marché, sin DFS a partir de 2027: distribución con margen del 10-11 % [2]. Ulta no se pudo documentar; 11 veces, en línea con los grupos de margen medio de la muestra (Pernod 10,7x, Prada 11,1x) [51, 53].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actividades y holding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medios (Les Echos, Le Parisien), Belmond y Royal Van Lent netos: se capitalizan al múltiplo medio del grupo.</w:t>
            </w:r>
          </w:p>
        </w:tc>
      </w:tr>
    </w:tbl>
    <w:p>
      <w:pPr>
        <w:spacing w:after="160" w:before="0"/>
      </w:pPr>
    </w:p>
    <w:p>
      <w:pPr>
        <w:spacing w:after="100"/>
      </w:pPr>
      <w:r>
        <w:rPr>
          <w:b/>
          <w:bCs/>
        </w:rPr>
        <w:t xml:space="preserve">Valor por acción por suma de partes:</w:t>
      </w:r>
      <w:r>
        <w:t xml:space="preserve"> 419,10 (+10,0 %); con ±1x en los múltiplos, 347,20 – 491,01.</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410,00 EUR (+7,6 % sobre 380,90).</w:t>
      </w:r>
    </w:p>
    <w:p>
      <w:pPr>
        <w:spacing w:after="100"/>
      </w:pPr>
      <w:r>
        <w:t xml:space="preserve">El DCF pesa un 40 %: LVMH tiene historia larga, márgenes publicados por grupo y un balance sencillo, así que es el método más controlable. La suma de partes pesa un 25 %, porque sus cinco grupos tienen comparables distintos y permite ver qué paga el mercado por Moda. Los comparables pesan solo un 15 %: la muestra es frágil (la mediana del EV/EBITDA va de 9,3 a 12,8 veces según qué empresa se quite) y Hermès o Cucinelli no son el mismo negocio. Los escenarios, un 20 %, recogen la asimetría. Las transacciones no pesan: llevan prima de control y LVMH no es comprable. La dispersión es grande: DCF 372,60 EUR, escenarios 370,72 EUR, suma de partes 419,10 EUR y comparables 546,94 EUR. Los métodos de mercado (comparables, múltiplos históricos y transacciones) dan más que los de flujos: LVMH cotiza a 9,1 veces el EBITDA de los últimos 12 meses, en mínimo de cinco años (13,4-17,6 veces a cierre de 2021-2025). El valor objetivo, 410,00 EUR, se apoya en los flujos.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del 2T (+3 % orgánico; Moda +1 %). Bernstein rebajó al 4,9 % su previsión del sector para el trimestre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5,50 EUR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3,4 %; sin riesgo de recorte visible: el flujo libre cubrió 1,75 veces el dividendo en 2025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DFS (Los Ángeles, San Francisco, Okinawa) y de Marc Jacobs [4,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perímetro de bajo margen; caja de la venta y menos ruido en Distribución Selectiva.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complementario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las nuevas colecciones de Dior (Jonathan Anderson) y Celine; dirá si el margen de Moda se estabiliza en el 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Sección 301 de EE. UU. al 10 % desde el 24-7-2026 y antidumping de China al brandy europeo hasta 2030 [13,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exención para los licores europeos, como la del whisky británico, aliviaría a Hennessy; una subida al 15 % o más restaría margen a Vinos y Licores.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del PDG: en 2026 el 76 % de los votos libres fue en contra (estimación propia) [25]; cualquier paso en la sucesión de Bernard Arnault (77 años; límite de edad de 85).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Moda y Marroquinería: el cliente aspiracional no vuelve y el rico prefiere marcas más exclusivas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con 2 puntos menos de margen EBITDA en todos los años (332,20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creativa en Dior, Celine, Loewe y Givenchy; Louis Vuitton mantuvo un margen de grupo del 34,1 % en el 1S26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Moda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demanda china y del turismo (Oriente Medio,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−29,5 % en el escenario bajista (268,68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volvió a crecer (+4 % orgánico en el 2T26) y EE. UU. aceleró (+6 %)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en negativo en las ventas del 3T26 o del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el 80 % de las ventas se factura fuera del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divisa restó 1.065 M al resultado recurrente de 2025 (6 %) y 686 M en el 1S26 [2,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flujos comerciales a 12-18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sobre coñac y lujo europeo (EE. UU.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Vinos y Licores es el 6 % del resultado recurrente; un margen 5 puntos menor restaría unos 270 M de EBIT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precio mínimo de Hennessy en China [22]; producción local de Moët Hennessy en EE. UU. solo para vinos espumosos.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estadounidense a licores de la UE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sucesión: control familiar con voto doble, remuneración rechazada por los minoritarios y sucesión sin nombre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Justifica el 10 % de descuento de conglomerado de la suma de partes (≈ 53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(659 M EUR entre enero y marzo de 2026, a 534-546 EUR) y los cinco hijos están en el consejo o al frente de casas [1,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director general delegado de fuera de la familia o salida de un hijo de su casa.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beta alta (1,25-1,40) y los tipos europeos suben (Bund al 3,57 %)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con medio punto más de WACC (342,02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Aa3/AA- y deuda financiera neta de solo 8.245 M [4,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en la cadena de suministro italiana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cuentas hasta hoy; el riesgo es de marca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Administraciones judiciales de Dior y Loro Piana levantadas antes de plazo, con 2.400 auditorías [33,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expediente en Milán contra una casa del grupo.</w:t>
            </w:r>
          </w:p>
        </w:tc>
      </w:tr>
    </w:tbl>
    <w:p>
      <w:pPr>
        <w:spacing w:after="160" w:before="0"/>
      </w:pPr>
    </w:p>
    <w:p>
      <w:pPr>
        <w:pStyle w:val="Heading2"/>
      </w:pPr>
      <w:r>
        <w:t xml:space="preserve">Pre-mortem</w:t>
      </w:r>
    </w:p>
    <w:p>
      <w:pPr>
        <w:spacing w:after="100"/>
      </w:pPr>
      <w:r>
        <w:t xml:space="preserve">Octubre de 2029: LVMH vale 230 EUR. La historia empieza en el primer semestre de 2027. La recuperación del segundo trimestre de 2026 resultó ser rebote técnico: China volvió a caer con la debilidad inmobiliaria y el turista chino no regresó a Europa. En EE. UU., la subida de tipos del BCE y la Fed enfrió al cliente aspiracional, que ya había dejado de comprar en 2024. Louis Vuitton, que había subido mucho los precios desde 2021, tuvo que elegir entre volumen y margen y eligió el margen: las ventas de Moda cayeron un 4 % en 2027 y el margen del grupo bajó al 20 %, el de 2019. Las nuevas direcciones creativas de Dior y Celine gustaron a la crítica, pero no compensaron la caída del bolso de entrada. Al mismo tiempo, el euro se apreció hasta 1,30 dólares y restó otros 1.500 M al resultado. El mercado dejó de ver a LVMH como un compuesto de calidad y la pasó a cotizar como un cíclico de consumo, a 7 veces el EBITDA. La sucesión, sin nombre, añadió un descuento. Los indicadores que lo habrían anticipado: dos trimestres seguidos de crecimiento orgánico negativo en Moda, un margen semestral por debajo del 21 % y existencias creciendo más que las ventas (+43 % frente a +32 % en 2021-2024 ya fue un aviso) [2, 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(triple A según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el índice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rPr>
          <w:b/>
        </w:rPr>
        <w:t xml:space="preserve">Cadena de suministro y trabajo</w:t>
      </w:r>
      <w:r>
        <w:t xml:space="preserve">: es el riesgo que ya ha tocado las cifras y la marca. LVMH recibió 1.145 alertas en 2025, 64 de proveedores, y desde 2025 audita más de cerca a sus socios estratégicos [1]. </w:t>
      </w:r>
      <w:r>
        <w:rPr>
          <w:b/>
        </w:rPr>
        <w:t xml:space="preserve">Trazabilidad de materias primas</w:t>
      </w:r>
      <w:r>
        <w:t xml:space="preserve">: el país de origen se conoce para el 98 % de la piel ovina y bovina, el 99,9 % de la piel exótica, el 92 % de la lana y cachemir y el 89 % del algodón, con objetivo del 100 %; el 100 % de los diamantes procede de proveedores certificados por el RJC [1]. </w:t>
      </w:r>
      <w:r>
        <w:rPr>
          <w:b/>
        </w:rPr>
        <w:t xml:space="preserve">Clima</w:t>
      </w:r>
      <w:r>
        <w:t xml:space="preserve">: 6,07 millones de t CO2e en 2025 (alcances 1-3, por ubicación), un 12 % menos que en 2023, y 75 t por millón de euros de ingresos; la trayectoria está validada por SBTi [1]. Solo el 6,8 % de la inversión (524 M EUR) está alineada con la taxonomía europea, casi toda en edificios eficientes [1].</w:t>
      </w:r>
    </w:p>
    <w:p>
      <w:pPr>
        <w:pStyle w:val="Heading2"/>
      </w:pPr>
      <w:r>
        <w:t xml:space="preserve">Controversias</w:t>
      </w:r>
    </w:p>
    <w:p>
      <w:pPr>
        <w:spacing w:after="100"/>
      </w:pPr>
      <w:r>
        <w:t xml:space="preserve">En junio de 2024 un tribunal de Milán puso en administración judicial a Manufactures Dior Srl por las condiciones laborales de dos subcontratistas; duró ocho meses en vez de doce. La autoridad italiana de competencia cerró en mayo de 2025 su expediente sin hallar infracción, a cambio de compromisos y de 2 M EUR en cinco años para víctimas de explotación laboral [1]. En julio de 2025 Loro Piana pasó a administración judicial por proveedores de segundo y tercer nivel no declarados; la siguiente vista era en febrero de 2026. En diciembre de 2025 Givenchy entregó documentos a la policía de Milán [1]. La empresa no ve procedimientos con impacto significativo en sus cuentas [1,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orgánico de Louis Vuitton y Dior en el 2T26 vino de precio y cuánto de unidades, y qué subida media de precios prevén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Moda cayó del 39,9 % al 35,0 % en dos años; si el crecimiento es solo precio, la recuperación del volumen no ha empezado.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26.303 M de existencias brutas y de su provisión del 13,9 % corresponde a Moda y a coñac, y cuánto envejecido se destruirá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crecieron más que las ventas en 2021-2024 [2]; una depuración costaría margen y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Opción de Diageo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Diageo sobre su 34 % de Moët Hennessy y a qué valor? ¿Por qué el compromiso bajó de 11.919 M en 2023 a 6.331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pasivo de 6.416 M en el puente [4]; su ejercicio costaría caja o daría una referencia de valor para Vinos y Licores.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PDG y qué papel tendrá la sociedad de los cinco hijos que controla Agache?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límite de edad en 85 años, Bernard Arnault puede seguir hasta 2034 sin un sucesor nombrado [1, 31].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el consejo introducir ROIC o rentabilidad para el accionista en las acciones de rendimiento, tras el rechazo del 76 % de los votos libres?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basta con que mejore uno de tres indicadores [1]; el ROIC ha caído del 20 % al 12,7 %.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Tiffany y cuándo recuperará el 19-20 % que tenía Relojería y Joyería antes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3,8 veces ventas y el grupo pasó del 19,8 % al 14,4 % de margen sin deterioros [2,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las inversiones operativas de 2023-2025 (17.576 M) fue en inmuebles comerciales y cuál es el capex de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capex excluidas las altas de derechos de uso bajó del 8,7 % al 5,7 % de las ventas; saber cuál es el normal cambia el DCF.</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66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23,2 % real: genera una variación de circulante de -335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Los comparables de lujo cotizan por calidad de marca y margen, no por crecimiento a 12 meses (Hermès a 15,6x el EBITDA con un crecimiento inferior al de Richemont):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9,3x a 12,8x según qué comparable se quite (420,31 a 601,17 por acción): la muestra es frágil; explícalo y no le des mucho peso. Explicación: La muestra mezcla Hermès, Cucinelli y L'Oréal (múltiplos altos) con Prada, Moncler y Kering (bajos). Por eso los comparables pesan solo un 15 % y la valoración relativa se apoya en la suma de partes por grupo de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documentos de lvmh.com (gestor de contenidos): solo presentaciones y notas de prensa, sin transcripción; 2) presentación y nota de prensa del 1S26: no recogen el turno de preguntas; 3) búsqueda web sin resultado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presentaciones de LVMH: no publican el consenso previo; 2) informe semestral 1S26: tampoco; 3) MarketScreener solo publica el consenso vigente, no el previo a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Conferencias de ventas del 1T26 (abril) y de resultados de 2025 (enero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índice de lvmh.com por «first quarter», «revenue» y «2025 results»: no aparecen las notas de 2026; 2) se usaron las cuentas de 2025 (27-ene-26) y el anexo trimestral de la nota del 1S26 (1T26 +1 % orgánico);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2024: solo trimestral (3T -3 %, 4T +1 %); 2) cuentas 2025: no lo dan por semestres para 2024; 3) informe semestral 1S25: solo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por grupo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2023: solo compara 2023 con 2022; 2) presentación de resultados 2022 (lvmh.com): PDF escaneado sin texto;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15.3 de las cuentas 2025: solo el total y su desglose por naturaleza; 2) URD 2025 y presentación 1S26: no lo separan; 3) aproximado con las amortizaciones sin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Tiffany, Belmond y Rimowa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URD 2019 y 2023: no publican EBITDA de la adquirida; 2) URD 2025: no las menciona;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de sostenibilidad: cita Sustainalytics, S&amp;P Global, CDP y FTSE4Good, pero no MSCI; 2) búsqueda web de la calificación MSCI de LVMH: solo agregadores secundarios sin fecha (knowesg); 3) página pública de Sustainalytics/MSCI: sin datos legibles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de bienes personales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Deloitte Global Powers of Luxury Goods: la página pública solo da la edición de 2022 (FY2021); 2) McKinsey/Euromonitor: no abiertos por límite de búsquedas; 3) contraste con la suma de ingresos publicados de los cinco primeros grupos (125.900 M EUR, 35 % del mercado de Bain) y con dos ediciones distintas de Bain (dic-2025 y jun-2026)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Bianchi, Cabanis, Guiony y Beccari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 de consejeros (solo consejeros) y total agregado del Comité Ejecutivo y el consejo (0,9 %); 2) AMF BDIF: ninguna declaración suya entre octubre de 2025 y junio de 2026; 3) informe semestral de 2026 y notas de nombramiento de LVMH: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el objetivo cualitativo para 2026; 2) URD 2024: mismo objetivo cualitativo para 2025, sin cifras; 3) no hay guía numérica que contrastar: LVMH repite cada año el objetivo de reforzar su liderazgo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exactos del grupo familiar en cada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no separan el voto del control; 2) URD 2025 §3.2: votos ejercitables del grupo familiar a 31-12-2023, 2024 y 2025; 3) informe semestral de 2026: votos a 30-6-2026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comprar/mantener/vender)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recomendación media, número de analistas y precios objetivo; 2) MarketScreener, finanzas: sin desglose; 3) no se abrió Investing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desglose; una sola fuente de estimaciones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Estée Lauder, Rémy Cointreau, Ulta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Diageo: sin EBIT, BPA ni capitalización en la extracción; 2) MarketScreener, Estée Lauder: solo resumen cualitativo; 3) Rémy y Ulta no se intentaron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Omitidos; la tabla queda con ocho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lo da en las páginas abiertas; 2) Stock Analysis no se abrió; 3) calcularlo requería las cuentas de cada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Kering-Valentino (30 %, jul-2023) y Mytheresa-YNAP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kering.com no abre con WebFetch y no se encontró la URL directa de la nota; 2) búsqueda web: solo prensa con el precio (1.700 M EUR por el 30 %), sin las cuentas de Valentino; 3) no se intentó con el documento de registro de Kering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oficial de Moncler sobre Stone Island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de monclergroup.com: redirige a la portada; 2) informe anual de 2020 de Moncler: 403 y redirección; 3) prensa italiana (Trend Online, 7-dic-20) con las cifras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prensa; múltiplo de 2020 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Documents - December 31, 2025 (cuentas consolidadas 2025 con comparativos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https://lvmh-com.cdn.prismic.io/lvmh-com/68yUok3lubOY0jf__LVMH_2026FirsthalfResults_Presentation.pdf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base del programa EMTN (actualización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https://lvmh-com.cdn.prismic.io/lvmh-com/lrXeDrknRDAwh5DD_LVMH2026EMTNUpdate-BaseProspectus-Final-.pdf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https://lvmh-com.cdn.prismic.io/lvmh-com/aIJQNlGsbswqTOVX_LVMH_2025Firsthalffinancialreport.pdf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https://lvmh-com.cdn.prismic.io/lvmh-com/HpVUWE8YyscbnlXI_LVMH2026HalfYearResults_Pressrelease.pdf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anuales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https://lvmh-com.cdn.prismic.io/lvmh-com/Z5kE7pbqstJ998yU_PressRelease-LVMHAnnualresults2024.pdf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(adquisiciones de Christian Dior Couture, Rimowa y Belmond)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https://lvmh-com.cdn.prismic.io/lvmh-com/ZmGhh5m069VX1gsa_lvmh-urd-2019-va.pdf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(hitos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https://www.lvmh.com/en/our-group/history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 welcomes US tariff exemption for UK whiskies and calls for extension to EU spirits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https://spirits.eu/upload/files/pressrelease/PR-09-2026-spiritsEUROPE%20welcomes%20US%20tariff%20exemption%20for%20UK%20whiskies%20and%20calls%20for%20extension%20to%20EU%20spirits%20-%2024.07.pdf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Reprieve for Cognac giants and travel retailers despite Chinese imposition of five-year anti-dumping duties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https://moodiedavittreport.com/reprieve-for-cognac-giants-and-travel-retailers-despite-chinese-imposition-of-five-year-anti-dumping-duties/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informe anual 2025-26: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23, 2026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https://lvmh-com.cdn.prismic.io/lvmh-com/aetAfMBOoF08xRlA_LVMH_Consolidatedvotingresults_EN_AG2026.pdf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17, 2025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https://lvmh-com.cdn.prismic.io/lvmh-com/aAJOv-vxEdbNPOYL_LVMH_Consolidatedvotingresults_EN_AG2025.pdf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18, 2024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https://lvmh-com.cdn.prismic.io/lvmh-com/ZnKkR5m069VX132M_lvmh_consolidated-voting-results_en_ag2024.pdf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(art. L.621-18-2 CMF) sobre LVMH: 27 declaraciones del 28-10-2025 al 23-6-2026 (2025DD1065851 a 2026DD1122439)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https://bdif.amf-france.org/back/api/v1/informations?TypesInformation=DD&amp;Jetons=RS00001689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Developments within the LVMH Group (salida de Toni Belloni y funciones de Stéphane Bianchi)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https://www.lvmh.com/en/publications/developments-within-the-lvmh-group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(Jean-Jacques Guiony a Moët Hennessy, Cécile Cabanis directora financiera, Alexandre Arnault y Maud Alvarez-Pereyre)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https://www.lvmh.com/en/publications/appointments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Décision et information 222C2657: franchissements de seuils Christian Dior / LVMH por Agache Commandité (reorganización de Agache en SCA)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https://echanges.dila.gouv.fr/OPENDATA/AMF/307/8888/01/FC307467632_20221213.pdf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procureure de la République: CJIP conclue avec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Parquet du tribunal judiciaire de Paris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https://www.justice.gouv.fr/sites/default/files/2023-05/Communique_LVMH_CJIP%20.pdf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Revocata l'amministrazione giudiziaria nei confronti di Manufactures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Fatto Quotidiano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https://www.ilfattoquotidiano.it/2025/02/28/percorso-virtuoso-in-tempi-rapidi-revocata-lamministrazione-giudiziaria-nei-confronti-di-manufactures-dior/7895472/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si conclude in anticipo il procedimento di amministrazione giudiziaria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https://www.milanofinanza.it/fashion/loro-piana-si-conclude-in-anticipo-il-procedimento-di-amministrazione-giudiziaria-202604171313344253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L'ancien patron du renseignement intérieur français condamné pour activités illicites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Libre Belgique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https://www.lalibre.be/international/europe/2025/03/07/lancien-patron-du-renseignement-interieur-francais-condamne-pour-activites-illicites-VXZ4XLYB5NC4VLPY2TAWXKER6M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la justice française relance le dossier de la montée de LVMH au capital d'Hermès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https://www.tradingsat.com/lvmh-FR0000121014/actualites/lvmh-la-justice-francaise-relance-le-dossier-de-la-montee-de-lvmh-au-capital-d-hermes-1164057.html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(perspectivas para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https://lvmh-com.cdn.prismic.io/lvmh-com/Z-PY3HdAxsiBv6wN_UniversalRegistrationDocument2024.pdf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MC.PA, CAC.PA, GLUX.PA, LUXU.PA, IMEU.AS, EXSA.DE, ^FCHI, ^STOXX50E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plummets to six-year low amid Chinese market contraction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https://parameter.io/lvmh-lvmhf-stock-plummets-to-six-year-low-amid-chinese-market-contraction/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Price Hits 14-month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https://tradingeconomics.com/mc:fp/news/580358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calendario de eventos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to shareholders, July 2026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https://www.lvmh.com/static/letter-to-shareholders-july-2026/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(estructura temporal, método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tabla de valoración (capitalización, valor empresa,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datos XBRL de los 10-K (ingresos del ejercicio a 1-abr-23)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2026 Q3 Revenue (12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92,1 %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la acción ordinaria de Euronext París (MC); no hay otras clases cotizadas. Cuentas en euros, NIIF-UE; la acción cotiza en euros. Con NIIF 16, el EBITDA excluye los alquileres fijos, los pasivos por arrendamiento (16.261 M a 30-jun-26) van en la deuda del puente y el capex del DCF incluye las altas de derechos de uso; los alquileres variables ligados a ventas (2.184 M en 2025) siguen dentro del EBITDA. Los compromisos de compra de minoritarios (6.416 M, sobre todo la opción de venta de Diageo por el 34 % de Moët Hennessy) se tratan como deuda, porque el 34 % de Diageo ya no figura en los minoritarios contables. LVMH publica ventas trimestrales y resultados semestrales: la sección de resultados recientes usa semestres. El consenso procede de un solo proveedor gratuito (MarketScreener), sin desglose de recomendaciones. LVMH no publica transcripciones de sus conferencias. La desinversión de DFS (Gran China en marzo de 2026; Los Ángeles, San Francisco y Okinawa en el segundo semestre) y la venta acordada de Marc Jacobs cambian el perímetro de Distribución Selectiva y de Moda en 2026-2027.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LVMH Moët Hennessy Louis Vuitton SE (MC)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Vinos y Licores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5974</c:v>
                </c:pt>
                <c:pt idx="1">
                  <c:v>7099</c:v>
                </c:pt>
                <c:pt idx="2">
                  <c:v>6602</c:v>
                </c:pt>
                <c:pt idx="3">
                  <c:v>5862</c:v>
                </c:pt>
                <c:pt idx="4">
                  <c:v>5358</c:v>
                </c:pt>
              </c:numCache>
            </c:numRef>
          </c:val>
        </c:ser>
        <c:ser>
          <c:idx val="1"/>
          <c:order val="1"/>
          <c:tx>
            <c:strRef>
              <c:f>Hoja1!$C$1</c:f>
              <c:strCache>
                <c:ptCount val="1"/>
                <c:pt idx="0">
                  <c:v>Moda y Marroquinería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30896</c:v>
                </c:pt>
                <c:pt idx="1">
                  <c:v>38648</c:v>
                </c:pt>
                <c:pt idx="2">
                  <c:v>42169</c:v>
                </c:pt>
                <c:pt idx="3">
                  <c:v>41060</c:v>
                </c:pt>
                <c:pt idx="4">
                  <c:v>37770</c:v>
                </c:pt>
              </c:numCache>
            </c:numRef>
          </c:val>
        </c:ser>
        <c:ser>
          <c:idx val="2"/>
          <c:order val="2"/>
          <c:tx>
            <c:strRef>
              <c:f>Hoja1!$D$1</c:f>
              <c:strCache>
                <c:ptCount val="1"/>
                <c:pt idx="0">
                  <c:v>Perfumes y Cosmética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6608</c:v>
                </c:pt>
                <c:pt idx="1">
                  <c:v>7722</c:v>
                </c:pt>
                <c:pt idx="2">
                  <c:v>8271</c:v>
                </c:pt>
                <c:pt idx="3">
                  <c:v>8418</c:v>
                </c:pt>
                <c:pt idx="4">
                  <c:v>8174</c:v>
                </c:pt>
              </c:numCache>
            </c:numRef>
          </c:val>
        </c:ser>
        <c:ser>
          <c:idx val="3"/>
          <c:order val="3"/>
          <c:tx>
            <c:strRef>
              <c:f>Hoja1!$E$1</c:f>
              <c:strCache>
                <c:ptCount val="1"/>
                <c:pt idx="0">
                  <c:v>Relojería y Joyería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8964</c:v>
                </c:pt>
                <c:pt idx="1">
                  <c:v>10581</c:v>
                </c:pt>
                <c:pt idx="2">
                  <c:v>10902</c:v>
                </c:pt>
                <c:pt idx="3">
                  <c:v>10577</c:v>
                </c:pt>
                <c:pt idx="4">
                  <c:v>10486</c:v>
                </c:pt>
              </c:numCache>
            </c:numRef>
          </c:val>
        </c:ser>
        <c:ser>
          <c:idx val="4"/>
          <c:order val="4"/>
          <c:tx>
            <c:strRef>
              <c:f>Hoja1!$F$1</c:f>
              <c:strCache>
                <c:ptCount val="1"/>
                <c:pt idx="0">
                  <c:v>Distribución Selectiva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11754</c:v>
                </c:pt>
                <c:pt idx="1">
                  <c:v>14852</c:v>
                </c:pt>
                <c:pt idx="2">
                  <c:v>17885</c:v>
                </c:pt>
                <c:pt idx="3">
                  <c:v>18262</c:v>
                </c:pt>
                <c:pt idx="4">
                  <c:v>18348</c:v>
                </c:pt>
              </c:numCache>
            </c:numRef>
          </c:val>
        </c:ser>
        <c:ser>
          <c:idx val="5"/>
          <c:order val="5"/>
          <c:tx>
            <c:strRef>
              <c:f>Hoja1!$G$1</c:f>
              <c:strCache>
                <c:ptCount val="1"/>
                <c:pt idx="0">
                  <c:v>Otras actividades y holdings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1169</c:v>
                </c:pt>
                <c:pt idx="1">
                  <c:v>1586</c:v>
                </c:pt>
                <c:pt idx="2">
                  <c:v>1820</c:v>
                </c:pt>
                <c:pt idx="3">
                  <c:v>2002</c:v>
                </c:pt>
                <c:pt idx="4">
                  <c:v>2109</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-1150</c:v>
                </c:pt>
                <c:pt idx="1">
                  <c:v>-1304</c:v>
                </c:pt>
                <c:pt idx="2">
                  <c:v>-1496</c:v>
                </c:pt>
                <c:pt idx="3">
                  <c:v>-1498</c:v>
                </c:pt>
                <c:pt idx="4">
                  <c:v>-1438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Vinos y Licores</c:v>
                </c:pt>
                <c:pt idx="1">
                  <c:v>Moda y Marroquinería</c:v>
                </c:pt>
                <c:pt idx="2">
                  <c:v>Perfumes y Cosmética</c:v>
                </c:pt>
                <c:pt idx="3">
                  <c:v>Relojería y Joyería</c:v>
                </c:pt>
                <c:pt idx="4">
                  <c:v>Distribución Selectiva</c:v>
                </c:pt>
                <c:pt idx="5">
                  <c:v>Otras actividades y holdings</c:v>
                </c:pt>
                <c:pt idx="6">
                  <c:v>Eliminaciones</c:v>
                </c:pt>
              </c:strCache>
            </c:strRef>
          </c:cat>
          <c:val>
            <c:numRef>
              <c:f>Hoja1!$B$2:$B$8</c:f>
              <c:numCache>
                <c:formatCode>General</c:formatCode>
                <c:ptCount val="7"/>
                <c:pt idx="0">
                  <c:v>6.6</c:v>
                </c:pt>
                <c:pt idx="1">
                  <c:v>46.7</c:v>
                </c:pt>
                <c:pt idx="2">
                  <c:v>10.1</c:v>
                </c:pt>
                <c:pt idx="3">
                  <c:v>13</c:v>
                </c:pt>
                <c:pt idx="4">
                  <c:v>22.7</c:v>
                </c:pt>
                <c:pt idx="5">
                  <c:v>2.6</c:v>
                </c:pt>
                <c:pt idx="6">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Japón)</c:v>
                </c:pt>
                <c:pt idx="1">
                  <c:v>Estados Unidos</c:v>
                </c:pt>
                <c:pt idx="2">
                  <c:v>Europa (sin Francia)</c:v>
                </c:pt>
                <c:pt idx="3">
                  <c:v>Otros mercados</c:v>
                </c:pt>
                <c:pt idx="4">
                  <c:v>Francia</c:v>
                </c:pt>
                <c:pt idx="5">
                  <c:v>Japón</c:v>
                </c:pt>
              </c:strCache>
            </c:strRef>
          </c:cat>
          <c:val>
            <c:numRef>
              <c:f>Hoja1!$B$2:$B$7</c:f>
              <c:numCache>
                <c:formatCode>0"%"</c:formatCode>
                <c:ptCount val="6"/>
                <c:pt idx="0">
                  <c:v>26.5</c:v>
                </c:pt>
                <c:pt idx="1">
                  <c:v>25.6</c:v>
                </c:pt>
                <c:pt idx="2">
                  <c:v>18</c:v>
                </c:pt>
                <c:pt idx="3">
                  <c:v>13.7</c:v>
                </c:pt>
                <c:pt idx="4">
                  <c:v>8.3</c:v>
                </c:pt>
                <c:pt idx="5">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(valor a precio de venta al público))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LVMH</c:v>
                </c:pt>
                <c:pt idx="1">
                  <c:v>Compagnie Financière Richemont</c:v>
                </c:pt>
                <c:pt idx="2">
                  <c:v>Chanel</c:v>
                </c:pt>
                <c:pt idx="3">
                  <c:v>Hermès International</c:v>
                </c:pt>
                <c:pt idx="4">
                  <c:v>Kering</c:v>
                </c:pt>
                <c:pt idx="5">
                  <c:v>Prada</c:v>
                </c:pt>
                <c:pt idx="6">
                  <c:v>Moncler</c:v>
                </c:pt>
              </c:strCache>
            </c:strRef>
          </c:cat>
          <c:val>
            <c:numRef>
              <c:f>Hoja1!$B$2:$B$8</c:f>
              <c:numCache>
                <c:formatCode>0.0"%"</c:formatCode>
                <c:ptCount val="7"/>
                <c:pt idx="0">
                  <c:v>22</c:v>
                </c:pt>
                <c:pt idx="1">
                  <c:v>20</c:v>
                </c:pt>
                <c:pt idx="2">
                  <c:v>24.4</c:v>
                </c:pt>
                <c:pt idx="3">
                  <c:v>41</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64215</c:v>
                </c:pt>
                <c:pt idx="1">
                  <c:v>79184</c:v>
                </c:pt>
                <c:pt idx="2">
                  <c:v>86153</c:v>
                </c:pt>
                <c:pt idx="3">
                  <c:v>84683</c:v>
                </c:pt>
                <c:pt idx="4">
                  <c:v>80807</c:v>
                </c:pt>
                <c:pt idx="5">
                  <c:v>78439</c:v>
                </c:pt>
                <c:pt idx="6">
                  <c:v>80942</c:v>
                </c:pt>
                <c:pt idx="7">
                  <c:v>85418</c:v>
                </c:pt>
                <c:pt idx="8">
                  <c:v>90150</c:v>
                </c:pt>
                <c:pt idx="9">
                  <c:v>94774</c:v>
                </c:pt>
                <c:pt idx="10">
                  <c:v>99163</c:v>
                </c:pt>
                <c:pt idx="11">
                  <c:v>103347</c:v>
                </c:pt>
                <c:pt idx="12">
                  <c:v>107202</c:v>
                </c:pt>
                <c:pt idx="13">
                  <c:v>110750</c:v>
                </c:pt>
                <c:pt idx="14">
                  <c:v>113984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22315</c:v>
                </c:pt>
                <c:pt idx="1">
                  <c:v>26777</c:v>
                </c:pt>
                <c:pt idx="2">
                  <c:v>28715</c:v>
                </c:pt>
                <c:pt idx="3">
                  <c:v>25851</c:v>
                </c:pt>
                <c:pt idx="4">
                  <c:v>24278</c:v>
                </c:pt>
                <c:pt idx="5">
                  <c:v>23610</c:v>
                </c:pt>
                <c:pt idx="6">
                  <c:v>24800</c:v>
                </c:pt>
                <c:pt idx="7">
                  <c:v>26650</c:v>
                </c:pt>
                <c:pt idx="8">
                  <c:v>28559</c:v>
                </c:pt>
                <c:pt idx="9">
                  <c:v>30195</c:v>
                </c:pt>
                <c:pt idx="10">
                  <c:v>31742</c:v>
                </c:pt>
                <c:pt idx="11">
                  <c:v>33123</c:v>
                </c:pt>
                <c:pt idx="12">
                  <c:v>34508</c:v>
                </c:pt>
                <c:pt idx="13">
                  <c:v>35684</c:v>
                </c:pt>
                <c:pt idx="14">
                  <c:v>36737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68.3</c:v>
                </c:pt>
                <c:pt idx="1">
                  <c:v>68.4</c:v>
                </c:pt>
                <c:pt idx="2">
                  <c:v>68.8</c:v>
                </c:pt>
                <c:pt idx="3">
                  <c:v>67</c:v>
                </c:pt>
                <c:pt idx="4">
                  <c:v>66.2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34.8</c:v>
                </c:pt>
                <c:pt idx="1">
                  <c:v>33.8</c:v>
                </c:pt>
                <c:pt idx="2">
                  <c:v>33.3</c:v>
                </c:pt>
                <c:pt idx="3">
                  <c:v>30.5</c:v>
                </c:pt>
                <c:pt idx="4">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26.6</c:v>
                </c:pt>
                <c:pt idx="2">
                  <c:v>26.5</c:v>
                </c:pt>
                <c:pt idx="3">
                  <c:v>23.1</c:v>
                </c:pt>
                <c:pt idx="4">
                  <c:v>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18.7</c:v>
                </c:pt>
                <c:pt idx="1">
                  <c:v>17.8</c:v>
                </c:pt>
                <c:pt idx="2">
                  <c:v>17.6</c:v>
                </c:pt>
                <c:pt idx="3">
                  <c:v>14.8</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-1.3</c:v>
                </c:pt>
                <c:pt idx="1">
                  <c:v>-2.1</c:v>
                </c:pt>
                <c:pt idx="2">
                  <c:v>-4.5</c:v>
                </c:pt>
                <c:pt idx="3">
                  <c:v>-4.7</c:v>
                </c:pt>
                <c:pt idx="4">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2</c:v>
                </c:pt>
                <c:pt idx="2">
                  <c:v>-3</c:v>
                </c:pt>
                <c:pt idx="3">
                  <c:v>1</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c:v>
                </c:pt>
                <c:pt idx="1">
                  <c:v>20</c:v>
                </c:pt>
                <c:pt idx="2">
                  <c:v>20</c:v>
                </c:pt>
                <c:pt idx="3">
                  <c:v>20</c:v>
                </c:pt>
                <c:pt idx="4">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297</c:v>
                </c:pt>
                <c:pt idx="2">
                  <c:v>312</c:v>
                </c:pt>
                <c:pt idx="3">
                  <c:v>309</c:v>
                </c:pt>
                <c:pt idx="4">
                  <c:v>303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128</c:v>
                </c:pt>
                <c:pt idx="2">
                  <c:v>123</c:v>
                </c:pt>
                <c:pt idx="3">
                  <c:v>113</c:v>
                </c:pt>
                <c:pt idx="4">
                  <c:v>110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13531</c:v>
                </c:pt>
                <c:pt idx="1">
                  <c:v>10113</c:v>
                </c:pt>
                <c:pt idx="2">
                  <c:v>8104</c:v>
                </c:pt>
                <c:pt idx="3">
                  <c:v>10478</c:v>
                </c:pt>
                <c:pt idx="4">
                  <c:v>11333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12036</c:v>
                </c:pt>
                <c:pt idx="1">
                  <c:v>14084</c:v>
                </c:pt>
                <c:pt idx="2">
                  <c:v>15174</c:v>
                </c:pt>
                <c:pt idx="3">
                  <c:v>12550</c:v>
                </c:pt>
                <c:pt idx="4">
                  <c:v>10878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17.4</c:v>
                </c:pt>
                <c:pt idx="1">
                  <c:v>20.1</c:v>
                </c:pt>
                <c:pt idx="2">
                  <c:v>19.7</c:v>
                </c:pt>
                <c:pt idx="3">
                  <c:v>15</c:v>
                </c:pt>
                <c:pt idx="4">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25.5</c:v>
                </c:pt>
                <c:pt idx="1">
                  <c:v>27.6</c:v>
                </c:pt>
                <c:pt idx="2">
                  <c:v>26.1</c:v>
                </c:pt>
                <c:pt idx="3">
                  <c:v>19.5</c:v>
                </c:pt>
                <c:pt idx="4">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1.07</c:v>
                </c:pt>
                <c:pt idx="1">
                  <c:v>0.91</c:v>
                </c:pt>
                <c:pt idx="2">
                  <c:v>0.95</c:v>
                </c:pt>
                <c:pt idx="3">
                  <c:v>1.05</c:v>
                </c:pt>
                <c:pt idx="4">
                  <c:v>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7925</c:v>
                </c:pt>
                <c:pt idx="1">
                  <c:v>1931</c:v>
                </c:pt>
                <c:pt idx="2">
                  <c:v>1806</c:v>
                </c:pt>
                <c:pt idx="3">
                  <c:v>2107</c:v>
                </c:pt>
                <c:pt idx="4">
                  <c:v>863</c:v>
                </c:pt>
                <c:pt idx="5">
                  <c:v>1505</c:v>
                </c:pt>
                <c:pt idx="6">
                  <c:v>4206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13226</c:v>
                </c:pt>
                <c:pt idx="1">
                  <c:v>809</c:v>
                </c:pt>
                <c:pt idx="2">
                  <c:v>721</c:v>
                </c:pt>
                <c:pt idx="3">
                  <c:v>438</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3527</c:v>
                </c:pt>
                <c:pt idx="1">
                  <c:v>6025</c:v>
                </c:pt>
                <c:pt idx="2">
                  <c:v>6251</c:v>
                </c:pt>
                <c:pt idx="3">
                  <c:v>6492</c:v>
                </c:pt>
                <c:pt idx="4">
                  <c:v>6465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556</c:v>
                </c:pt>
                <c:pt idx="1">
                  <c:v>1616</c:v>
                </c:pt>
                <c:pt idx="2">
                  <c:v>1584</c:v>
                </c:pt>
                <c:pt idx="3">
                  <c:v>312</c:v>
                </c:pt>
                <c:pt idx="4">
                  <c:v>1640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4</c:v>
                </c:pt>
                <c:pt idx="2">
                  <c:v>2</c:v>
                </c:pt>
                <c:pt idx="3">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Grupo familiar Arnault (Agache SCA, Christian Dior SE, Financière Agache y la familia)</c:v>
                </c:pt>
                <c:pt idx="1">
                  <c:v>de los cuales Christian Dior SE</c:v>
                </c:pt>
                <c:pt idx="2">
                  <c:v>Autocartera</c:v>
                </c:pt>
                <c:pt idx="3">
                  <c:v>Grupo Caisse des Dépôts (CDC)</c:v>
                </c:pt>
                <c:pt idx="4">
                  <c:v>Resto del capital flotante</c:v>
                </c:pt>
              </c:strCache>
            </c:strRef>
          </c:cat>
          <c:val>
            <c:numRef>
              <c:f>Hoja1!$B$2:$B$6</c:f>
              <c:numCache>
                <c:formatCode>0.0"%"</c:formatCode>
                <c:ptCount val="5"/>
                <c:pt idx="0">
                  <c:v>50.21</c:v>
                </c:pt>
                <c:pt idx="1">
                  <c:v>42.17</c:v>
                </c:pt>
                <c:pt idx="2">
                  <c:v>0.55</c:v>
                </c:pt>
                <c:pt idx="3">
                  <c:v>1.24</c:v>
                </c:pt>
                <c:pt idx="4">
                  <c:v>49.24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26.1</c:v>
                </c:pt>
                <c:pt idx="1">
                  <c:v>37.9</c:v>
                </c:pt>
                <c:pt idx="2">
                  <c:v>7.3</c:v>
                </c:pt>
                <c:pt idx="3">
                  <c:v>63.2</c:v>
                </c:pt>
                <c:pt idx="4">
                  <c:v>24.7</c:v>
                </c:pt>
                <c:pt idx="5">
                  <c:v>43.8</c:v>
                </c:pt>
                <c:pt idx="6">
                  <c:v>-4.8</c:v>
                </c:pt>
                <c:pt idx="7">
                  <c:v>9.6</c:v>
                </c:pt>
                <c:pt idx="8">
                  <c:v>-11.7</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17.6</c:v>
                </c:pt>
                <c:pt idx="6">
                  <c:v>13.7</c:v>
                </c:pt>
                <c:pt idx="7">
                  <c:v>13.8</c:v>
                </c:pt>
                <c:pt idx="8">
                  <c:v>13.4</c:v>
                </c:pt>
                <c:pt idx="9">
                  <c:v>14.2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13.8</c:v>
                </c:pt>
                <c:pt idx="1">
                  <c:v>13.8</c:v>
                </c:pt>
                <c:pt idx="2">
                  <c:v>13.8</c:v>
                </c:pt>
                <c:pt idx="3">
                  <c:v>13.8</c:v>
                </c:pt>
                <c:pt idx="4">
                  <c:v>13.8</c:v>
                </c:pt>
                <c:pt idx="5">
                  <c:v>13.8</c:v>
                </c:pt>
                <c:pt idx="6">
                  <c:v>13.8</c:v>
                </c:pt>
                <c:pt idx="7">
                  <c:v>13.8</c:v>
                </c:pt>
                <c:pt idx="8">
                  <c:v>13.8</c:v>
                </c:pt>
                <c:pt idx="9">
                  <c:v>13.8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LVMH</c:v>
                </c:pt>
                <c:pt idx="1">
                  <c:v>Hermès</c:v>
                </c:pt>
                <c:pt idx="2">
                  <c:v>Kering</c:v>
                </c:pt>
                <c:pt idx="3">
                  <c:v>Richemont</c:v>
                </c:pt>
                <c:pt idx="4">
                  <c:v>Moncler</c:v>
                </c:pt>
                <c:pt idx="5">
                  <c:v>Prada</c:v>
                </c:pt>
                <c:pt idx="6">
                  <c:v>Brunello Cucinelli</c:v>
                </c:pt>
                <c:pt idx="7">
                  <c:v>Pernod Ricard</c:v>
                </c:pt>
                <c:pt idx="8">
                  <c:v>L'Oréal</c:v>
                </c:pt>
              </c:strCache>
            </c:strRef>
          </c:cat>
          <c:val>
            <c:numRef>
              <c:f>Hoja1!$B$2:$B$10</c:f>
              <c:numCache>
                <c:formatCode>0.0"x"</c:formatCode>
                <c:ptCount val="9"/>
                <c:pt idx="0">
                  <c:v>8.5</c:v>
                </c:pt>
                <c:pt idx="1">
                  <c:v>15.6</c:v>
                </c:pt>
                <c:pt idx="2">
                  <c:v>8.3</c:v>
                </c:pt>
                <c:pt idx="3">
                  <c:v>12.8</c:v>
                </c:pt>
                <c:pt idx="4">
                  <c:v>7.3</c:v>
                </c:pt>
                <c:pt idx="5">
                  <c:v>6.4</c:v>
                </c:pt>
                <c:pt idx="6">
                  <c:v>12.8</c:v>
                </c:pt>
                <c:pt idx="7">
                  <c:v>9.3</c:v>
                </c:pt>
                <c:pt idx="8">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8.3</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16.7</c:v>
                </c:pt>
              </c:numCache>
            </c:numRef>
          </c:xVal>
          <c:yVal>
            <c:numRef>
              <c:f>Hoja1!$C$5</c:f>
              <c:numCache>
                <c:formatCode>0.0"x"</c:formatCode>
                <c:ptCount val="1"/>
                <c:pt idx="0">
                  <c:v>12.8</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7.3</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c:v>
                </c:pt>
              </c:numCache>
            </c:numRef>
          </c:xVal>
          <c:yVal>
            <c:numRef>
              <c:f>Hoja1!$C$7</c:f>
              <c:numCache>
                <c:formatCode>0.0"x"</c:formatCode>
                <c:ptCount val="1"/>
                <c:pt idx="0">
                  <c:v>6.4</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12.8</c:v>
                </c:pt>
              </c:numCache>
            </c:numRef>
          </c:yVal>
          <c:smooth val="0"/>
        </c:ser>
        <c:ser>
          <c:idx val="7"/>
          <c:order val="7"/>
          <c:tx>
            <c:strRef>
              <c:f>Hoja1!$A$9</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c:v>
                </c:pt>
              </c:numCache>
            </c:numRef>
          </c:xVal>
          <c:yVal>
            <c:numRef>
              <c:f>Hoja1!$C$9</c:f>
              <c:numCache>
                <c:formatCode>0.0"x"</c:formatCode>
                <c:ptCount val="1"/>
                <c:pt idx="0">
                  <c:v>9.3</c:v>
                </c:pt>
              </c:numCache>
            </c:numRef>
          </c:yVal>
          <c:smooth val="0"/>
        </c:ser>
        <c:ser>
          <c:idx val="8"/>
          <c:order val="8"/>
          <c:tx>
            <c:strRef>
              <c:f>Hoja1!$A$10</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6.6</c:v>
                </c:pt>
              </c:numCache>
            </c:numRef>
          </c:xVal>
          <c:yVal>
            <c:numRef>
              <c:f>Hoja1!$C$10</c:f>
              <c:numCache>
                <c:formatCode>0.0"x"</c:formatCode>
                <c:ptCount val="1"/>
                <c:pt idx="0">
                  <c:v>16.7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 (Sportswear Company)</c:v>
                </c:pt>
                <c:pt idx="3">
                  <c:v>Capri Holdings (Michael Kors, Versace, Jimmy Choo)</c:v>
                </c:pt>
                <c:pt idx="4">
                  <c:v>Versace</c:v>
                </c:pt>
                <c:pt idx="5">
                  <c:v>Kering Beauté (Creed) y licencias de belleza de Gucci, Bottega Veneta y Balenciaga a 50 años</c:v>
                </c:pt>
                <c:pt idx="6">
                  <c:v>TOM FORD (marca)</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11418</c:v>
                </c:pt>
                <c:pt idx="1">
                  <c:v>11538</c:v>
                </c:pt>
                <c:pt idx="2">
                  <c:v>12120</c:v>
                </c:pt>
                <c:pt idx="3">
                  <c:v>12952</c:v>
                </c:pt>
                <c:pt idx="4">
                  <c:v>13825</c:v>
                </c:pt>
                <c:pt idx="5">
                  <c:v>14806</c:v>
                </c:pt>
                <c:pt idx="6">
                  <c:v>15657</c:v>
                </c:pt>
                <c:pt idx="7">
                  <c:v>16708</c:v>
                </c:pt>
                <c:pt idx="8">
                  <c:v>17609</c:v>
                </c:pt>
                <c:pt idx="9">
                  <c:v>18458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89682</c:v>
                </c:pt>
                <c:pt idx="1">
                  <c:v>123918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380,90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268.68</c:v>
                </c:pt>
                <c:pt idx="1">
                  <c:v>372.6</c:v>
                </c:pt>
                <c:pt idx="2">
                  <c:v>469.01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