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Cintas Corporation</w:t>
      </w:r>
    </w:p>
    <w:p>
      <w:pPr>
        <w:spacing w:after="60"/>
        <w:rPr>
          <w:color w:val="52514E"/>
          <w:sz w:val="22"/>
          <w:szCs w:val="22"/>
        </w:rPr>
      </w:pPr>
      <w:r>
        <w:rPr>
          <w:color w:val="52514E"/>
          <w:sz w:val="22"/>
          <w:szCs w:val="22"/>
        </w:rPr>
        <w:t xml:space="preserve">CTAS · Nasdaq Global Select · ISIN US1729081059 · Industriales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206,38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186,68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-8,6 % (base -3,5 %)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125,35 USD · mercado 135,43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82.800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Cintas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CTAS / US1729081059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Industriales / Servicios comerciales y suministros (uniformes y servicios diversificados)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Cincinnati (Ohio) · 1968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www.cintas.com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206,38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161,16 – 219,17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82.800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85.485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419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186,68 USD</w:t>
      </w:r>
      <w:r>
        <w:t xml:space="preserve"> frente a 206,38 · Rentabilidad a 12 meses </w:t>
      </w:r>
      <w:r>
        <w:rPr>
          <w:b/>
          <w:bCs/>
        </w:rPr>
        <w:t xml:space="preserve">-8,6 % (base -3,5 %)</w:t>
      </w:r>
      <w:r>
        <w:t xml:space="preserve"> · Valor intrínseco 125,35 USD · con la prima implícita del mercado: 135,43 (-34,4 %) · Alcista / bajista -27,6 % / -52,6 %</w:t>
      </w:r>
    </w:p>
    <w:p>
      <w:pPr>
        <w:spacing w:after="100"/>
      </w:pPr>
      <w:r>
        <w:rPr>
          <w:b/>
        </w:rPr>
        <w:t xml:space="preserve">La recomendación y por qué.</w:t>
      </w:r>
      <w:r>
        <w:t xml:space="preserve"> Mantener, con convicción media. El objetivo a 12 meses es de 186,68 USD frente a un precio de 206,38: −8,6 % ponderado y −3,5 % en el caso base, dividendo incluido (con la regla v2 de control, −1,2 %). El valor intrínseco, 125,35 USD, queda un 39,3 % por debajo, y el objetivo medio de los analistas, 218,31, por encima de nuestro base. Cintas es un negocio excelente a un precio que ya lo descuenta: ni el escenario alcista del DCF (149,42) llega al precio. La convicción es media porque las dos reglas coinciden y la distancia a los umbrales es amplia; subiría a Vender por encima de 209,50 USD y la bajaríamos si la FTC aprueba UniFirst sin remedios y el crecimiento orgánico supera el 9 %.</w:t>
      </w:r>
    </w:p>
    <w:p>
      <w:pPr>
        <w:spacing w:after="100"/>
      </w:pPr>
      <w:r>
        <w:rPr>
          <w:b/>
        </w:rPr>
        <w:t xml:space="preserve">El negocio.</w:t>
      </w:r>
      <w:r>
        <w:t xml:space="preserve"> Alquila y lava uniformes, alfombrillas y suministros de aseo para más de un millón de empresas con 12.500 rutas, y añade primeros auxilios e incendios en la misma parada [1]. Esa densidad le da un margen operativo del 23,1 % frente al 7,9 % de UniFirst y el 4,2 % de Vestis [13, 14], y un ROIC del 29,6 %, unos 20 puntos por encima del WACC: </w:t>
      </w:r>
      <w:r>
        <w:rPr>
          <w:b/>
        </w:rPr>
        <w:t xml:space="preserve">veredicto de calidad: Sí</w:t>
      </w:r>
      <w:r>
        <w:t xml:space="preserve">. La sostenibilidad del crecimiento es </w:t>
      </w:r>
      <w:r>
        <w:rPr>
          <w:b/>
        </w:rPr>
        <w:t xml:space="preserve">Sí</w:t>
      </w:r>
      <w:r>
        <w:t xml:space="preserve">: el 6,3 % medio que proyectamos necesita menos capital del que la empresa ha invertido siempre para crecer al 7,3 %, y la cuota de uniformes pasaría del 18 % al 21 %.</w:t>
      </w:r>
    </w:p>
    <w:p>
      <w:pPr>
        <w:spacing w:after="100"/>
      </w:pPr>
      <w:r>
        <w:rPr>
          <w:b/>
        </w:rPr>
        <w:t xml:space="preserve">Finanzas.</w:t>
      </w:r>
      <w:r>
        <w:t xml:space="preserve"> Crecimiento orgánico del 8,9 % y margen bruto récord del 51,5 % en el 1T27; guía de FY2027 subida a 5,45-5,54 USD de BPA ajustado [4]. Conversión del beneficio en caja del 101 % en ocho años y deuda neta de 0,7 veces el EBITDA. La compra de UniFirst (5.500 M, 17,1 veces su EBITDA sin sinergias) subirá la deuda a 1,5 veces y diluirá un 3,5 % [11].</w:t>
      </w:r>
    </w:p>
    <w:p>
      <w:pPr>
        <w:spacing w:after="100"/>
      </w:pPr>
      <w:r>
        <w:rPr>
          <w:b/>
        </w:rPr>
        <w:t xml:space="preserve">Equipo y gobierno.</w:t>
      </w:r>
      <w:r>
        <w:t xml:space="preserve"> La familia Farmer controla el 14 % y la presidencia ejecutiva; la sucesión está ordenada con un nuevo presidente y COO. El variable premia BPA y ventas, no ROIC. Dos consejeros vendieron 3,6 M en un año y nadie compró [20].</w:t>
      </w:r>
    </w:p>
    <w:p>
      <w:pPr>
        <w:spacing w:after="100"/>
      </w:pPr>
      <w:r>
        <w:rPr>
          <w:b/>
        </w:rPr>
        <w:t xml:space="preserve">Valoración.</w:t>
      </w:r>
      <w:r>
        <w:t xml:space="preserve"> El DCF inverso exige un crecimiento del 12,4 % anual durante diez años o un margen EBITDA del 45,2 %: el precio rinde un 6,4 % anual frente al 9,67 % que pedimos con el bono al 5,21 %. A 34,1 veces nuestro BPA de FY2028e cotiza por encima de su mediana adelantada (31,1 veces) y del doble de los comparables (19,8). No discrepamos de las cifras del consenso (nuestro BPA, −1,8 %), sino del múltiplo.</w:t>
      </w:r>
    </w:p>
    <w:p>
      <w:pPr>
        <w:spacing w:after="100"/>
      </w:pPr>
      <w:r>
        <w:rPr>
          <w:b/>
        </w:rPr>
        <w:t xml:space="preserve">Riesgos y catalizadores.</w:t>
      </w:r>
      <w:r>
        <w:t xml:space="preserve"> El mayor riesgo es el múltiplo: el bajista a 12 meses (26,1 veces) da 140,68 USD (−31 %). La FTC puede decidir sobre UniFirst a partir del 11 de diciembre [16]; UniFirst cotiza un 18 % por debajo del valor de la oferta, señal de que el mercado duda. </w:t>
      </w:r>
      <w:r>
        <w:rPr>
          <w:b/>
        </w:rPr>
        <w:t xml:space="preserve">Riesgo de que la IA se coma el negocio: bajo.</w:t>
      </w:r>
      <w:r>
        <w:t xml:space="preserve"> El servicio es físico y sus clientes son trabajadores de planta, ruta y sanidad; la IA amenaza más al empleo de oficina, que no lleva uniforme. Los foros, divididos, coinciden: gran empresa, precio alto.</w:t>
      </w:r>
    </w:p>
    <w:p>
      <w:pPr>
        <w:spacing w:after="100"/>
      </w:pPr>
      <w:r>
        <w:rPr>
          <w:b/>
        </w:rPr>
        <w:t xml:space="preserve">Qué cambiaría la decisión.</w:t>
      </w:r>
      <w:r>
        <w:t xml:space="preserve"> Comprar por debajo de 125,35 USD (valor intrínseco), donde la regla a 12 meses ya daría más del 15 %; vender por encima de 209,50 USD. Pasaríamos a Vender con un crecimiento orgánico de uniformes por debajo del 6 % o un bloqueo de UniFirst con la acción por encima de 200; reconsideraríamos al alza con el bono por debajo del 4 %.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186,68 USD</w:t>
      </w:r>
      <w:r>
        <w:t xml:space="preserve"> (rentabilidad -8,6 % (base -3,5 %)) · Valor intrínseco: 125,35 USD (-39,3 % sobre 206,38) · con la prima implícita del mercado: 135,43 (-34,4 %)</w:t>
      </w:r>
    </w:p>
    <w:p>
      <w:pPr>
        <w:spacing w:after="100"/>
      </w:pPr>
      <w:r>
        <w:t xml:space="preserve">Cintas es la mejor empresa de un sector sencillo: alquila y lava uniformes y suministros de higiene para más de un millón de empresas de EE. UU. y Canadá, y vende en la misma ruta primeros auxilios y protección contra incendios [1]. La densidad de rutas le da un margen operativo del 23,1 % (el triple que sus rivales) y un ROIC del 29,6 %, y ha crecido un 7,3 % anual desde FY2019 casi sin compras, con un BPA que sube un 13,7 % anual [1, 13, 14].</w:t>
      </w:r>
    </w:p>
    <w:p>
      <w:pPr>
        <w:spacing w:after="100"/>
      </w:pPr>
      <w:r>
        <w:t xml:space="preserve">El precio descuenta mucho más: a 206,38 USD, el DCF inverso exige un crecimiento de las ventas del 12,4 % anual durante diez años, y la acción cotiza a 34,1 veces nuestro BPA de FY2028e, frente a una mediana adelantada de 31,1 veces y 19,8 veces de los comparables. Con el bono a 10 años al 5,21 %, el precio rinde un 6,4 % anual.</w:t>
      </w:r>
    </w:p>
    <w:p>
      <w:pPr>
        <w:spacing w:after="100"/>
      </w:pPr>
      <w:r>
        <w:t xml:space="preserve">El mercado acierta en el negocio y, a nuestro juicio, se pasa en el precio: paga a Cintas como un activo sin riesgo de larga duración. Para invertir hay que creer que el múltiplo de 34 veces se mantiene con tipos al 5 % y que UniFirst añade crecimiento; nosotros esperamos que el múltiplo vuelva poco a poco hacia 31-33 veces, con una rentabilidad cercana a cero en 12 meses.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 × 5,39 = 140,68 · 32,6x × 6,05 = 197,23 · 32,6x × 6,49 = 211,57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218,31 (nuestro base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 / -52,6 %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9,7 %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125,35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125,35 y 209,50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209,50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209,50 USD: la rentabilidad ponderada a 12 meses baja del −10 % y pasaríamos a Vender.</w:t>
      </w:r>
    </w:p>
    <w:p>
      <w:pPr>
        <w:pStyle w:val="ListParagraph"/>
        <w:numPr>
          <w:ilvl w:val="0"/>
          <w:numId w:val="2"/>
        </w:numPr>
        <w:spacing w:after="60"/>
      </w:pPr>
      <w:r>
        <w:t xml:space="preserve">Precio por debajo de 125,35 USD (valor intrínseco): Comprar.</w:t>
      </w:r>
    </w:p>
    <w:p>
      <w:pPr>
        <w:pStyle w:val="ListParagraph"/>
        <w:numPr>
          <w:ilvl w:val="0"/>
          <w:numId w:val="2"/>
        </w:numPr>
        <w:spacing w:after="60"/>
      </w:pPr>
      <w:r>
        <w:t xml:space="preserve">Crecimiento orgánico de uniformes por debajo del 6 % dos trimestres seguidos: rebaja del BPA y Vender.</w:t>
      </w:r>
    </w:p>
    <w:p>
      <w:pPr>
        <w:pStyle w:val="ListParagraph"/>
        <w:numPr>
          <w:ilvl w:val="0"/>
          <w:numId w:val="2"/>
        </w:numPr>
        <w:spacing w:after="60"/>
      </w:pPr>
      <w:r>
        <w:t xml:space="preserve">Bono a 10 años por debajo del 4 %: el WACC bajaría unos 1,2 puntos y revisaríamos el valor intrínseco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Cintas mantiene un crecimiento del BPA de dos dígitos durante muchos años, con UniFirst y recompras, y que su calidad justifica 35-37 veces el beneficio aunque el bono rinda un 5,2 %. Los analistas ponen un objetivo medio de 218,31 USD.</w:t>
      </w:r>
    </w:p>
    <w:p>
      <w:pPr>
        <w:keepNext/>
        <w:spacing w:after="100"/>
      </w:pPr>
      <w:r>
        <w:rPr>
          <w:b/>
          <w:bCs/>
        </w:rPr>
        <w:t xml:space="preserve">Lo que creemos nosotros.</w:t>
      </w:r>
    </w:p>
    <w:p>
      <w:pPr>
        <w:spacing w:after="100"/>
      </w:pPr>
      <w:r>
        <w:t xml:space="preserve">Las mismas cifras de negocio (BPA de FY2028e de 6,05 frente a 6,16 del consenso), pero un múltiplo que tiende a su mediana: 32,6 veces en el base, con una rentabilidad a 12 meses del −8,6 % ponderada y un valor intrínseco de 125,35 USD.</w:t>
      </w:r>
    </w:p>
    <w:p>
      <w:pPr>
        <w:keepNext/>
        <w:spacing w:after="100"/>
      </w:pPr>
      <w:r>
        <w:rPr>
          <w:b/>
          <w:bCs/>
        </w:rPr>
        <w:t xml:space="preserve">Por qué podemos tener razón.</w:t>
      </w:r>
    </w:p>
    <w:p>
      <w:pPr>
        <w:spacing w:after="100"/>
      </w:pPr>
      <w:r>
        <w:t xml:space="preserve">Con el tipo libre al 5,21 %, el precio rinde un 6,4 % anual y el múltiplo ya bajó de 46 a 31 veces entre 2025 y 2026 cuando el mercado dudó. La diferencia con el consenso es de tasa y de múltiplo, no de beneficio: es una visión de precio, no de negocio.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06,3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orgánico acelerando</w:t>
      </w:r>
      <w:r>
        <w:t xml:space="preserve">: 8,9 % en el 1T27 frente al 7,8 % de un año antes [4].</w:t>
      </w:r>
    </w:p>
    <w:p>
      <w:pPr>
        <w:pStyle w:val="ListParagraph"/>
        <w:numPr>
          <w:ilvl w:val="0"/>
          <w:numId w:val="2"/>
        </w:numPr>
        <w:spacing w:after="60"/>
      </w:pPr>
      <w:r>
        <w:rPr>
          <w:b/>
        </w:rPr>
        <w:t xml:space="preserve">Calidad excepcional</w:t>
      </w:r>
      <w:r>
        <w:t xml:space="preserve">: ROIC del 29,6 % y margen operativo del 23,6 % [4].</w:t>
      </w:r>
    </w:p>
    <w:p>
      <w:pPr>
        <w:pStyle w:val="ListParagraph"/>
        <w:numPr>
          <w:ilvl w:val="0"/>
          <w:numId w:val="2"/>
        </w:numPr>
        <w:spacing w:after="60"/>
      </w:pPr>
      <w:r>
        <w:rPr>
          <w:b/>
        </w:rPr>
        <w:t xml:space="preserve">Mercado poco penetrado</w:t>
      </w:r>
      <w:r>
        <w:t xml:space="preserve">: 1 millón de clientes sobre 16-20 millones de empresas [8].</w:t>
      </w:r>
    </w:p>
    <w:p>
      <w:pPr>
        <w:pStyle w:val="ListParagraph"/>
        <w:numPr>
          <w:ilvl w:val="0"/>
          <w:numId w:val="2"/>
        </w:numPr>
        <w:spacing w:after="60"/>
      </w:pPr>
      <w:r>
        <w:rPr>
          <w:b/>
        </w:rPr>
        <w:t xml:space="preserve">Sinergias de UniFirst</w:t>
      </w:r>
      <w:r>
        <w:t xml:space="preserve">: 375 M en cuatro años, un 12 % del EBITDA de Cintas [11].</w:t>
      </w:r>
    </w:p>
    <w:p>
      <w:pPr>
        <w:pStyle w:val="ListParagraph"/>
        <w:numPr>
          <w:ilvl w:val="0"/>
          <w:numId w:val="2"/>
        </w:numPr>
        <w:spacing w:after="60"/>
      </w:pPr>
      <w:r>
        <w:rPr>
          <w:b/>
        </w:rPr>
        <w:t xml:space="preserve">Caja y balance</w:t>
      </w:r>
      <w:r>
        <w:t xml:space="preserve">: conversión del 101 % en ocho años y deuda neta de 0,7 veces el EBITDA.</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12,4 % de crecimiento anual durante diez años.</w:t>
      </w:r>
    </w:p>
    <w:p>
      <w:pPr>
        <w:pStyle w:val="ListParagraph"/>
        <w:numPr>
          <w:ilvl w:val="0"/>
          <w:numId w:val="2"/>
        </w:numPr>
        <w:spacing w:after="60"/>
      </w:pPr>
      <w:r>
        <w:rPr>
          <w:b/>
        </w:rPr>
        <w:t xml:space="preserve">Valor intrínseco lejos</w:t>
      </w:r>
      <w:r>
        <w:t xml:space="preserve">: 125,35 USD, un 39,3 % por debajo del precio.</w:t>
      </w:r>
    </w:p>
    <w:p>
      <w:pPr>
        <w:pStyle w:val="ListParagraph"/>
        <w:numPr>
          <w:ilvl w:val="0"/>
          <w:numId w:val="2"/>
        </w:numPr>
        <w:spacing w:after="60"/>
      </w:pPr>
      <w:r>
        <w:rPr>
          <w:b/>
        </w:rPr>
        <w:t xml:space="preserve">Riesgo regulatorio</w:t>
      </w:r>
      <w:r>
        <w:t xml:space="preserve">: la FTC puede actuar desde el 11-dic-2026; UniFirst cotiza un 18 % bajo la oferta [16].</w:t>
      </w:r>
    </w:p>
    <w:p>
      <w:pPr>
        <w:pStyle w:val="ListParagraph"/>
        <w:numPr>
          <w:ilvl w:val="0"/>
          <w:numId w:val="2"/>
        </w:numPr>
        <w:spacing w:after="60"/>
      </w:pPr>
      <w:r>
        <w:rPr>
          <w:b/>
        </w:rPr>
        <w:t xml:space="preserve">Tipos</w:t>
      </w:r>
      <w:r>
        <w:t xml:space="preserve">: el bono a 10 años al 5,21 % deja la rentabilidad implícita (6,4 %) por debajo del WACC.</w:t>
      </w:r>
    </w:p>
    <w:p>
      <w:pPr>
        <w:pStyle w:val="ListParagraph"/>
        <w:numPr>
          <w:ilvl w:val="0"/>
          <w:numId w:val="2"/>
        </w:numPr>
        <w:spacing w:after="60"/>
      </w:pPr>
      <w:r>
        <w:rPr>
          <w:b/>
        </w:rPr>
        <w:t xml:space="preserve">Sin compras de directivos</w:t>
      </w:r>
      <w:r>
        <w:t xml:space="preserve">: dos consejeros vendieron 3,6 M en 12 meses [20].</w:t>
      </w:r>
    </w:p>
    <w:p>
      <w:pPr>
        <w:pStyle w:val="Heading2"/>
      </w:pPr>
      <w:r>
        <w:t xml:space="preserve">Qué tiene que pasar para que la tesis funcione</w:t>
      </w:r>
    </w:p>
    <w:p>
      <w:pPr>
        <w:spacing w:after="100"/>
      </w:pPr>
      <w:r>
        <w:t xml:space="preserve">La tesis depende de que el múltiplo no aguante con tipos al 5 %. La señal de que nos equivocamos sería un crecimiento orgánico por encima del 9 % sostenido con el margen operativo subiendo hacia el 25 % y UniFirst aprobada sin grandes remedios: entonces el BPA de FY2028 superaría los 6,5 USD y el mercado seguiría pagando 34 veces. La señal de que acertamos, el múltiplo adelantado por debajo de 30 veces.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BPA y del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integración de UniFirst.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30x (oportunidad) o &gt; 36x (venta)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es de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Decisión de la FTC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Pendiente (desde el 11-dic-2026)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Demanda de bloqueo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375 M.</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a 10 años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WACC y el valor intrínseco.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40,7x / 35,8x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Cintas nace en 1968, cuando Richard T. Farmer deja la lavandería industrial familiar (que recogía trapos de taller desde 1929) para vender programas de uniformes con un tejido nuevo; a principios de los setenta compra el negocio familiar [1]. Durante cinco décadas añade productos a la misma ruta: alfombrillas, aseos, primeros auxilios, protección contra incendios. Scott D. Farmer, hijo del fundador, fue primer ejecutivo de 2003 a 2021 y hoy es presidente ejecutivo con el 14 % del capital [1]. En 2017 compró G&amp;K Services por unos 2.100 M y en 2026 acordó comprar UniFirst, el tercer competidor, por 5.500 M [1,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Farmer empieza a lavar y revender trapos de taller en Cincinnati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T. Farmer funda Cintas con programas de uniformes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Scott D. Farmer, primer ejecutivo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G&amp;K Services (unos 2.100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Todd M. Schneider, primer ejecutivo; Farmer pasa a presidente ejecutivo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4 por 1 de las acciones (septiembre).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compra de UniFirst por 5.500 M (10-mar); segunda solicitud de la FTC (11-jun) [11, 16].</w:t>
            </w:r>
          </w:p>
        </w:tc>
      </w:tr>
    </w:tbl>
    <w:p>
      <w:pPr>
        <w:spacing w:after="160" w:before="0"/>
      </w:pPr>
    </w:p>
    <w:p>
      <w:pPr>
        <w:pStyle w:val="Heading1"/>
      </w:pPr>
      <w:r>
        <w:t xml:space="preserve">2. Modelo de negocio</w:t>
      </w:r>
    </w:p>
    <w:p>
      <w:pPr>
        <w:spacing w:after="100"/>
      </w:pPr>
      <w:r>
        <w:t xml:space="preserve">Cintas alquila y lava uniformes y artículos de higiene (alfombrillas, mopas, toallas, suministros de aseos) a más de un millón de empresas de todos los tamaños, sobre todo en EE. UU. (más del 90 % de las ventas) y Canadá [1]. Lo reparte con unas 12.500 rutas desde 484 instalaciones y 12 centros de distribución, con cinco fábricas propias de prendas [1]. Sobre la misma relación vende primeros auxilios y seguridad (botiquines, equipos de protección, desfibriladores, agua, formación: 12,4 % de las ventas), protección contra incendios (extintores, rociadores, alarmas: 8,2 %) y venta directa de uniformes (2,9 %) [1]. Ningún cliente supera el 1 % de las ventas [1].</w:t>
      </w:r>
    </w:p>
    <w:p>
      <w:pPr>
        <w:pStyle w:val="Heading2"/>
      </w:pPr>
      <w:r>
        <w:t xml:space="preserve">Cómo gana dinero</w:t>
      </w:r>
    </w:p>
    <w:p>
      <w:pPr>
        <w:spacing w:after="100"/>
      </w:pPr>
      <w:r>
        <w:t xml:space="preserve">Casi todo es recurrente: contratos de servicio en ruta (habitualmente plurianuales) con una visita semanal en la que se recogen y entregan prendas y artículos. El margen depende de la densidad de la ruta (más clientes y más productos por parada reparten el mismo camión y la misma planta), del aprovechamiento del inventario en servicio y del coste de personal, energía y combustible [1]. Por eso el crecimiento por venta cruzada es tan rentable: el beneficio operativo subió un 10,5 % en FY2026 con ventas +8,9 % [1]. Un 77 % de las ventas es alquiler de uniformes y servicios a instalaciones con un margen operativo del 24,1 %; primeros auxilios gana un 25,4 % [1]. La facturación depende en parte del número de empleados de los clientes con uniforme: es sensible al empleo industrial y de servicios.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Uniformes y servicios a instalaciones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Primeros auxilios y seguridad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(protección contra incendios y venta directa de uniformes)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(costes de UniFirst)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Uniformes y servicios a instalaciones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Primeros auxilios y seguridad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(protección contra incendios y venta directa de uniformes)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(costes de UniFirst)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atomizados: más de un millón de empresas y ninguno con más del 1 % de las ventas [1]. Dos tercios de las altas del 1T FY2027 eran empresas que no tenían un programa externo («no programmers») [8]: el mercado está poco penetrado (1 millón de clientes sobre 16-20 millones de empresas, según la dirección) [8]. Retención: la empresa dice que mejoró ligeramente en uniformes, sin dar la cifra [8]. Poder de precios: el margen bruto pasó del 50,0 % al 50,7 % en FY2026 con subidas de precio «coherentes con años anteriores» y presión de costes salariales y médicos [1, 8]; es decir, repercute la inflación y algo más. Los contratos de uniformes suelen ser de 3-5 años con penalización por cancelación (práctica sectorial; la empresa no publica la duración media).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8,3 %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 (FY2026); 51,5 %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histórico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(FY2026); 23,6 %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costes de UniFirst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Rutas de reparto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12.500 rutas, 484 instalaciones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31-may-2026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 millón de empresas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supera el 1 % de las ventas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48.100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800 sindicados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Servicios de alquiler y lavado de uniformes y de higiene en el lugar de trabajo (alfombrillas, toallas, aseos) en Norteamérica, más los servicios en ruta que Cintas añade: primeros auxilios y seguridad y protección contra incendios. Usamos el tamaño de Vestis, 48.000 M USD para uniformes y suministros del lugar de trabajo en Norteamérica [12], como mercado de la cuota de uniformes; es una estimación de un competidor, sin año ni metodología publicados. La dirección de Cintas lo mide en empresas: 16-20 millones de posibles clientes frente al millón que atiende [8]. No hay estadística oficial del tamaño; la cuota se calcula con las ventas del segmento de uniformes. Detalle en la ficha sectorial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48.000 M USD (Norteamérica, uniformes y suministros del lugar de trabajo; estimación de Vestis)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quien hoy gestiona sus uniformes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de las altas de Cintas son empresas sin programa externo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en industria, servicios y sanidad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factura depende de los empleados con uniforme; en FY2021 (pandemia) las ventas de Cintas crecieron un 0,4 %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cruzada en la misma ruta (primeros auxilios, incendios, aseos)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auxilios crece al 14 % orgánico con margen operativo del 25,4 %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personal, energía y algodón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energía bajó como % de ventas en FY2026 y ayudó al margen de primeros auxilios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(Cintas-UniFirst)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375 M de sinergias previstas; revisión de la FTC con segunda solicitud [11, 16].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nacionales (Cintas, UniFirst, Vestis) y cientos de locales; Vestis pierde clientes y margen (EBITDA del 9,3 %)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pequeños y atomizados; ninguno pesa más del 1 %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Tejidos y prendas de muchos proveedores; cinco fábricas propias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red de plantas y rutas densa; Cintas cita como amenaza a grupos con flotas de última milla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directa de prendas y lavado propio; la empresa lo reconoce como competencia [1, 11].</w:t>
            </w:r>
          </w:p>
        </w:tc>
      </w:tr>
    </w:tbl>
    <w:p>
      <w:pPr>
        <w:spacing w:after="160" w:before="0"/>
      </w:pPr>
    </w:p>
    <w:p>
      <w:pPr>
        <w:pStyle w:val="Heading2"/>
      </w:pPr>
      <w:r>
        <w:t xml:space="preserve">Ciclo</w:t>
      </w:r>
    </w:p>
    <w:p>
      <w:pPr>
        <w:spacing w:after="100"/>
      </w:pPr>
      <w:r>
        <w:t xml:space="preserve">El empleo de EE. UU. crece poco, pero Cintas no ve ciclos de venta más largos ni cambios de comportamiento de los clientes [8]. En la crisis de 2008-09 las ventas del sector cayeron con el empleo industrial; en FY2021 (pandemia) Cintas solo creció un 0,4 % y mantuvo el margen gracias a la venta de equipos de protección [1]; en 2022 la inflación de salarios y energía se repercutió con precio. Es un negocio defensivo con algo de ciclo en el volumen.</w:t>
      </w:r>
    </w:p>
    <w:p>
      <w:pPr>
        <w:pStyle w:val="Heading2"/>
      </w:pPr>
      <w:r>
        <w:t xml:space="preserve">Regulación</w:t>
      </w:r>
    </w:p>
    <w:p>
      <w:pPr>
        <w:spacing w:after="100"/>
      </w:pPr>
      <w:r>
        <w:t xml:space="preserve">Leyes ambientales sobre aguas residuales de lavandería (Clean Water Act, Clean Air Act, RCRA y Superfund) y normas de salud laboral; Cintas dice que no tuvieron efecto material en FY2026 [1]. Lo que más pesa hoy es la competencia: la FTC envió una segunda solicitud sobre UniFirst el 11-jun-2026; las partes certificaron su cumplimiento el 2-oct y no cerrarán antes del 11-dic-2026 salvo aviso de la FTC; Canadá envió una solicitud complementaria [16]. Aranceles: Cintas fabrica parte de las prendas en Honduras y México [1].</w:t>
      </w:r>
    </w:p>
    <w:p>
      <w:pPr>
        <w:pStyle w:val="Heading2"/>
      </w:pPr>
      <w:r>
        <w:t xml:space="preserve">Tendencias y disrupción</w:t>
      </w:r>
    </w:p>
    <w:p>
      <w:pPr>
        <w:spacing w:after="100"/>
      </w:pPr>
      <w:r>
        <w:t xml:space="preserve">Tecnología en las rutas y en las plantas (SAP en protección contra incendios, planificación de rutas, telemetría) que sube el margen; competencia de grupos con flotas de última milla y de la compra directa por internet [11]. La inteligencia artificial afecta poco al servicio físico (lavar y repartir) y algo al empleo de oficina de los clientes, que no lleva uniforme; puede ayudar en la venta y en las rutas. Cintas gana con la consolidación si la FTC aprueba UniFirst.</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 Norteamérica en alquiler de uniformes (segmento de 8.622 M frente a unos 48.000 M del mercado de uniformes y suministros, estimación propia con la cifra de Vestis); 1.º también en primeros auxilios en ruta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UniFirst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Tercero; en compra por Cintas. Margen EBIT del 7,9 % en FY2025 (ejercicio a agosto)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Vestis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VSTS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Segregada de Aramark en 2023; pierde clientes y está muy endeudada (deuda neta 5 veces el EBITDA)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Aramark (uniformes en Canadá y servicios de alimentación)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 de servicios externalizados; ya no tiene uniformes en EE. UU.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europeo de textil e higiene; no está en Norteamérica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Rentokil Initial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Higiene (Initial) y plagas; vendió su textil francés en 2025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ABM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Limpieza y mantenimiento de edificios; intensivo en personal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entre clientes; sí densidad de rutas.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prendas personalizadas e inventario en servicio; la retención mejora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conocida en empresas pequeñas; sin patentes relevantes.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23,1 % frente al 7,9 % de UniFirst y el 4,2 % de Vestis con el mismo producto [1, 4,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Densidad de 12.500 rutas y 484 instalaciones; cada producto añadido a la parada reparte el coste fijo [1].</w:t>
            </w:r>
          </w:p>
        </w:tc>
      </w:tr>
    </w:tbl>
    <w:p>
      <w:pPr>
        <w:spacing w:after="160" w:before="0"/>
      </w:pPr>
    </w:p>
    <w:p>
      <w:pPr>
        <w:pStyle w:val="Heading2"/>
      </w:pPr>
      <w:r>
        <w:t xml:space="preserve">Amenazas</w:t>
      </w:r>
    </w:p>
    <w:p>
      <w:pPr>
        <w:spacing w:after="100"/>
      </w:pPr>
      <w:r>
        <w:t xml:space="preserve">La amenaza principal no es tecnológica sino de competencia y regulación. La FTC puede bloquear UniFirst o exigir ventas de plantas (riesgo de desenlace en diciembre de 2026; las partes ya evalúan remedios según CTFN) [16]. Vestis, en dificultades, puede competir en precio para retener clientes. A largo plazo, grandes grupos con flotas de última milla y la compra directa por internet podrían captar a los clientes pequeños [11]. Probabilidad baja de erosión material en cinco años: la diferencia de márgenes frente a UniFirst y Vestis (15-19 puntos) lleva una década [1, 13, 14].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FY2019-FY2026: ingresos </w:t>
      </w:r>
      <w:r>
        <w:rPr>
          <w:b/>
          <w:bCs/>
        </w:rPr>
        <w:t xml:space="preserve">7,3 %</w:t>
      </w:r>
      <w:r>
        <w:t xml:space="preserve">, EBITDA </w:t>
      </w:r>
      <w:r>
        <w:rPr>
          <w:b/>
          <w:bCs/>
        </w:rPr>
        <w:t xml:space="preserve">11,2 %</w:t>
      </w:r>
      <w:r>
        <w:t xml:space="preserve">, BPA </w:t>
      </w:r>
      <w:r>
        <w:rPr>
          <w:b/>
          <w:bCs/>
        </w:rPr>
        <w:t xml:space="preserve">13,7 %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Cintas ha crecido de 6.892 M USD (FY2019) a 11.265 M (FY2026) casi sin compras: en FY2026 las ventas subieron un 8,9 %, un 8,3 % orgánico y solo 0,6 puntos por adquisiciones [1]; en FY2024, un 8,0 % orgánico [2]. El margen EBIT pasó del 16,5 % de FY2019 al 23,1 % de FY2026 y al 23,6 % del 1T FY2027 [1, 4]: el margen bruto de alquiler de uniformes subió de 49,3 % a 50,0 % por un uso más eficiente del inventario en servicio y productividad de las plantas, y el de primeros auxilios del 57,2 % al 57,7 % por mezcla y compras [1]. Los gastos comerciales se mantienen en el 27,4 % de las ventas: el apalancamiento operativo viene del margen bruto. FY2024 lleva un acuerdo de 45 M en el litigio City of Laurel, FY2025 una plusvalía de 15 M por la venta de un inmueble y FY2026 15,1 M de costes de la operación UniFirst [1, 2].</w:t>
      </w:r>
    </w:p>
    <w:p>
      <w:pPr>
        <w:pStyle w:val="Heading2"/>
      </w:pPr>
      <w:r>
        <w:t xml:space="preserve">Ajustes y partidas no recurrentes</w:t>
      </w:r>
    </w:p>
    <w:p>
      <w:pPr>
        <w:spacing w:after="100"/>
      </w:pPr>
      <w:r>
        <w:t xml:space="preserve">Usamos las cifras publicadas (US GAAP). La empresa solo ajusta el BPA por los costes de la operación UniFirst: 0,03 USD en FY2026 (4,94 frente a 4,91) y en el 1T FY2027 (1,39 frente a 1,36) [4, 5]. Los devolvemos al EBITDA como no recurrentes (15,1 M en FY2026 y 29,5 M en los últimos doce meses), igual que el acuerdo del litigio City of Laurel de FY2024 (45 M) y, con signo contrario, la plusvalía inmobiliaria de FY2025 (15 M) [1, 2]. El EBITDA suma toda la amortización del estado de flujos, que incluye 105,4 M de amortización de comisiones activadas (costes de obtener contratos) y 34,1 M de software [1]: es una definición algo más generosa que la del flujo de caja, porque esas comisiones se pagan dentro del flujo operativo. BPA, DPA y acciones de FY2019-FY2022 se dividen entre 4 por el desdoblamiento de septiembre de 2024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1T FY2027 (23-sep-2026) la dirección insistió en que el crecimiento viene del volumen y no del precio: la subida de tarifas fue «coherente con años anteriores» y mejoraron las altas, la retención y la venta cruzada [8, 9]. Más de dos tercios de las altas son empresas que gestionaban sus uniformes y suministros por su cuenta, y Cintas cifra su mercado en 16-20 millones de empresas frente al millón que atiende [8]. Uniformes creció un 8,0 % orgánico, primeros auxilios un 14,2 %, protección contra incendios un 9,2 % [8]. El margen bruto récord del 51,5 % y el margen operativo del 23,6 % (17,6 % de subida del beneficio operativo sin los costes de UniFirst) llevaron a subir la guía de ventas a 12.150-12.270 M y la de BPA ajustado a 5,45-5,54 USD [4]. Frente a julio, cuando la dirección avisó de un viento en contra de unos 100 puntos básicos en protección contra incendios por la implantación de SAP, el sistema sigue en piloto [8]. Las preguntas se repitieron sobre UniFirst: la dirección no dio detalles de la revisión de la FTC ni de posibles desinversiones, más allá de esperar el cierre antes de fin de 2026 [8]. Tampoco cuantificó la subida de precios ni la retención [8,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bruta se ha quedado en unos 2.430 M desde FY2023 mientras el EBITDA pasó de 2.212 a 3.119 M: la deuda neta cayó de 1,1 a 0,7 veces el EBITDA [1]. El circulante comercial (existencias + clientes − proveedores) ronda el 13-14 % de las ventas, pero hay que sumarle el inventario de uniformes en servicio (1.276 M en FY2026, un 11 % de las ventas), que se amortiza en el coste de ventas y crece con los clientes: en FY2026 absorbió 137,6 M de caja [1]. Vencen 1.000 M al 3,70 % en FY2027 (junio de 2027): con UniFirst habrá que refinanciarlos a tipos más altos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FY2019-FY2026: FCF </w:t>
      </w:r>
      <w:r>
        <w:rPr>
          <w:b/>
          <w:bCs/>
        </w:rPr>
        <w:t xml:space="preserve">10.919</w:t>
      </w:r>
      <w:r>
        <w:t xml:space="preserve">, conversión </w:t>
      </w:r>
      <w:r>
        <w:rPr>
          <w:b/>
          <w:bCs/>
        </w:rPr>
        <w:t xml:space="preserve">101 %</w:t>
      </w:r>
      <w:r>
        <w:t xml:space="preserve"> del beneficio neto; adquisiciones 868, dividendos 3.609, recompras 6.547.</w:t>
      </w:r>
    </w:p>
    <w:p>
      <w:pPr>
        <w:spacing w:after="100"/>
      </w:pPr>
      <w:r>
        <w:t xml:space="preserve">La conversión es alta: el flujo operativo de FY2026 fue de 2.276 M y la caja libre (después de 395 M de capex) de 1.881 M, un 94 % del beneficio neto [1]. En los últimos doce meses, 2.034 M [4]. El capex se mantiene en el 3,5-4,3 % de las ventas desde FY2023; la empresa no separa mantenimiento y crecimiento. Estimación propia: el capex de mantenimiento ronda la depreciación del inmovilizado (318,6 M); el resto es capacidad, tecnología y SAP [1]. Además de lo que se ve en el capex, el flujo operativo ya descuenta dos inversiones de crecimiento: el aumento del inventario en servicio (137,6 M) y las comisiones activadas (unos 134 M, estimación propia con la variación del saldo de 371,8 a 400,7 M más 105,4 M de amortización) [1]. Las compras son pequeñas (164,5 M en FY2026). La caja se devolvió casi entera: 701 M de dividendos y 952 M de recompras en FY2026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Pocas señales. El auditor es el mismo desde 1968 [1]: rotación nula, aunque el socio rota por ley. Activaciones: comisiones de venta (400,7 M de saldo, amortizadas en 8 años de media) y software (387,5 M en equipo y 77,1 M en curso, a 10 años) [1]; ambas suben el EBITDA frente a la caja, por unos 140 M al año. La remuneración en acciones es de 128,1 M (6,4 % del beneficio neto) [1]. El inventario en servicio se amortiza en 18-30 meses: alargar esas vidas mejoraría el margen bruto sin caja, y es justo la partida que la dirección cita como fuente de mejora del margen («uso más eficiente del inventario en servicio») [1]; no vemos cambio de criterio, pero hay que vigilarlo. El tipo efectivo (20,2 %) baja por el efecto fiscal de las opciones [1]. Leemos los indicadores del motor en el informe: Altman alto por el poco endeudamiento, Piotroski alto por márgenes y caja crecientes, Beneish sin alarma.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apoyado en la amortización del inventario en servicio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mejora de 70 puntos básicos del margen de uniformes se atribuye a un uso más eficiente del inventario en servicio; no hay cambio de vidas útiles publicado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y software activados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140 M de amortización al año que el EBITDA suma; la caja libre los descuenta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desde 1968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Independencia formal: comisión de auditoría solo de independientes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134,6 % · </w:t>
      </w:r>
      <w:r>
        <w:rPr>
          <w:b/>
          <w:bCs/>
        </w:rPr>
        <w:t xml:space="preserve">WACC</w:t>
      </w:r>
      <w:r>
        <w:t xml:space="preserve">: 9,7 %.</w:t>
      </w:r>
    </w:p>
    <w:p>
      <w:pPr>
        <w:spacing w:after="100"/>
      </w:pPr>
      <w:r>
        <w:t xml:space="preserve">Cintas crea mucho valor: el ROIC del último ejercicio es del 29,6 %, unos 20 puntos por encima del WACC del 9,67 %, y ha subido cada año desde el 23,5 % de FY2023 por el margen, no por la rotación. El ROIC incremental histórico es del 134,6 %: el beneficio operativo crece con muy poco capital nuevo porque cada cliente o producto añadido a una ruta usa planta y camión ya pagados. El retorno sobre el patrimonio es más alto aún por las recompras. Frente a los competidores, la diferencia es enorme: UniFirst y Vestis tienen márgenes EBIT del 7,9 % y del 4,2 % con el mismo producto y ROIC del 5 % [13, 14]. El ROIC con el fondo de comercio de G&amp;K incluido ya supera el 25 %; UniFirst lo diluirá: 5.500 M de capital nuevo para unos 570 M de beneficio operativo con todas las sinergias (estimación propia: 196 M de EBIT de consenso de UniFirst más 375 M) [13], un 8 % después de impuestos.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243,6 M al 31-ago-2026 y línea de crédito no dispuesta de 2.000 M hasta marzo de 2031, ampliable en 1.000 M; programa de papel comercial sin saldo [7, 10]. Financiación puente comprometida para la parte en efectivo de UniFirst [1].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pensiones de prestación definida relevantes: el Partners' Plan es de aportación definida [1]. Arrendamientos operativos de 280,7 M (US GAAP: su gasto ya está en el EBITDA, no van al puente) [7]. Cartas de crédito por 125,8 M [1]. Covenant de deuda/EBITDA de 3,5 veces, ampliable a 4,0 durante cuatro trimestres tras una compra relevante; hoy está en 0,7 veces [10]. Pasivo diferido de 548,9 M por impuestos [7]. Coberturas de tipos sobre 500 M de emisiones futuras con valor positivo de 109,5 M [1]. Inversiones de 448,9 M que respaldan el plan de compensación diferida [7]. La compra de UniFirst supondrá unos 2.900 M en efectivo (155 USD por acción) financiados con deuda: la empresa prevé un apalancamiento neto de 1,5 veces al cierre [11].</w:t>
      </w:r>
    </w:p>
    <w:p>
      <w:pPr>
        <w:pStyle w:val="Heading1"/>
      </w:pPr>
      <w:r>
        <w:t xml:space="preserve">12. Asignación de capital</w:t>
      </w:r>
    </w:p>
    <w:p>
      <w:pPr>
        <w:pStyle w:val="Confianza"/>
        <w:spacing w:after="100"/>
      </w:pPr>
      <w:r>
        <w:t xml:space="preserve">Confianza: Alta</w:t>
      </w:r>
    </w:p>
    <w:p>
      <w:pPr>
        <w:spacing w:after="100"/>
      </w:pPr>
      <w:r>
        <w:t xml:space="preserve">Dividendo trimestral creciente: subió un 15,6 % en julio de 2026, hasta 0,52 USD por trimestre (2,08 USD al año) [4]. Recompras: quedan unos 440 M del programa de julio de 2024 y 1.000 M del de octubre de 2025; en el 1T FY2027 y hasta el 22-sep se recompraron 544,7 M [1, 4]. Prioridades declaradas: crecimiento orgánico, compras, recompras y dividendos según la perspectiva económica [1]. La compra de UniFirst (unos 2.900 M en efectivo) se financia con deuda y llevará el apalancamiento a 1,5 veces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G&amp;K Services (uniformes, EE. UU. y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el margen EBIT del grupo pasó de 14,5 % en FY2017 a 23,1 % en FY2026; sin deterioros del fondo de comercio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de franquicias de uniformes, primeros auxilios y protección contra incendios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Suman 0,4-1,2 puntos de crecimiento al año; sin deterioros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UniFirst (uniformes, EE. UU. y Canadá); pendiente de la FTC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155 USD en efectivo (deuda) y 0,7720 acciones de Cintas por acción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8,0 veces el EBITDA con 375 M de sinergias en cuatro años; sin ellas, unas 17 veces (estimación propia con el EBITDA de consenso de UniFirst) [11].</w:t>
            </w:r>
          </w:p>
        </w:tc>
      </w:tr>
    </w:tbl>
    <w:p>
      <w:pPr>
        <w:spacing w:after="160" w:before="0"/>
      </w:pPr>
    </w:p>
    <w:p>
      <w:pPr>
        <w:spacing w:after="100"/>
      </w:pPr>
      <w:r>
        <w:t xml:space="preserve">Cintas es buena asignadora de capital: con un ROIC alto, reinvierte poco y devuelve casi toda la caja libre, y las recompras han reducido las acciones diluidas de 440 M (FY2019, en acciones de hoy) a 406 M en FY2026 [3]. G&amp;K, la última gran compra, se integró con márgenes crecientes. UniFirst es la apuesta grande: 5.500 M (el 7 % del valor de Cintas) a 17 veces el EBITDA sin sinergias, y emisión de unos 14 M de acciones (3,5 % de dilución, estimación propia con unos 18,6 M de acciones de UniFirst). Solo se paga si llegan las sinergias de 375 M, que equivalen a un 15 % de las ventas de UniFirst.</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Todd M. Schneider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(presidente hasta jul-2026)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Cintas desde 1989; fue director de operaciones. Con él, el margen operativo pasó del 19,5 % (FY2021) al 23,1 % (FY2026) y el BPA de 2,56 a 4,91 USD [1,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Farmer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primer ejecutivo de 2003 a 2021 y presidente desde 2016. Controla el 14,0 % del capital a través de sociedades familiares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N. Rozakis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de operaciones; desde el 1-ago-2026 presidente y COO al separarse los cargos de presidente y primer ejecutivo: posible sucesor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A. Garula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primer año completo en FY2026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 Brock Denton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Secretario general y director jurídico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la operación UniFirst ante la FTC [19].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11.210-11.240 M (marzo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11.265 M; BPA 4,91 (ajustado 4,94) [1, 22]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12.100-12.250 M y BPA ajustado 5,36-5,50 (julio); subida a 12.150-12.270 M y 5,45-5,54 (septiembre)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1T con BPA ajustado 1,39 frente a 1,35 de consenso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subida durante el año (patrón habitual)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4,40 USD, +16 %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formado dentro de la casa: Schneider lleva 37 años en la empresa y Rozakis asciende a presidente y COO en agosto de 2026, lo que ordena la sucesión [19]. La guía es conservadora y se sube durante el año: en FY2027 ya la subieron en septiembre [4]. El control de la familia Farmer (14 %) da estabilidad y horizonte largo, pero concentra el poder en la presidencia ejecutiva y en un comité ejecutivo con el cuñado de Farmer [19].</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Farmer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Todd M. Schneider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Scaminace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E. Coletti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Beverly K. Carmichael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L. Carnahan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Mucci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W. Tysoe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Melanie W. Barstad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(sale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95,0 %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3,57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Farmer (sociedades familiares Summer Hill)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abril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enero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(sobre acciones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381,2 M de 780,7 M emitidas al 31-ago-2026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Melanie W. Barstad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Ronald W. Tysoe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del primer ejecutivo depende del BPA diluido, del crecimiento de las ventas y de objetivos no financieros [19]; no hay métrica de rentabilidad del capital (ROIC) ni de rentabilidad para el accionista, lo que en teoría premia crecer comprando (UniFirst). En la práctica el BPA penaliza compras caras. FY2026: 12,16 M en total, con 7,89 M en acciones y 3,07 M de bonus anual; el BPA ajustado quedó entre el objetivo y el máximo [19]. Ratio de 160 veces el salario mediano (75.766 USD) [19]. Farmer cobra 0,99 M sin variable desde FY2025 [19]. El voto consultivo de 2025 aprobó la remuneración con un 95 % [19]. Política contra coberturas de acciones de consejeros [19].</w:t>
      </w:r>
    </w:p>
    <w:p>
      <w:pPr>
        <w:pStyle w:val="Heading2"/>
      </w:pPr>
      <w:r>
        <w:t xml:space="preserve">Operaciones vinculadas, estructura de control y defensas</w:t>
      </w:r>
    </w:p>
    <w:p>
      <w:pPr>
        <w:spacing w:after="100"/>
      </w:pPr>
      <w:r>
        <w:t xml:space="preserve">Una sola clase de acciones y consejo elegido cada año [19]. La familia Farmer controla el 14,0 % y la presidencia ejecutiva; el comité ejecutivo lo forman el consejero coordinador, Farmer y su cuñado Robert E. Coletti, que no cuenta como independiente [19]. Con el 14 % y la autocartera no hay comprador posible sin la familia, y la operación UniFirst hará entrar como accionista a la familia Croatti (que dice que mantendrá su posición) [19]. Seis de nueve consejeros son independientes; auditoría, retribuciones y nombramientos solo con independientes [19]. Sin operaciones vinculadas relevantes publicadas.</w:t>
      </w:r>
    </w:p>
    <w:p>
      <w:pPr>
        <w:pStyle w:val="Heading2"/>
      </w:pPr>
      <w:r>
        <w:t xml:space="preserve">Señales de alerta</w:t>
      </w:r>
    </w:p>
    <w:p>
      <w:pPr>
        <w:pStyle w:val="ListParagraph"/>
        <w:numPr>
          <w:ilvl w:val="0"/>
          <w:numId w:val="2"/>
        </w:numPr>
        <w:spacing w:after="60"/>
      </w:pPr>
      <w:r>
        <w:t xml:space="preserve">Ventas de dos consejeros independientes por 3,6 M USD en 12 meses; ninguna compra en mercado de directivos [20].</w:t>
      </w:r>
    </w:p>
    <w:p>
      <w:pPr>
        <w:pStyle w:val="ListParagraph"/>
        <w:numPr>
          <w:ilvl w:val="0"/>
          <w:numId w:val="2"/>
        </w:numPr>
        <w:spacing w:after="60"/>
      </w:pPr>
      <w:r>
        <w:t xml:space="preserve">Cuñado del presidente en el consejo y en el comité ejecutivo [19].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FY2027 (a mayo de 2027), subida el 23-sep-2026: ventas de 12.150-12.270 M (+7,9-8,9 %; +7,4-8,5 % ajustado por un día laborable más) y BPA ajustado de 5,45-5,54 USD (+10,3-12,1 % sobre 4,94), con intereses netos de unos 103 M y un tipo fiscal del 20,4 % [4 de la nota A: nota de prensa]. Excluye UniFirst, compras futuras y recompras futuras. En julio la guía inicial era de 12.100-12.250 M y 5,36-5,50 USD.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18 analistas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18 analistas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181,00 – 250,00</w:t>
            </w:r>
          </w:p>
        </w:tc>
      </w:tr>
    </w:tbl>
    <w:p>
      <w:pPr>
        <w:spacing w:after="160" w:before="0"/>
      </w:pPr>
    </w:p>
    <w:p>
      <w:pPr>
        <w:pStyle w:val="Heading2"/>
      </w:pPr>
      <w:r>
        <w:t xml:space="preserve">Revisiones de estimaciones</w:t>
      </w:r>
    </w:p>
    <w:p>
      <w:pPr>
        <w:spacing w:after="100"/>
      </w:pPr>
      <w:r>
        <w:t xml:space="preserve">Al alza y pequeñas: el BPA de FY2027 pasó de 5,44 hace 90 días a 5,54 hoy (+1,8 %) y el de FY2028 de 6,05 a 6,16 (+1,8 %) tras subir la guía en septiembre [24]. El 1T batió en ventas (3.014 frente a 2.984 M) y en BPA ajustado (1,39 frente a 1,35) [9]. Solo hay una fuente gratuita con estimaciones completas (Yahoo); el objetivo de precio y el número de analistas se contrastan con Stock Analysis (20 analistas, consenso «Comprar») [25]. Ni una ni otra incluyen UniFirst.</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bl>
    <w:p>
      <w:pPr>
        <w:spacing w:after="160" w:before="0"/>
      </w:pPr>
    </w:p>
    <w:p>
      <w:pPr>
        <w:spacing w:after="100"/>
      </w:pPr>
      <w:r>
        <w:t xml:space="preserve">Cintas ha batido al S&amp;P 500 a 5 y 10 años (14,7 % y 22,4 % anual de precio frente a 12,0 % y 13,9 %) pero se queda atrás a 1 y 3 años (9,6 % frente a 17,5 %; 17,2 % frente a 21,7 %) [23]. La caída máxima de 5 años (−27,7 %) fue de junio de 2025 a mayo de 2026: el múltiplo bajó de 46 a 31 veces el BPA siguiente, con la acción en 161 USD el 13-may-2026 por el miedo al empleo y a la FTC [23]. Desde entonces ha recuperado un 28 % con dos trimestres de subida de guía. La posición corta (3,2 % de las acciones) es alta para Cintas: es la pata corta del arbitraje sobre UniFirst [26].</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Cintas cotiza a 26,4 veces el EBITDA y 40,7 veces el beneficio de los últimos 12 meses, un 16-17 % por encima de su media de ocho cierres (22,8 y 34,7 veces) y en el percentil 75. En base adelantada, la que usa la regla a 12 meses, el PER de hoy (34,1 veces nuestro BPA de FY2028e) está entre la mediana de cinco años (31,1 veces) y el máximo de mayo de 2025 (46,1 veces). El múltiplo se expandió de 2019 a 2025 con los márgenes y con tipos bajos; el bono a 10 años al 5,21 % y el crecimiento más moderado lo han devuelto hacia 31-34 veces. No excluimos ningún año: FY2025 fue el pico, pero está dentro de tres veces la mediana.</w:t>
      </w:r>
    </w:p>
    <w:p>
      <w:pPr>
        <w:pStyle w:val="Heading1"/>
      </w:pPr>
      <w:r>
        <w:t xml:space="preserve">18. Comparables cotizados</w:t>
      </w:r>
    </w:p>
    <w:p>
      <w:pPr>
        <w:pStyle w:val="Confianza"/>
        <w:spacing w:after="100"/>
      </w:pPr>
      <w:r>
        <w:t xml:space="preserve">Confianza: Media</w:t>
      </w:r>
    </w:p>
    <w:p>
      <w:pPr>
        <w:spacing w:after="100"/>
      </w:pPr>
      <w:r>
        <w:t xml:space="preserve">No hay comparables puros: UniFirst cotiza anclada a la oferta (258 USD frente a 314 de valor implícito) y se excluye. Usamos servicios recurrentes en ruta en EE. UU. de alta calidad (Rollins, Ecolab), higiene y textil europeo (Rentokil, Elis), servicios a edificios y externalizados (ISS, ABM, Aramark) y el rival directo en dificultades (Vestis). Las cifras de los seis primeros son las del análisis de Rentokil del 7-oct llevadas al cierre del 13-oct con la variación de precio; Vestis y Aramark, de Stock Analysis del 14-oct, sin EBITDA de los próximos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Cintas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Ecolab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Rentokil Initial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ABM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Vestis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Aramark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11,6x / 15,4x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19,8x / 22,2x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 / 1,5x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Cintas cotiza a 35,8 veces el BPA de los próximos 12 meses frente a una mediana de 19,8 veces de los comparables, y a 26,4 veces el EBITDA frente a 11,6. La prima se explica en parte: crece un 7,9 % frente a un 4-10 % y tiene un ROIC del 29,6 % frente a un 5-24 %; solo Rollins (26,3 veces, ROIC del 23,5 %) y Ecolab (32,2 veces) se acercan. La regresión múltiplo-crecimiento con seis comparables explica un 69 % de la dispersión, pero ninguno combina el crecimiento y el ROIC de Cintas. El PER de la mediana daría 114,27 USD por acción; con el de Ecolab, unos 186. Usamos los comparables solo como contraste (10 % del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UniFirst (uniformes, EE. UU. y Canadá)</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Cintas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 USD por acción (155 en efectivo y 0,7720 acciones de Cintas a 200,77); Cintas publica 8,0 veces el EBITDA de 12 meses con 375 M de sinergias [11]; sin sinergias, 17,1 veces el EBITDA de FY2026e de consenso (321,8 M) [13]. Pendiente de la FTC.</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(control de plagas,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análisis de Rentokil del repositorio (4.537 M GBP a 1,105 USD/GBP; múltiplos sobre las cifras de 2021)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Workwear (textil de Rentokil en Francia)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410 M EUR; 8,2 veces el beneficio operativo ajustado; sin EBITDA publicado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46,62 – 61,17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Solo hay tres operaciones con múltiplo y ninguna es una compra de Cintas: los múltiplos (1,4-2,5 veces las ventas) son de negocios de margen bajo y no sirven para valorarla (valor implícito de 58,43 USD). La operación clave es la de UniFirst: 17,1 veces su EBITDA sin sinergias y 8,0 con ellas [11, 13], muy por debajo de las 26,4 veces a las que cotiza Cintas, lo que la hace acreditiva si se cumplen las sinergias. Cintas no es objetivo de compra: la familia Farmer tiene el 14 % y su tamaño (82.800 M) la deja fuera del alcance de cualquier comprador del sector.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+8,5 % en FY2027e, en el centro de la guía (12.150-12.270 M, +7,9-8,9 %) [4], y bajada gradual al 4,0 % en FY2036e. El crecimiento medio de la proyección (6,3 %) queda por debajo del 7,3 % anual de FY2019-FY2026 y del 8,3 % orgánico de FY2026 [1]: suponemos que el empleo y la penetración se normalizan. El consenso espera +7,5 % en FY2028e (13.170 M) [24] y nosotros el mismo +7,5 %.</w:t>
      </w:r>
    </w:p>
    <w:p>
      <w:pPr>
        <w:keepNext/>
        <w:spacing w:after="100"/>
      </w:pPr>
      <w:r>
        <w:rPr>
          <w:b/>
          <w:bCs/>
        </w:rPr>
        <w:t xml:space="preserve">Márgenes.</w:t>
      </w:r>
    </w:p>
    <w:p>
      <w:pPr>
        <w:spacing w:after="100"/>
      </w:pPr>
      <w:r>
        <w:t xml:space="preserve">Margen EBITDA del 28,2 % en FY2027e (EBIT del 23,7 %, frente al 23,6 % del 1T27) que sube al 30,0 % en FY2035e: unos 20 puntos básicos al año, menos que los 70 de FY2026 [1, 4]. La historia lo apoya: del 21,7 % de FY2019 al 27,7 % de FY2026. El supuesto más exigente es mantener la expansión diez años; el bajista la quita (−1,5 puntos).</w:t>
      </w:r>
    </w:p>
    <w:p>
      <w:pPr>
        <w:keepNext/>
        <w:spacing w:after="100"/>
      </w:pPr>
      <w:r>
        <w:rPr>
          <w:b/>
          <w:bCs/>
        </w:rPr>
        <w:t xml:space="preserve">Inversión y circulante.</w:t>
      </w:r>
    </w:p>
    <w:p>
      <w:pPr>
        <w:spacing w:after="100"/>
      </w:pPr>
      <w:r>
        <w:t xml:space="preserve">Capex del 5,6 % de las ventas, bajando al 5,0 %: 3,5 % de inmovilizado (el de FY2026), 1,2 % de comisiones activadas (que la amortización del EBITDA ya suma) y 1,0 % por el aumento del inventario en servicio, que se amortiza en el coste de ventas y crece con los clientes [1]. Amortización del 4,55 % (la de FY2026). Circulante comercial del 13,7 % (FY2026). Con eso la reinversión neta es pequeña, como en la historia.</w:t>
      </w:r>
    </w:p>
    <w:p>
      <w:pPr>
        <w:keepNext/>
        <w:spacing w:after="100"/>
      </w:pPr>
      <w:r>
        <w:rPr>
          <w:b/>
          <w:bCs/>
        </w:rPr>
        <w:t xml:space="preserve">Coste del capital.</w:t>
      </w:r>
    </w:p>
    <w:p>
      <w:pPr>
        <w:spacing w:after="100"/>
      </w:pPr>
      <w:r>
        <w:t xml:space="preserve">Tasa libre del 5,21 % (Tesoro a 10 años del 13-oct-2026) [27]; beta ajustada mensual de 5 años de 0,93 (la semanal de 2 años es 0,69 y la de 5 años 0,92) [23]; prima de mercado del 5,0 %; coste de la deuda del 4,6 % antes de impuestos (cupón medio del 4,1 % y refinanciación más cara) [1]; peso de la deuda del 3 % a valor de mercado. WACC del 9,67 %. Con la prima implícita del mercado (4,20 %) [28], 8,95 %. La recomendación depende poco de la beta: con la semanal de 2 años (0,69) el WACC bajaría a un 8,5 %, menos que el 8,95 % de la regla relativa, que ya da 135,43 USD, muy por debajo del precio.</w:t>
      </w:r>
    </w:p>
    <w:p>
      <w:pPr>
        <w:keepNext/>
        <w:spacing w:after="100"/>
      </w:pPr>
      <w:r>
        <w:rPr>
          <w:b/>
          <w:bCs/>
        </w:rPr>
        <w:t xml:space="preserve">Valor terminal.</w:t>
      </w:r>
    </w:p>
    <w:p>
      <w:pPr>
        <w:spacing w:after="100"/>
      </w:pPr>
      <w:r>
        <w:t xml:space="preserve">Media de Gordon con un crecimiento del 3,0 % (inflación de EE. UU. más un punto real; por debajo de la tasa libre menos medio punto) y de un múltiplo de salida de 18 veces el EBITDA, el mínimo de los ocho cierres de Cintas y cerca de Rollins (19,2 veces). Gordon solo implica 9,8 veces el EBITDA: con el bono al 5,21 %, un 3 % de crecimiento perpetuo no paga más aunque el ROIC sea del 30 %. El valor terminal pesa un 66 %.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161,53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2.663 M (8 % del NOPAT)</w:t>
            </w:r>
          </w:p>
        </w:tc>
      </w:tr>
    </w:tbl>
    <w:p>
      <w:pPr>
        <w:spacing w:after="160" w:before="0"/>
      </w:pPr>
    </w:p>
    <w:p>
      <w:pPr>
        <w:spacing w:after="100"/>
      </w:pPr>
      <w:r>
        <w:t xml:space="preserve">La proyección apenas necesita inversión neta de la amortización (reinversión acumulada de 2.663 M, el 8 % del NOPAT, con un capex bruto medio del 5,4 % de las ventas). En un negocio de activos ligeros, el crecimiento medio del 6,3 %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+5,5 % (altas de clientes sin programa y venta cruzada; 8,9 % orgánico en el 1T27), precio +2,5 % (estimación propia: la empresa dice que sube como en años anteriores sin dar la cifra) y +0,5 % por un día laborable más y compras pequeñas [4,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+5,0 % y precio +2,5 %: crecimiento orgánico algo por debajo del 8,3 % de FY2026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+4,7 %: penetración de 1 millón de clientes sobre 16-20 millones de empresas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con primeros auxilios creciendo al doble que uniformes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+4,2 % y precio +2,5 %: cuota de uniformes estimada del 18 % al 21 % (prueba a mano).</w:t>
            </w:r>
          </w:p>
        </w:tc>
      </w:tr>
    </w:tbl>
    <w:p>
      <w:pPr>
        <w:spacing w:after="160" w:before="0"/>
      </w:pPr>
    </w:p>
    <w:p>
      <w:pPr>
        <w:spacing w:after="100"/>
      </w:pPr>
      <w:r>
        <w:t xml:space="preserve">Sí. La reinversión de la proyección es solo el 8 % del NOPAT y el motor no hace la prueba de financiación; la hacemos a mano: en FY2019-FY2026 Cintas creció un 7,3 % anual con un capex del 3,5-4,3 % de las ventas y un ROIC incremental del 134,6 %, así que el 6,3 % medio que proyectamos, con un capex bruto del 5,4 % que ya incluye comisiones e inventario en servicio, está dentro de lo que la empresa ha financiado siempre. Prueba de cuota a mano: el segmento de uniformes pasaría de 8.622 M a unos 12.000 M en FY2031e, un 21 % de un mercado de 48.000 M que crezca al 4,5 % (frente al 18 % de hoy; estimación propia sobre la cifra de Vestis) [12], menos de 1,5 veces la actual. Poder de precios demostrado: el margen bruto subió del 50,0 % al 50,7 % con inflación salarial [1].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 (base: 6,3 %)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 (base: 30,0 %)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(WACC: 9,7 %)</w:t>
            </w:r>
          </w:p>
        </w:tc>
      </w:tr>
    </w:tbl>
    <w:p>
      <w:pPr>
        <w:spacing w:after="160" w:before="0"/>
      </w:pPr>
    </w:p>
    <w:p>
      <w:pPr>
        <w:spacing w:after="100"/>
      </w:pPr>
      <w:r>
        <w:t xml:space="preserve">El DCF da 127,42 USD por acción, un 38,3 % por debajo del precio, con un valor terminal del 66 %. El DCF inverso dice que, con un WACC del 9,67 %, el precio de 206,38 USD exige un crecimiento de las ventas del 12,4 % anual en FY2027-FY2036 (el doble de nuestro 6,3 % y por encima de cualquier año orgánico de su historia) o un margen EBITDA del 45,2 % en lugar del 30 %. Otra forma de verlo: el precio rinde un 6,4 % anual, por debajo del 9,67 % que pedimos y del 8,95 % que pide hoy el mercado con su prima implícita. Es exigente. La explicación es el tipo de interés: Cintas cotiza como cuando el bono rendía el 2 %, y el mercado paga su calidad (ROIC del 29,6 %, crecimiento orgánico del 8-9 % sin capital) como un bono de larga duración. No vemos error en las cifras de la empresa; vemos un precio que ya incluye diez años de crecimiento excelente.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en EE. UU. en 2027 y crecimiento orgánico del 4-5 % durante dos años, como en 2009-10; integración de UniFirst con costes y márgenes 1,5 puntos por debajo.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8 % que baja hacia el 4 % en diez años y margen que sube 20 puntos básicos al año; Cintas sola, sin UniFirst.</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penetración de clientes sin programa acelera, primeros auxilios sigue al 14 % y las sinergias de UniFirst llegan antes: crecimiento 1,5 puntos mayor y margen un punto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206,3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125,53 USD (-39,2 %).</w:t>
      </w:r>
    </w:p>
    <w:p>
      <w:pPr>
        <w:spacing w:after="100"/>
      </w:pPr>
      <w:r>
        <w:t xml:space="preserve">Ni el alcista llega al precio: vale 149,42 USD (−27,6 %) frente a 97,85 del bajista (−52,6 %), con un valor ponderado de 125,35. La asimetría es negativa porque el WACC del 9,67 % pesa más que cualquier mejora razonable del negocio. Los escenarios del DCF sirven para medir el riesgo a largo plazo; la señal a 12 meses la da la regla de múltiplos, con un bajista de 140,68, un base de 197,23 y un alcista de 211,57 USD.</w:t>
      </w:r>
    </w:p>
    <w:p>
      <w:pPr>
        <w:pStyle w:val="Heading1"/>
      </w:pPr>
      <w:r>
        <w:t xml:space="preserve">22. Suma de partes</w:t>
      </w:r>
    </w:p>
    <w:p>
      <w:pPr>
        <w:pStyle w:val="Confianza"/>
        <w:spacing w:after="100"/>
      </w:pPr>
      <w:r>
        <w:t xml:space="preserve">Confianza: Media</w:t>
      </w:r>
    </w:p>
    <w:p>
      <w:pPr>
        <w:spacing w:after="100"/>
      </w:pPr>
      <w:r>
        <w:t xml:space="preserve">No aplica: los tres negocios comparten clientes, rutas y sistemas, tienen márgenes operativos parecidos (24,1 %, 25,4 % y 15,3 %) y no hay comparables cotizados puros de cada uno.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206,3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125,35 USD (-39,3 % sobre 206,38).</w:t>
      </w:r>
    </w:p>
    <w:p>
      <w:pPr>
        <w:spacing w:after="100"/>
      </w:pPr>
      <w:r>
        <w:t xml:space="preserve">Pesamos el DCF con un 50 %, los escenarios con un 40 % y los comparables con un 10 %: el DCF recoge lo que distingue a Cintas (ROIC del 29,6 % y crecimiento sin capital), mientras que ningún comparable tiene su perfil y sus múltiplos (mediana de 19,8 veces el BPA) la valorarían en 114,27 USD; las transacciones son de negocios de margen bajo y no pesan. El resultado, 125,35 USD (−39,3 %), es coherente entre métodos: todos quedan entre 87 y 150 USD. Con la prima implícita del mercado, 135,43 USD. La dispersión muestra que el precio de 206,38 descansa en el múltiplo histórico, no en flujos: solo con un WACC del 6,4 % se justifica.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(34.1x) a mitad de camino hacia abajo, hacia la mediana de 5 años (31.1x)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rPr>
          <w:b/>
          <w:bCs/>
        </w:rPr>
        <w:t xml:space="preserve">Objetivo a 12 meses (ponderado):</w:t>
      </w:r>
      <w:r>
        <w:t xml:space="preserve"> 186,68 USD · rentabilidad -8,6 % (base -3,5 %) · señal Mantener.</w:t>
      </w:r>
    </w:p>
    <w:p>
      <w:pPr>
        <w:spacing w:after="100"/>
      </w:pPr>
      <w:r>
        <w:t xml:space="preserve">Para comparar, con la regla v2 (historia al cierre, mismo precio): 29,0x / 34,1x / 36,8x, -1,2 % Mantener. Decide la regla vigente (v3 con tope ×1,1; METODO-VIGENTE.md).</w:t>
      </w:r>
    </w:p>
    <w:p>
      <w:pPr>
        <w:keepNext/>
        <w:spacing w:after="100"/>
      </w:pPr>
      <w:r>
        <w:rPr>
          <w:b/>
          <w:bCs/>
        </w:rPr>
        <w:t xml:space="preserve">Frente al consenso (solo contraste).</w:t>
      </w:r>
    </w:p>
    <w:p>
      <w:pPr>
        <w:spacing w:after="100"/>
      </w:pPr>
      <w:r>
        <w:t xml:space="preserve">Nuestro BPA de FY2028e (6,05 USD) está un 1,8 % por debajo del consenso (6,16) y nuestras ventas coinciden (13.139 frente a 13.170 M): la diferencia son las recompras, que no incluimos porque la regla no admite recompras no anunciadas y porque UniFirst las frenará. El objetivo base (197,23) queda un 9,7 % por debajo del objetivo medio de los analistas (218,31): ellos aplican unas 35 veces el BPA de FY2028, por encima de nuestro 32,6 de la regla común. Su rango (181-250) incluye nuestro base.</w:t>
      </w:r>
    </w:p>
    <w:p>
      <w:pPr>
        <w:keepNext/>
        <w:spacing w:after="100"/>
      </w:pPr>
      <w:r>
        <w:rPr>
          <w:b/>
          <w:bCs/>
        </w:rPr>
        <w:t xml:space="preserve">Del valor intrínseco al objetivo a 12 meses.</w:t>
      </w:r>
    </w:p>
    <w:p>
      <w:pPr>
        <w:spacing w:after="100"/>
      </w:pPr>
      <w:r>
        <w:t xml:space="preserve">El objetivo a 12 meses (186,68 USD, −8,6 % con dividendo) está un 49 % por encima del valor intrínseco (125,35 USD): el mercado paga por Cintas un múltiplo que nuestro DCF con el bono al 5,21 % no justifica, y en un año ese múltiplo solo se mueve a mitad de camino hacia su mediana (de 34,1 a 32,6 veces). Para cerrar la distancia hacia el valor intrínseco haría falta una bajada del múltiplo a 20-21 veces, que no se ha visto en una década; para cerrarla hacia arriba, tipos mucho más bajos. La tesis es de varios años y de precio de entrada, no un catalizador a 12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11-dic-2026 en adelante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FTC sobre UniFirst (fin del acuerdo de plazos)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(quizá con desinversiones): sinergias de 375 M y cierre del arbitraje; bloqueo: rescisión y fin de la tesis de consolidación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17-dic-2026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el crecimiento orgánico sigue cerca del 9 % y de la guía de 5,45-5,54 USD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Financiación de UniFirst (unos 2.900 M de deuda) y refinanciación de 1.000 M que vencen en junio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Intereses netos más altos: el coste del 3,7 % actual sube a algo más del 5 %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 y primera integración de UniFirst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sinergias y costes de integración; dilución del 3,5 % de las acciones.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 y guía de FY2028 con UniFirst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 el BPA de FY2028 que mira la regla a 12 meses; la empresa la suele subir durante el año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(bajista a 12 meses: 26,1 veces × 5,39)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crecimiento estables; el múltiplo ya bajó de 46 a 31 veces en 2025-26.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 o crecimiento orgánico por debajo del 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FTC bloquea UniFirst o exige grandes ventas de plantas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 pérdida del valor de las sinergias)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Cintas puede seguir creciendo sola al 8 %; nuestro DCF y nuestro BPA ya son sin UniFirst.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la FTC en diciembre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UniFirst por debajo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con G&amp;K (2017), que subió los márgenes del grupo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grupo por debajo del 22 % en FY2028.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industrial y de servicios a la baja (recesión)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(bajista del DCF: crecimiento −2,5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de las altas son nuevos programas; en FY2021 mantuvo el beneficio [1,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uniformes por debajo del 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 artificial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servicio es físico (lavar, reparar, reponer, revisar extintores) y sus clientes son sobre todo trabajadores de planta, ruta, sanidad y hostelería; la IA amenaza más el empleo de oficina, que no lleva uniforme. Puede ayudar a Cintas en rutas y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número de empleados con uniforme por cliente.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precio de Vestis y de la compra directa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márgenes de 15-19 puntos durante una década [13,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uniformes a la baja en las conferencias.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margen (vidas útiles del inventario en servicio)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de criterio publicados; auditor sin salvedades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en el rango de 18-30 meses de amortización.</w:t>
            </w:r>
          </w:p>
        </w:tc>
      </w:tr>
    </w:tbl>
    <w:p>
      <w:pPr>
        <w:spacing w:after="160" w:before="0"/>
      </w:pPr>
    </w:p>
    <w:p>
      <w:pPr>
        <w:pStyle w:val="Heading2"/>
      </w:pPr>
      <w:r>
        <w:t xml:space="preserve">Pre-mortem</w:t>
      </w:r>
    </w:p>
    <w:p>
      <w:pPr>
        <w:spacing w:after="100"/>
      </w:pPr>
      <w:r>
        <w:t xml:space="preserve">Octubre de 2029: la acción ha perdido un 40 %. La FTC dejó pasar UniFirst a cambio de vender un tercio de sus plantas, y la integración costó más y tardó más de lo previsto: el margen operativo del grupo cayó del 23,6 % al 21 % en FY2028 mientras se unían rutas y sistemas, y las sinergias se retrasaron a 2030. A la vez, la economía de EE. UU. entró en recesión en 2027 y el crecimiento orgánico bajó del 9 % al 4 %, como el sector en 2009; los clientes pequeños redujeron prendas y servicios. Con el bono a 10 años por encima del 5 %, el mercado dejó de pagar 34 veces por un 4 % de crecimiento y llevó el múltiplo hacia 24 veces, el de una empresa de calidad sin crecimiento extraordinario. El BPA de FY2029 se quedó en 5,6 USD en vez de los 6,5 del caso base y el precio cayó a unos 135 USD. La señal temprana habría sido el crecimiento orgánico de uniformes por debajo del 6 % durante dos trimestres y los costes de integración por encima de lo guiado en el primer año.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Agua y energía de las lavanderías industriales: los procesos usan menos agua que el lavado doméstico y las aguas se tratan en planta según los permisos locales [1]; el coste de la energía es material para el margen bruto (su bajada ayudó en FY2026) [1]. Seguridad laboral en plantas y rutas, con 48.100 empleados [1]. Cadena de suministro textil (Honduras, México y proveedores externos) con código de conducta de proveedores [1].</w:t>
      </w:r>
    </w:p>
    <w:p>
      <w:pPr>
        <w:pStyle w:val="Heading2"/>
      </w:pPr>
      <w:r>
        <w:t xml:space="preserve">Controversias</w:t>
      </w:r>
    </w:p>
    <w:p>
      <w:pPr>
        <w:spacing w:after="100"/>
      </w:pPr>
      <w:r>
        <w:t xml:space="preserve">Litigio City of Laurel (contratos con agencias públicas): acuerdo de 45 M en marzo de 2024 [2]. No encontramos sanciones ambientales materiales en el 10-K de FY2026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UniFirst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desinversiones han ofrecido a la FTC y qué parte de los 375 M de sinergias se perdería con ellas?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compra crea valor a 17 veces el EBITDA sin sinergias.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aportó el precio al 8,9 % orgánico del 1T27 y cuánto la retención?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volumen de precio en el puente de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cambiado las vidas útiles o las prácticas de reutilización del inventario en servicio en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fuente de mejora del margen bruto que cita la empresa.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refinanciarán los 1.000 M que vencen en junio de 2027 y la deuda de UniFirst, y a qué coste?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tipo sobre 4.000 M son 0,08 USD de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mantendrán las recompras con el apalancamiento de 1,5 veces tras UniFirst?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FY2028 las incluye; nuestro BPA 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uso hacen de la IA en planificación de rutas y venta, y qué ahorro esperan?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Puede ser fuente de margen, no solo un riesgo.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docena de análisis desde abril: la mitad ve el negocio excelente pero la acción «totalmente valorada» o «un poco cara» (septiembre), y la otra mitad habla de «comprar la caída» tras el desplome de mayo; uno la presenta como refugio frente a la IA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($CTAS)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del 23-sep dominan los mensajes de «batir y subir» (crecimiento orgánico 8,9 %, margen récord); los bajistas apuntan a 160 USD y a que «cae con cualquier resultado»; algunos esperan 260 USD si se aprueba UniFirst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($UNF, arbitraje)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arbitrajistas ven creciente el riesgo regulatorio: comentan que Bernstein alertó en septiembre de más escrutinio y de la ampliación de la diferencia entre las dos acciones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(noticias,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cumplimiento con la FTC y de que las partes evalúan remedios (desinversiones) [22,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múltiplo: a 34,1 veces nuestro BPA de FY2028e, por encima de su mediana adelantada de cinco años (31,1 veces), y el DCF con el bono al 5,21 % da 127,42 USD. No en el negocio, que sigue batiendo.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Aprobación de UniFirst por la FTC</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FTC no puede actuar antes del 11-dic-2026 por el acuerdo de plazos [16]; UniFirst cotiza a 258,08 USD frente a 314 de valor de la oferta, un descuento del 18 % que descuenta un riesgo serio de bloqueo o de remedios.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por volumen y márgenes récord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confirman las cuentas: 8,9 % orgánico y 51,5 % de margen bruto en el 1T27 [4].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y ciclo (facturan por empleado)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parcial: la factura de uniformes depende de los empleados con uniforme, pero dos tercios de las altas vienen de nuevos programas, no del empleo [8]; en FY2021 las ventas solo crecieron un 0,4 %.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Refugio frente a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Coincidimos: lavar y repartir no se automatiza con IA; el riesgo es indirecto (menos empleo de oficina en clientes) y pequeño.</w:t>
            </w:r>
          </w:p>
        </w:tc>
      </w:tr>
    </w:tbl>
    <w:p>
      <w:pPr>
        <w:spacing w:after="160" w:before="0"/>
      </w:pPr>
    </w:p>
    <w:p>
      <w:pPr>
        <w:spacing w:after="100"/>
      </w:pPr>
      <w:r>
        <w:t xml:space="preserve">El sentimiento no es extremo: el particular admira el negocio y discute el precio, igual que nosotros. Lo que sí aporta es el mercado del arbitraje: UniFirst cotiza con un descuento del 18 % sobre el valor de la oferta y la posición corta de Cintas (3,2 % de las acciones) es la pata corta de esa operación. Si la FTC aprueba en diciembre, el cierre de esas posiciones puede dar un empujón a corto plazo a Cintas; si bloquea, Cintas pierde la tesis de sinergias pero conserva su crecimiento orgánico. No cambia la recomendación.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32 (14 primarias); citas distintas en el texto: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13,7 % frente a 13,7 % real: genera una variación de circulante de 134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21,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y EBITDA de 2T25-4T25 y 2T26-4T26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trimestral de companyfacts (solo ingresos, EBIT y BPA; el 4T se deriva del anual); 2) notas de prensa del 3T26 y 4T26 (comparativas de ingresos y BPA); 3) amortización trimestral no publicada en las notas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(no lo cita); 2) 8-K de la línea de crédito (márgenes por rating sin la nota); 3) folletos de bonos no descargados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(no las citan); 2) web de la empresa (no consultada por tiempo); 3) MSCI y Sustainalytics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del mercado y segunda fuente independiente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Cintas (solo número de empresas); 2) web de Vestis (48.000 M sin año); 3) búsqueda de informes sectoriales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en contra de la remuneración (tres últimas juntas)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«aproximadamente un 95 % a favor» en 2025); 2) 8-K de resultados de la junta de 2025 (no descargado por tiempo); 3) prensa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consenso y BPA de FY2029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(solo ventas y BPA de dos años); 2) MarketScreener (página de Cintas no localizada sin registro); 3) Stock Analysis (FY2028-29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los próximos 12 meses de Vestis y Aramark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LTM); 2) MarketScreener (502 y páginas no localizadas); 3) Yahoo (sin EBITDA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y comentarios de lectores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(bloqueado, 403); 2) búsqueda en la web de hilos de Reddit (sin resultados útiles); 3) se sustituye por Stocktwits de UniFirst (arbitraje)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(no da tamaño en dinero); 2) Vestis: 48.000 M para uniformes y suministros, que no incluye primeros auxilios ni incendios; 3) prueba de cuota hecha a mano con las ventas del segmento de uniformes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Cintas Corporation, Form 10-K del ejercicio cerrado el 31-may-2026 (cuentas, notas 1-14)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Cintas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https://www.sec.gov/Archives/edgar/data/723254/000072325426000028/ctas-20260531.htm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Cintas Corporation, Form 10-K del ejercicio cerrado el 31-may-2024 (segmentos FY2022-FY2024, litigio City of Laurel)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Cintas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https://www.sec.gov/Archives/edgar/data/723254/000072325424000036/ctas-20240531.htm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hechos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https://data.sec.gov/api/xbrl/companyfacts/CIK0000723254.json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Announces Fiscal 2027 First Quarter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https://www.sec.gov/Archives/edgar/data/723254/000072325426000044/ex992026-8x31.htm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Announces Fiscal 2026 Fourth Quarter and Full Year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https://www.sec.gov/Archives/edgar/data/723254/000072325426000025/ex992026-5x31.htm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Announces Fiscal 2026 Third Quarter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https://www.sec.gov/Archives/edgar/data/723254/000072325426000006/ex992026-2x28.htm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Form 10-Q del trimestre cerrado el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https://www.sec.gov/Archives/edgar/data/723254/000072325426000047/ctas-20260831.htm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Transcript: Cintas Q1 earnings call highlights (resumen de la conferencia del 23-sep-2026)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https://www.marketbeat.com/instant-alerts/transcript-cintas-q1-earnings-call-highlights-2026-09-23/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Says Volume, Not Price Hikes, Is Powering Its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 (Dow Jones)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https://www.itiger.com/news/2669433948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Agreement de 2.000 M USD con KeyBank (8-K, punto 1.01)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https://www.sec.gov/Archives/edgar/data/723254/000072325426000010/ctas-20260327.htm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to acquire UniFirst in $5.5 billion transaction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https://www.sec.gov/Archives/edgar/data/723254/000095010326003567/dp243132_ex9901.htm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Vestis: Company Information («estimated $48 billion dollar industry»)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Vestis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https://ir.vestis.com/company-information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UniFirst Corporation: previsiones financieras (ventas y EBITDA FY2021-FY2028)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https://www.marketscreener.com/quote/stock/UNIFIRST-CORPORATION-14749/finances/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Vestis Corporation (VSTS):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https://stockanalysis.com/stocks/vsts/statistics/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Aramark (ARMK):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https://stockanalysis.com/stocks/armk/statistics/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8-K del 6-oct-2026: FTC (segunda solicitud, acuerdo de plazos hasta el 11-dic-2026) y Competition Bureau de Canadá</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https://www.sec.gov/Archives/edgar/data/723254/000095010326015293/dp254677_8k.htm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Rentokil Initial del repositorio (Elis, ABM, Rollins, Ecolab, ISS: márgenes y comparables a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informes/rentokil-2026-10-07/datos-v3.json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servicios a empresas, uniformes, higiene y seguridad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sectores/servicios-uniformes-2026-10-14.md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2026: grupo de comparación del rendimiento para el accionista (ABM, Aramark, Rollins y UniFirst)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https://www.sec.gov/Archives/edgar/data/723254/000072325426000040/ctas-20260915.htm#tsr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Cintas presentados entre el 14-oct-2025 y el 14-oct-2026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https://www.sec.gov/cgi-bin/browse-edgar?action=getcompany&amp;CIK=0000723254&amp;type=4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8-K del 27-ago-2026: Melanie W. Barstad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https://www.sec.gov/Archives/edgar/data/723254/000095010326013001/dp252376_8k.htm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outlines $11.21B–$11.24B FY26 revenue target (3T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https://seekingalpha.com/symbol/CTAS/news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(CTAS, ^GSPC, XLI) hasta el 13-oct-2026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https://finance.yahoo.com/quote/CTAS/history/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(CTAS): Analysis (consenso de ventas y BPA FY2027-FY2028, tendencia a 90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https://finance.yahoo.com/quote/CTAS/analysis/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(CTAS) Stock Forecast &amp; Price Target (20 analistas, objetivo medio, mínimo y máximo)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https://stockanalysis.com/stocks/ctas/forecast/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(CTAS): Statistics &amp; Valuation (capitalización, posición corta, participación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https://stockanalysis.com/stocks/ctas/statistics/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cierres del 7 y 13-oct-2026 de ROL, ECL, ELIS.PA, ISS.CO, ABM, RTO.L, UNF, VSTS y ARMK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 y análisis de CTAS (RSS, mar-oct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https://seekingalpha.com/api/sa/combined/CTAS.xml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$CTAS (sep-oct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https://api.stocktwits.com/api/2/streams/symbol/CTAS.json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$UNF (jun-oct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https://api.stocktwits.com/api/2/streams/symbol/UNF.json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88,6 %</w:t>
      </w:r>
      <w:r>
        <w:t xml:space="preserve"> · Secciones con menos del 60 % de campos cubiertos: </w:t>
      </w:r>
      <w:r>
        <w:rPr>
          <w:b/>
          <w:bCs/>
        </w:rPr>
        <w:t xml:space="preserve">ninguna</w:t>
      </w:r>
      <w:r>
        <w:t xml:space="preserve"> · Generado el 14 oct 2026.</w:t>
      </w:r>
    </w:p>
    <w:p>
      <w:pPr>
        <w:pStyle w:val="Nota"/>
        <w:spacing w:after="100"/>
      </w:pPr>
      <w:r>
        <w:t xml:space="preserve">Ejercicio fiscal a 31 de mayo, etiquetado por el año en que termina (FY2026 = junio de 2025 a mayo de 2026); los trimestres «1T27» son el primer trimestre de FY2027 (junio-agosto de 2026). Precio: cierre del 13-oct-2026 (206,38 USD), porque la sesión del 14-oct no había cerrado al hacer el análisis. Cuentas FY2019-FY2026 del XBRL de la SEC comprobadas con los 10-K de FY2026 y FY2024; BPA, DPA y acciones de FY2019-FY2022 divididos entre 4 por el desdoblamiento de 2024; coste de ventas de FY2019-FY2022 derivado (ingresos − gastos comerciales − EBIT). Valoración de Cintas sola: la compra de UniFirst (cierre esperado antes de fin de 2026, pendiente de la FTC) no está en el DCF ni en el BPA de FY2028e, y la guía y el consenso tampoco la incluyen; la empresa dice que será acreditiva al BPA al final del segundo ejercicio completo, así que su efecto en FY2028e debería ser pequeño. Acciones: 397,1 M en circulación al 30-sep-2026 más 4,1 M de dilución de opciones; la caja del 31-ago se reduce en 500 M (estimación propia: 2,4 M de acciones recompradas en septiembre a unos 205 USD). Comparables de seis empresas tomados del análisis de Rentokil del 7-oct y llevados al cierre del 13-oct con la variación de precio, sin mover los tipos de cambio. Consenso de una sola fuente con estimaciones (Yahoo Finance) contrastada en objetivo de precio con Stock Analysis.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Cintas Corporation (CTAS)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206,38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(161,16 – 219,17)</c:v>
                </c:pt>
                <c:pt idx="1">
                  <c:v>Precio objetivo de los analistas (181,00 – 250,00)</c:v>
                </c:pt>
                <c:pt idx="2">
                  <c:v>Comparables: PER NTM (78,06 – 127,98)</c:v>
                </c:pt>
                <c:pt idx="3">
                  <c:v>DCF (WACC y g ± 0,5) (118,65 – 138,32)</c:v>
                </c:pt>
                <c:pt idx="4">
                  <c:v>Escenarios (bajista – alcista) (97,85 – 149,42)</c:v>
                </c:pt>
                <c:pt idx="5">
                  <c:v>DCF con la prima implícita del mercado (4,2 %)</c:v>
                </c:pt>
                <c:pt idx="6">
                  <c:v>Precio actual (206,38)</c:v>
                </c:pt>
              </c:strCache>
            </c:strRef>
          </c:cat>
          <c:val>
            <c:numRef>
              <c:f>Hoja1!$B$2:$B$8</c:f>
              <c:numCache>
                <c:formatCode>#,##0</c:formatCode>
                <c:ptCount val="7"/>
                <c:pt idx="0">
                  <c:v>161.16</c:v>
                </c:pt>
                <c:pt idx="1">
                  <c:v>181</c:v>
                </c:pt>
                <c:pt idx="2">
                  <c:v>78.06</c:v>
                </c:pt>
                <c:pt idx="3">
                  <c:v>118.65</c:v>
                </c:pt>
                <c:pt idx="4">
                  <c:v>97.85</c:v>
                </c:pt>
                <c:pt idx="5">
                  <c:v>130.69</c:v>
                </c:pt>
                <c:pt idx="6">
                  <c:v>205.35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(161,16 – 219,17)</c:v>
                </c:pt>
                <c:pt idx="1">
                  <c:v>Precio objetivo de los analistas (181,00 – 250,00)</c:v>
                </c:pt>
                <c:pt idx="2">
                  <c:v>Comparables: PER NTM (78,06 – 127,98)</c:v>
                </c:pt>
                <c:pt idx="3">
                  <c:v>DCF (WACC y g ± 0,5) (118,65 – 138,32)</c:v>
                </c:pt>
                <c:pt idx="4">
                  <c:v>Escenarios (bajista – alcista) (97,85 – 149,42)</c:v>
                </c:pt>
                <c:pt idx="5">
                  <c:v>DCF con la prima implícita del mercado (4,2 %)</c:v>
                </c:pt>
                <c:pt idx="6">
                  <c:v>Precio actual (206,38)</c:v>
                </c:pt>
              </c:strCache>
            </c:strRef>
          </c:cat>
          <c:val>
            <c:numRef>
              <c:f>Hoja1!$C$2:$C$8</c:f>
              <c:numCache>
                <c:formatCode>#,##0</c:formatCode>
                <c:ptCount val="7"/>
                <c:pt idx="0">
                  <c:v>58.00999999999999</c:v>
                </c:pt>
                <c:pt idx="1">
                  <c:v>69</c:v>
                </c:pt>
                <c:pt idx="2">
                  <c:v>49.92</c:v>
                </c:pt>
                <c:pt idx="3">
                  <c:v>19.669999999999987</c:v>
                </c:pt>
                <c:pt idx="4">
                  <c:v>51.56999999999999</c:v>
                </c:pt>
                <c:pt idx="5">
                  <c:v>17.069999999999993</c:v>
                </c:pt>
                <c:pt idx="6">
                  <c:v>2.0600000000000023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Uniformes y servicios a instalaciones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6227</c:v>
                </c:pt>
                <c:pt idx="1">
                  <c:v>6897.1</c:v>
                </c:pt>
                <c:pt idx="2">
                  <c:v>7465.2</c:v>
                </c:pt>
                <c:pt idx="3">
                  <c:v>7976.1</c:v>
                </c:pt>
                <c:pt idx="4">
                  <c:v>8621.6</c:v>
                </c:pt>
              </c:numCache>
            </c:numRef>
          </c:val>
        </c:ser>
        <c:ser>
          <c:idx val="1"/>
          <c:order val="1"/>
          <c:tx>
            <c:strRef>
              <c:f>Hoja1!$C$1</c:f>
              <c:strCache>
                <c:ptCount val="1"/>
                <c:pt idx="0">
                  <c:v>Primeros auxilios y seguridad</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832.5</c:v>
                </c:pt>
                <c:pt idx="1">
                  <c:v>951.5</c:v>
                </c:pt>
                <c:pt idx="2">
                  <c:v>1067.3</c:v>
                </c:pt>
                <c:pt idx="3">
                  <c:v>1218.1</c:v>
                </c:pt>
                <c:pt idx="4">
                  <c:v>1391.9</c:v>
                </c:pt>
              </c:numCache>
            </c:numRef>
          </c:val>
        </c:ser>
        <c:ser>
          <c:idx val="2"/>
          <c:order val="2"/>
          <c:tx>
            <c:strRef>
              <c:f>Hoja1!$D$1</c:f>
              <c:strCache>
                <c:ptCount val="1"/>
                <c:pt idx="0">
                  <c:v>Otros (protección contra incendios y venta directa de uniformes)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795</c:v>
                </c:pt>
                <c:pt idx="1">
                  <c:v>967.1</c:v>
                </c:pt>
                <c:pt idx="2">
                  <c:v>1064.1</c:v>
                </c:pt>
                <c:pt idx="3">
                  <c:v>1146</c:v>
                </c:pt>
                <c:pt idx="4">
                  <c:v>1251.3</c:v>
                </c:pt>
              </c:numCache>
            </c:numRef>
          </c:val>
        </c:ser>
        <c:ser>
          <c:idx val="3"/>
          <c:order val="3"/>
          <c:tx>
            <c:strRef>
              <c:f>Hoja1!$E$1</c:f>
              <c:strCache>
                <c:ptCount val="1"/>
                <c:pt idx="0">
                  <c:v>Corporativo (costes de UniFirst)</c:v>
                </c:pt>
              </c:strCache>
            </c:strRef>
          </c:tx>
          <c:spPr>
            <a:solidFill>
              <a:srgbClr val="EDA100"/>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Uniformes y servicios a instalaciones</c:v>
                </c:pt>
                <c:pt idx="1">
                  <c:v>Primeros auxilios y seguridad</c:v>
                </c:pt>
                <c:pt idx="2">
                  <c:v>Otros (protección contra incendios y venta directa de uniformes)</c:v>
                </c:pt>
                <c:pt idx="3">
                  <c:v>Corporativo (costes de UniFirst)</c:v>
                </c:pt>
              </c:strCache>
            </c:strRef>
          </c:cat>
          <c:val>
            <c:numRef>
              <c:f>Hoja1!$B$2:$B$5</c:f>
              <c:numCache>
                <c:formatCode>General</c:formatCode>
                <c:ptCount val="4"/>
                <c:pt idx="0">
                  <c:v>76.5</c:v>
                </c:pt>
                <c:pt idx="1">
                  <c:v>12.4</c:v>
                </c:pt>
                <c:pt idx="2">
                  <c:v>11.1</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Canadá y Latinoamérica</c:v>
                </c:pt>
              </c:strCache>
            </c:strRef>
          </c:cat>
          <c:val>
            <c:numRef>
              <c:f>Hoja1!$B$2:$B$3</c:f>
              <c:numCache>
                <c:formatCode>0"%"</c:formatCode>
                <c:ptCount val="2"/>
                <c:pt idx="0">
                  <c:v>91</c:v>
                </c:pt>
                <c:pt idx="1">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Cintas</c:v>
                </c:pt>
                <c:pt idx="1">
                  <c:v>UniFirst</c:v>
                </c:pt>
                <c:pt idx="2">
                  <c:v>Vestis</c:v>
                </c:pt>
                <c:pt idx="3">
                  <c:v>Aramark (uniformes en Canadá y servicios de alimentación)</c:v>
                </c:pt>
                <c:pt idx="4">
                  <c:v>Elis</c:v>
                </c:pt>
                <c:pt idx="5">
                  <c:v>Rentokil Initial</c:v>
                </c:pt>
                <c:pt idx="6">
                  <c:v>ABM Industries</c:v>
                </c:pt>
              </c:strCache>
            </c:strRef>
          </c:cat>
          <c:val>
            <c:numRef>
              <c:f>Hoja1!$B$2:$B$8</c:f>
              <c:numCache>
                <c:formatCode>0.0"%"</c:formatCode>
                <c:ptCount val="7"/>
                <c:pt idx="0">
                  <c:v>23.3</c:v>
                </c:pt>
                <c:pt idx="1">
                  <c:v>7.9</c:v>
                </c:pt>
                <c:pt idx="2">
                  <c:v>4.2</c:v>
                </c:pt>
                <c:pt idx="3">
                  <c:v>4.7</c:v>
                </c:pt>
                <c:pt idx="5">
                  <c:v>12.8</c:v>
                </c:pt>
                <c:pt idx="6">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pt idx="16">
                  <c:v>FY2035e</c:v>
                </c:pt>
                <c:pt idx="17">
                  <c:v>FY2036e</c:v>
                </c:pt>
              </c:strCache>
            </c:strRef>
          </c:cat>
          <c:val>
            <c:numRef>
              <c:f>Hoja1!$B$2:$B$19</c:f>
              <c:numCache>
                <c:formatCode>#,##0</c:formatCode>
                <c:ptCount val="18"/>
                <c:pt idx="0">
                  <c:v>6892.3</c:v>
                </c:pt>
                <c:pt idx="1">
                  <c:v>7085.1</c:v>
                </c:pt>
                <c:pt idx="2">
                  <c:v>7116.3</c:v>
                </c:pt>
                <c:pt idx="3">
                  <c:v>7854.5</c:v>
                </c:pt>
                <c:pt idx="4">
                  <c:v>8815.8</c:v>
                </c:pt>
                <c:pt idx="5">
                  <c:v>9596.6</c:v>
                </c:pt>
                <c:pt idx="6">
                  <c:v>10340.2</c:v>
                </c:pt>
                <c:pt idx="7">
                  <c:v>11264.8</c:v>
                </c:pt>
                <c:pt idx="8">
                  <c:v>12222</c:v>
                </c:pt>
                <c:pt idx="9">
                  <c:v>13139</c:v>
                </c:pt>
                <c:pt idx="10">
                  <c:v>14085</c:v>
                </c:pt>
                <c:pt idx="11">
                  <c:v>15071</c:v>
                </c:pt>
                <c:pt idx="12">
                  <c:v>16081</c:v>
                </c:pt>
                <c:pt idx="13">
                  <c:v>17078</c:v>
                </c:pt>
                <c:pt idx="14">
                  <c:v>18051</c:v>
                </c:pt>
                <c:pt idx="15">
                  <c:v>18990</c:v>
                </c:pt>
                <c:pt idx="16">
                  <c:v>19863</c:v>
                </c:pt>
                <c:pt idx="17">
                  <c:v>20658</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pt idx="16">
                  <c:v>FY2035e</c:v>
                </c:pt>
                <c:pt idx="17">
                  <c:v>FY2036e</c:v>
                </c:pt>
              </c:strCache>
            </c:strRef>
          </c:cat>
          <c:val>
            <c:numRef>
              <c:f>Hoja1!$C$2:$C$19</c:f>
              <c:numCache>
                <c:formatCode>#,##0</c:formatCode>
                <c:ptCount val="18"/>
                <c:pt idx="0">
                  <c:v>1493.6</c:v>
                </c:pt>
                <c:pt idx="1">
                  <c:v>1541.8</c:v>
                </c:pt>
                <c:pt idx="2">
                  <c:v>1773.5</c:v>
                </c:pt>
                <c:pt idx="3">
                  <c:v>1987.1</c:v>
                </c:pt>
                <c:pt idx="4">
                  <c:v>2211.9</c:v>
                </c:pt>
                <c:pt idx="5">
                  <c:v>2556</c:v>
                </c:pt>
                <c:pt idx="6">
                  <c:v>2838.9</c:v>
                </c:pt>
                <c:pt idx="7">
                  <c:v>3134.4</c:v>
                </c:pt>
                <c:pt idx="8">
                  <c:v>3447</c:v>
                </c:pt>
                <c:pt idx="9">
                  <c:v>3771</c:v>
                </c:pt>
                <c:pt idx="10">
                  <c:v>4085</c:v>
                </c:pt>
                <c:pt idx="11">
                  <c:v>4416</c:v>
                </c:pt>
                <c:pt idx="12">
                  <c:v>4744</c:v>
                </c:pt>
                <c:pt idx="13">
                  <c:v>5072</c:v>
                </c:pt>
                <c:pt idx="14">
                  <c:v>5379</c:v>
                </c:pt>
                <c:pt idx="15">
                  <c:v>5678</c:v>
                </c:pt>
                <c:pt idx="16">
                  <c:v>5959</c:v>
                </c:pt>
                <c:pt idx="17">
                  <c:v>6197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45.2</c:v>
                </c:pt>
                <c:pt idx="1">
                  <c:v>45.6</c:v>
                </c:pt>
                <c:pt idx="2">
                  <c:v>46.6</c:v>
                </c:pt>
                <c:pt idx="3">
                  <c:v>46.2</c:v>
                </c:pt>
                <c:pt idx="4">
                  <c:v>47.3</c:v>
                </c:pt>
                <c:pt idx="5">
                  <c:v>48.8</c:v>
                </c:pt>
                <c:pt idx="6">
                  <c:v>50</c:v>
                </c:pt>
                <c:pt idx="7">
                  <c:v>50.7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21.7</c:v>
                </c:pt>
                <c:pt idx="1">
                  <c:v>21.8</c:v>
                </c:pt>
                <c:pt idx="2">
                  <c:v>24.9</c:v>
                </c:pt>
                <c:pt idx="3">
                  <c:v>25.3</c:v>
                </c:pt>
                <c:pt idx="4">
                  <c:v>25.1</c:v>
                </c:pt>
                <c:pt idx="5">
                  <c:v>26.6</c:v>
                </c:pt>
                <c:pt idx="6">
                  <c:v>27.5</c:v>
                </c:pt>
                <c:pt idx="7">
                  <c:v>27.8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16.4</c:v>
                </c:pt>
                <c:pt idx="1">
                  <c:v>16.4</c:v>
                </c:pt>
                <c:pt idx="2">
                  <c:v>19.5</c:v>
                </c:pt>
                <c:pt idx="3">
                  <c:v>20.2</c:v>
                </c:pt>
                <c:pt idx="4">
                  <c:v>20.4</c:v>
                </c:pt>
                <c:pt idx="5">
                  <c:v>22</c:v>
                </c:pt>
                <c:pt idx="6">
                  <c:v>22.7</c:v>
                </c:pt>
                <c:pt idx="7">
                  <c:v>23.3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Hoja1!$E$2:$E$9</c:f>
              <c:numCache>
                <c:formatCode>0"%"</c:formatCode>
                <c:ptCount val="8"/>
                <c:pt idx="0">
                  <c:v>12.8</c:v>
                </c:pt>
                <c:pt idx="1">
                  <c:v>12.4</c:v>
                </c:pt>
                <c:pt idx="2">
                  <c:v>15.6</c:v>
                </c:pt>
                <c:pt idx="3">
                  <c:v>15.7</c:v>
                </c:pt>
                <c:pt idx="4">
                  <c:v>15.3</c:v>
                </c:pt>
                <c:pt idx="5">
                  <c:v>16.4</c:v>
                </c:pt>
                <c:pt idx="6">
                  <c:v>17.5</c:v>
                </c:pt>
                <c:pt idx="7">
                  <c:v>17.8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3">
                  <c:v>8.7</c:v>
                </c:pt>
                <c:pt idx="4">
                  <c:v>9.3</c:v>
                </c:pt>
                <c:pt idx="5">
                  <c:v>8.9</c:v>
                </c:pt>
                <c:pt idx="6">
                  <c:v>8.9</c:v>
                </c:pt>
                <c:pt idx="7">
                  <c:v>10.9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3">
                  <c:v>7.8</c:v>
                </c:pt>
                <c:pt idx="4">
                  <c:v>8.6</c:v>
                </c:pt>
                <c:pt idx="5">
                  <c:v>8.2</c:v>
                </c:pt>
                <c:pt idx="6">
                  <c:v>8.4</c:v>
                </c:pt>
                <c:pt idx="7">
                  <c:v>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48</c:v>
                </c:pt>
                <c:pt idx="1">
                  <c:v>45</c:v>
                </c:pt>
                <c:pt idx="2">
                  <c:v>46</c:v>
                </c:pt>
                <c:pt idx="3">
                  <c:v>47</c:v>
                </c:pt>
                <c:pt idx="4">
                  <c:v>48</c:v>
                </c:pt>
                <c:pt idx="5">
                  <c:v>47</c:v>
                </c:pt>
                <c:pt idx="6">
                  <c:v>50</c:v>
                </c:pt>
                <c:pt idx="7">
                  <c:v>50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32</c:v>
                </c:pt>
                <c:pt idx="1">
                  <c:v>39</c:v>
                </c:pt>
                <c:pt idx="2">
                  <c:v>46</c:v>
                </c:pt>
                <c:pt idx="3">
                  <c:v>41</c:v>
                </c:pt>
                <c:pt idx="4">
                  <c:v>40</c:v>
                </c:pt>
                <c:pt idx="5">
                  <c:v>30</c:v>
                </c:pt>
                <c:pt idx="6">
                  <c:v>32</c:v>
                </c:pt>
                <c:pt idx="7">
                  <c:v>29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22</c:v>
                </c:pt>
                <c:pt idx="1">
                  <c:v>22</c:v>
                </c:pt>
                <c:pt idx="2">
                  <c:v>22</c:v>
                </c:pt>
                <c:pt idx="3">
                  <c:v>22</c:v>
                </c:pt>
                <c:pt idx="4">
                  <c:v>24</c:v>
                </c:pt>
                <c:pt idx="5">
                  <c:v>25</c:v>
                </c:pt>
                <c:pt idx="6">
                  <c:v>34</c:v>
                </c:pt>
                <c:pt idx="7">
                  <c:v>30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791.2</c:v>
                </c:pt>
                <c:pt idx="1">
                  <c:v>1061.2</c:v>
                </c:pt>
                <c:pt idx="2">
                  <c:v>1217.2</c:v>
                </c:pt>
                <c:pt idx="3">
                  <c:v>1296.8999999999999</c:v>
                </c:pt>
                <c:pt idx="4">
                  <c:v>1255.1</c:v>
                </c:pt>
                <c:pt idx="5">
                  <c:v>1659</c:v>
                </c:pt>
                <c:pt idx="6">
                  <c:v>1757</c:v>
                </c:pt>
                <c:pt idx="7">
                  <c:v>1881.2000000000003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885</c:v>
                </c:pt>
                <c:pt idx="1">
                  <c:v>876</c:v>
                </c:pt>
                <c:pt idx="2">
                  <c:v>1111</c:v>
                </c:pt>
                <c:pt idx="3">
                  <c:v>1235.8</c:v>
                </c:pt>
                <c:pt idx="4">
                  <c:v>1348</c:v>
                </c:pt>
                <c:pt idx="5">
                  <c:v>1571.6</c:v>
                </c:pt>
                <c:pt idx="6">
                  <c:v>1812.3</c:v>
                </c:pt>
                <c:pt idx="7">
                  <c:v>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14.7</c:v>
                </c:pt>
                <c:pt idx="1">
                  <c:v>16.3</c:v>
                </c:pt>
                <c:pt idx="2">
                  <c:v>21</c:v>
                </c:pt>
                <c:pt idx="3">
                  <c:v>22.3</c:v>
                </c:pt>
                <c:pt idx="4">
                  <c:v>23.5</c:v>
                </c:pt>
                <c:pt idx="5">
                  <c:v>26.6</c:v>
                </c:pt>
                <c:pt idx="6">
                  <c:v>28.2</c:v>
                </c:pt>
                <c:pt idx="7">
                  <c:v>29.6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9.7</c:v>
                </c:pt>
                <c:pt idx="1">
                  <c:v>9.7</c:v>
                </c:pt>
                <c:pt idx="2">
                  <c:v>9.7</c:v>
                </c:pt>
                <c:pt idx="3">
                  <c:v>9.7</c:v>
                </c:pt>
                <c:pt idx="4">
                  <c:v>9.7</c:v>
                </c:pt>
                <c:pt idx="5">
                  <c:v>9.7</c:v>
                </c:pt>
                <c:pt idx="6">
                  <c:v>9.7</c:v>
                </c:pt>
                <c:pt idx="7">
                  <c:v>9.7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29.5</c:v>
                </c:pt>
                <c:pt idx="1">
                  <c:v>28.1</c:v>
                </c:pt>
                <c:pt idx="2">
                  <c:v>32.1</c:v>
                </c:pt>
                <c:pt idx="3">
                  <c:v>35.3</c:v>
                </c:pt>
                <c:pt idx="4">
                  <c:v>37.6</c:v>
                </c:pt>
                <c:pt idx="5">
                  <c:v>38.4</c:v>
                </c:pt>
                <c:pt idx="6">
                  <c:v>40.3</c:v>
                </c:pt>
                <c:pt idx="7">
                  <c:v>40.7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2.13</c:v>
                </c:pt>
                <c:pt idx="1">
                  <c:v>1.55</c:v>
                </c:pt>
                <c:pt idx="2">
                  <c:v>1.15</c:v>
                </c:pt>
                <c:pt idx="3">
                  <c:v>1.36</c:v>
                </c:pt>
                <c:pt idx="4">
                  <c:v>1.07</c:v>
                </c:pt>
                <c:pt idx="5">
                  <c:v>0.83</c:v>
                </c:pt>
                <c:pt idx="6">
                  <c:v>0.76</c:v>
                </c:pt>
                <c:pt idx="7">
                  <c:v>0.68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FY2027</c:v>
                </c:pt>
                <c:pt idx="1">
                  <c:v>FY2028</c:v>
                </c:pt>
                <c:pt idx="2">
                  <c:v>FY2029-FY2031</c:v>
                </c:pt>
                <c:pt idx="3">
                  <c:v>FY2032</c:v>
                </c:pt>
                <c:pt idx="4">
                  <c:v>FY2037</c:v>
                </c:pt>
              </c:strCache>
            </c:strRef>
          </c:cat>
          <c:val>
            <c:numRef>
              <c:f>Hoja1!$B$2:$B$6</c:f>
              <c:numCache>
                <c:formatCode>#,##0</c:formatCode>
                <c:ptCount val="5"/>
                <c:pt idx="0">
                  <c:v>1000</c:v>
                </c:pt>
                <c:pt idx="1">
                  <c:v>400</c:v>
                </c:pt>
                <c:pt idx="2">
                  <c:v>0</c:v>
                </c:pt>
                <c:pt idx="3">
                  <c:v>800</c:v>
                </c:pt>
                <c:pt idx="4">
                  <c:v>236.6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9.8</c:v>
                </c:pt>
                <c:pt idx="1">
                  <c:v>53.7</c:v>
                </c:pt>
                <c:pt idx="2">
                  <c:v>10</c:v>
                </c:pt>
                <c:pt idx="3">
                  <c:v>164.2</c:v>
                </c:pt>
                <c:pt idx="4">
                  <c:v>46.4</c:v>
                </c:pt>
                <c:pt idx="5">
                  <c:v>186.8</c:v>
                </c:pt>
                <c:pt idx="6">
                  <c:v>232.9</c:v>
                </c:pt>
                <c:pt idx="7">
                  <c:v>164.5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220.8</c:v>
                </c:pt>
                <c:pt idx="1">
                  <c:v>268</c:v>
                </c:pt>
                <c:pt idx="2">
                  <c:v>451.3</c:v>
                </c:pt>
                <c:pt idx="3">
                  <c:v>375.1</c:v>
                </c:pt>
                <c:pt idx="4">
                  <c:v>449.9</c:v>
                </c:pt>
                <c:pt idx="5">
                  <c:v>530.9</c:v>
                </c:pt>
                <c:pt idx="6">
                  <c:v>611.6</c:v>
                </c:pt>
                <c:pt idx="7">
                  <c:v>701.5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1016.3</c:v>
                </c:pt>
                <c:pt idx="1">
                  <c:v>464.5</c:v>
                </c:pt>
                <c:pt idx="2">
                  <c:v>554.1</c:v>
                </c:pt>
                <c:pt idx="3">
                  <c:v>1525.9</c:v>
                </c:pt>
                <c:pt idx="4">
                  <c:v>398.9</c:v>
                </c:pt>
                <c:pt idx="5">
                  <c:v>700</c:v>
                </c:pt>
                <c:pt idx="6">
                  <c:v>934.8</c:v>
                </c:pt>
                <c:pt idx="7">
                  <c:v>952.1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2</c:v>
                </c:pt>
                <c:pt idx="1">
                  <c:v>6</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Scott D. Farmer (sociedades familiares Summer Hill)</c:v>
                </c:pt>
                <c:pt idx="1">
                  <c:v>Vanguard</c:v>
                </c:pt>
                <c:pt idx="2">
                  <c:v>BlackRock</c:v>
                </c:pt>
                <c:pt idx="3">
                  <c:v>Autocartera</c:v>
                </c:pt>
              </c:strCache>
            </c:strRef>
          </c:cat>
          <c:val>
            <c:numRef>
              <c:f>Hoja1!$B$2:$B$5</c:f>
              <c:numCache>
                <c:formatCode>0.0"%"</c:formatCode>
                <c:ptCount val="4"/>
                <c:pt idx="0">
                  <c:v>14</c:v>
                </c:pt>
                <c:pt idx="1">
                  <c:v>7.2</c:v>
                </c:pt>
                <c:pt idx="2">
                  <c:v>7.2</c:v>
                </c:pt>
                <c:pt idx="3">
                  <c:v>48.9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26.9</c:v>
                </c:pt>
                <c:pt idx="1">
                  <c:v>34.8</c:v>
                </c:pt>
                <c:pt idx="2">
                  <c:v>7.8</c:v>
                </c:pt>
                <c:pt idx="3">
                  <c:v>60.2</c:v>
                </c:pt>
                <c:pt idx="4">
                  <c:v>31.4</c:v>
                </c:pt>
                <c:pt idx="5">
                  <c:v>25.4</c:v>
                </c:pt>
                <c:pt idx="6">
                  <c:v>1.9</c:v>
                </c:pt>
                <c:pt idx="7">
                  <c:v>33.4</c:v>
                </c:pt>
                <c:pt idx="8">
                  <c:v>21.3</c:v>
                </c:pt>
                <c:pt idx="9">
                  <c:v>2.9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18.4</c:v>
                </c:pt>
                <c:pt idx="1">
                  <c:v>18.8</c:v>
                </c:pt>
                <c:pt idx="2">
                  <c:v>22.6</c:v>
                </c:pt>
                <c:pt idx="3">
                  <c:v>22.5</c:v>
                </c:pt>
                <c:pt idx="4">
                  <c:v>23.1</c:v>
                </c:pt>
                <c:pt idx="5">
                  <c:v>28.3</c:v>
                </c:pt>
                <c:pt idx="6">
                  <c:v>33.5</c:v>
                </c:pt>
                <c:pt idx="7">
                  <c:v>22.9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0.0"x"</c:formatCode>
                <c:ptCount val="8"/>
                <c:pt idx="0">
                  <c:v>22.8</c:v>
                </c:pt>
                <c:pt idx="1">
                  <c:v>22.8</c:v>
                </c:pt>
                <c:pt idx="2">
                  <c:v>22.8</c:v>
                </c:pt>
                <c:pt idx="3">
                  <c:v>22.8</c:v>
                </c:pt>
                <c:pt idx="4">
                  <c:v>22.8</c:v>
                </c:pt>
                <c:pt idx="5">
                  <c:v>22.8</c:v>
                </c:pt>
                <c:pt idx="6">
                  <c:v>22.8</c:v>
                </c:pt>
                <c:pt idx="7">
                  <c:v>22.8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Cintas</c:v>
                </c:pt>
                <c:pt idx="1">
                  <c:v>Rollins</c:v>
                </c:pt>
                <c:pt idx="2">
                  <c:v>Ecolab</c:v>
                </c:pt>
                <c:pt idx="3">
                  <c:v>Rentokil Initial</c:v>
                </c:pt>
                <c:pt idx="4">
                  <c:v>Elis</c:v>
                </c:pt>
                <c:pt idx="5">
                  <c:v>ISS</c:v>
                </c:pt>
                <c:pt idx="6">
                  <c:v>ABM Industries</c:v>
                </c:pt>
                <c:pt idx="7">
                  <c:v>Vestis</c:v>
                </c:pt>
                <c:pt idx="8">
                  <c:v>Aramark</c:v>
                </c:pt>
              </c:strCache>
            </c:strRef>
          </c:cat>
          <c:val>
            <c:numRef>
              <c:f>Hoja1!$B$2:$B$10</c:f>
              <c:numCache>
                <c:formatCode>0.0"x"</c:formatCode>
                <c:ptCount val="9"/>
                <c:pt idx="1">
                  <c:v>17.1</c:v>
                </c:pt>
                <c:pt idx="2">
                  <c:v>18.3</c:v>
                </c:pt>
                <c:pt idx="3">
                  <c:v>9.7</c:v>
                </c:pt>
                <c:pt idx="4">
                  <c:v>4.9</c:v>
                </c:pt>
                <c:pt idx="5">
                  <c:v>9.1</c:v>
                </c:pt>
                <c:pt idx="6">
                  <c:v>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Rollins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8.6</c:v>
                </c:pt>
              </c:numCache>
            </c:numRef>
          </c:xVal>
          <c:yVal>
            <c:numRef>
              <c:f>Hoja1!$C$2</c:f>
              <c:numCache>
                <c:formatCode>0.0"x"</c:formatCode>
                <c:ptCount val="1"/>
                <c:pt idx="0">
                  <c:v>17.1</c:v>
                </c:pt>
              </c:numCache>
            </c:numRef>
          </c:yVal>
          <c:smooth val="0"/>
        </c:ser>
        <c:ser>
          <c:idx val="1"/>
          <c:order val="1"/>
          <c:tx>
            <c:strRef>
              <c:f>Hoja1!$A$3</c:f>
              <c:strCache>
                <c:ptCount val="1"/>
                <c:pt idx="0">
                  <c:v>Ecolab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c:v>
                </c:pt>
              </c:numCache>
            </c:numRef>
          </c:xVal>
          <c:yVal>
            <c:numRef>
              <c:f>Hoja1!$C$3</c:f>
              <c:numCache>
                <c:formatCode>0.0"x"</c:formatCode>
                <c:ptCount val="1"/>
                <c:pt idx="0">
                  <c:v>18.3</c:v>
                </c:pt>
              </c:numCache>
            </c:numRef>
          </c:yVal>
          <c:smooth val="0"/>
        </c:ser>
        <c:ser>
          <c:idx val="2"/>
          <c:order val="2"/>
          <c:tx>
            <c:strRef>
              <c:f>Hoja1!$A$4</c:f>
              <c:strCache>
                <c:ptCount val="1"/>
                <c:pt idx="0">
                  <c:v>Rentokil Initial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3.3</c:v>
                </c:pt>
              </c:numCache>
            </c:numRef>
          </c:xVal>
          <c:yVal>
            <c:numRef>
              <c:f>Hoja1!$C$4</c:f>
              <c:numCache>
                <c:formatCode>0.0"x"</c:formatCode>
                <c:ptCount val="1"/>
                <c:pt idx="0">
                  <c:v>9.7</c:v>
                </c:pt>
              </c:numCache>
            </c:numRef>
          </c:yVal>
          <c:smooth val="0"/>
        </c:ser>
        <c:ser>
          <c:idx val="3"/>
          <c:order val="3"/>
          <c:tx>
            <c:strRef>
              <c:f>Hoja1!$A$5</c:f>
              <c:strCache>
                <c:ptCount val="1"/>
                <c:pt idx="0">
                  <c:v>Elis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4.8</c:v>
                </c:pt>
              </c:numCache>
            </c:numRef>
          </c:xVal>
          <c:yVal>
            <c:numRef>
              <c:f>Hoja1!$C$5</c:f>
              <c:numCache>
                <c:formatCode>0.0"x"</c:formatCode>
                <c:ptCount val="1"/>
                <c:pt idx="0">
                  <c:v>4.9</c:v>
                </c:pt>
              </c:numCache>
            </c:numRef>
          </c:yVal>
          <c:smooth val="0"/>
        </c:ser>
        <c:ser>
          <c:idx val="4"/>
          <c:order val="4"/>
          <c:tx>
            <c:strRef>
              <c:f>Hoja1!$A$6</c:f>
              <c:strCache>
                <c:ptCount val="1"/>
                <c:pt idx="0">
                  <c:v>ISS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7.1</c:v>
                </c:pt>
              </c:numCache>
            </c:numRef>
          </c:xVal>
          <c:yVal>
            <c:numRef>
              <c:f>Hoja1!$C$6</c:f>
              <c:numCache>
                <c:formatCode>0.0"x"</c:formatCode>
                <c:ptCount val="1"/>
                <c:pt idx="0">
                  <c:v>9.1</c:v>
                </c:pt>
              </c:numCache>
            </c:numRef>
          </c:yVal>
          <c:smooth val="0"/>
        </c:ser>
        <c:ser>
          <c:idx val="5"/>
          <c:order val="5"/>
          <c:tx>
            <c:strRef>
              <c:f>Hoja1!$A$7</c:f>
              <c:strCache>
                <c:ptCount val="1"/>
                <c:pt idx="0">
                  <c:v>ABM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4.5</c:v>
                </c:pt>
              </c:numCache>
            </c:numRef>
          </c:xVal>
          <c:yVal>
            <c:numRef>
              <c:f>Hoja1!$C$7</c:f>
              <c:numCache>
                <c:formatCode>0.0"x"</c:formatCode>
                <c:ptCount val="1"/>
                <c:pt idx="0">
                  <c:v>8.1</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UniFirst (uniformes, EE. UU. y Canadá)</c:v>
                </c:pt>
                <c:pt idx="1">
                  <c:v>Terminix (control de plagas, EE. UU.)</c:v>
                </c:pt>
                <c:pt idx="2">
                  <c:v>France Workwear (textil de Rentokil en Francia)</c:v>
                </c:pt>
              </c:strCache>
            </c:strRef>
          </c:cat>
          <c:val>
            <c:numRef>
              <c:f>Hoja1!$B$2:$B$4</c:f>
              <c:numCache>
                <c:formatCode>0.0"x"</c:formatCode>
                <c:ptCount val="3"/>
                <c:pt idx="0">
                  <c:v>17.1</c:v>
                </c:pt>
                <c:pt idx="1">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2039</c:v>
                </c:pt>
                <c:pt idx="1">
                  <c:v>2243</c:v>
                </c:pt>
                <c:pt idx="2">
                  <c:v>2443</c:v>
                </c:pt>
                <c:pt idx="3">
                  <c:v>2668</c:v>
                </c:pt>
                <c:pt idx="4">
                  <c:v>2878</c:v>
                </c:pt>
                <c:pt idx="5">
                  <c:v>3111</c:v>
                </c:pt>
                <c:pt idx="6">
                  <c:v>3314</c:v>
                </c:pt>
                <c:pt idx="7">
                  <c:v>3532</c:v>
                </c:pt>
                <c:pt idx="8">
                  <c:v>3745</c:v>
                </c:pt>
                <c:pt idx="9">
                  <c:v>3952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18345</c:v>
                </c:pt>
                <c:pt idx="1">
                  <c:v>35460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206,38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97.85</c:v>
                </c:pt>
                <c:pt idx="1">
                  <c:v>127.42</c:v>
                </c:pt>
                <c:pt idx="2">
                  <c:v>149.42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206,38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(161,16 – 219,17)</c:v>
                </c:pt>
                <c:pt idx="1">
                  <c:v>Precio objetivo de los analistas (181,00 – 250,00)</c:v>
                </c:pt>
                <c:pt idx="2">
                  <c:v>Comparables: PER NTM (78,06 – 127,98)</c:v>
                </c:pt>
                <c:pt idx="3">
                  <c:v>DCF (WACC y g ± 0,5) (118,65 – 138,32)</c:v>
                </c:pt>
                <c:pt idx="4">
                  <c:v>Escenarios (bajista – alcista) (97,85 – 149,42)</c:v>
                </c:pt>
                <c:pt idx="5">
                  <c:v>DCF con la prima implícita del mercado (4,2 %)</c:v>
                </c:pt>
                <c:pt idx="6">
                  <c:v>Precio actual (206,38)</c:v>
                </c:pt>
              </c:strCache>
            </c:strRef>
          </c:cat>
          <c:val>
            <c:numRef>
              <c:f>Hoja1!$B$2:$B$8</c:f>
              <c:numCache>
                <c:formatCode>#,##0</c:formatCode>
                <c:ptCount val="7"/>
                <c:pt idx="0">
                  <c:v>161.16</c:v>
                </c:pt>
                <c:pt idx="1">
                  <c:v>181</c:v>
                </c:pt>
                <c:pt idx="2">
                  <c:v>78.06</c:v>
                </c:pt>
                <c:pt idx="3">
                  <c:v>118.65</c:v>
                </c:pt>
                <c:pt idx="4">
                  <c:v>97.85</c:v>
                </c:pt>
                <c:pt idx="5">
                  <c:v>130.69</c:v>
                </c:pt>
                <c:pt idx="6">
                  <c:v>205.35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(161,16 – 219,17)</c:v>
                </c:pt>
                <c:pt idx="1">
                  <c:v>Precio objetivo de los analistas (181,00 – 250,00)</c:v>
                </c:pt>
                <c:pt idx="2">
                  <c:v>Comparables: PER NTM (78,06 – 127,98)</c:v>
                </c:pt>
                <c:pt idx="3">
                  <c:v>DCF (WACC y g ± 0,5) (118,65 – 138,32)</c:v>
                </c:pt>
                <c:pt idx="4">
                  <c:v>Escenarios (bajista – alcista) (97,85 – 149,42)</c:v>
                </c:pt>
                <c:pt idx="5">
                  <c:v>DCF con la prima implícita del mercado (4,2 %)</c:v>
                </c:pt>
                <c:pt idx="6">
                  <c:v>Precio actual (206,38)</c:v>
                </c:pt>
              </c:strCache>
            </c:strRef>
          </c:cat>
          <c:val>
            <c:numRef>
              <c:f>Hoja1!$C$2:$C$8</c:f>
              <c:numCache>
                <c:formatCode>#,##0</c:formatCode>
                <c:ptCount val="7"/>
                <c:pt idx="0">
                  <c:v>58.00999999999999</c:v>
                </c:pt>
                <c:pt idx="1">
                  <c:v>69</c:v>
                </c:pt>
                <c:pt idx="2">
                  <c:v>49.92</c:v>
                </c:pt>
                <c:pt idx="3">
                  <c:v>19.669999999999987</c:v>
                </c:pt>
                <c:pt idx="4">
                  <c:v>51.56999999999999</c:v>
                </c:pt>
                <c:pt idx="5">
                  <c:v>17.069999999999993</c:v>
                </c:pt>
                <c:pt idx="6">
                  <c:v>2.0600000000000023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