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Royal Unibrew A/S</w:t>
      </w:r>
    </w:p>
    <w:p>
      <w:pPr>
        <w:spacing w:after="60"/>
        <w:rPr>
          <w:color w:val="52514E"/>
          <w:sz w:val="22"/>
          <w:szCs w:val="22"/>
        </w:rPr>
      </w:pPr>
      <w:r>
        <w:rPr>
          <w:color w:val="52514E"/>
          <w:sz w:val="22"/>
          <w:szCs w:val="22"/>
        </w:rPr>
        <w:t xml:space="preserve">RBREW · Nasdaq Copenhague · ISIN DK0060634707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DKK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441,20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548,15 DKK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+27,9 % (base +24,0 %)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586,60 DKK · mercado 688,84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20.895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Royal Unibrew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RBREW / DK0060634707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Copenhague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Bebidas (cerveza y refrescos)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Faxe (Dinamarca) · 1989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www.royalunibrew.com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441,20 (21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394,00 – 653,50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20.895 M DKK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27.827 M DKK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58 M DKK/día (3 meses; 133.000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548,15 DKK</w:t>
      </w:r>
      <w:r>
        <w:t xml:space="preserve"> frente a 441,20 · Rentabilidad a 12 meses </w:t>
      </w:r>
      <w:r>
        <w:rPr>
          <w:b/>
          <w:bCs/>
        </w:rPr>
        <w:t xml:space="preserve">+27,9 % (base +24,0 %)</w:t>
      </w:r>
      <w:r>
        <w:t xml:space="preserve"> · Valor intrínseco 586,60 DKK · con la prima implícita del mercado: 688,84 (+56,1 %) · Alcista / bajista +59,9 % / -12,3 %</w:t>
      </w:r>
    </w:p>
    <w:p>
      <w:pPr>
        <w:spacing w:after="100"/>
      </w:pPr>
      <w:r>
        <w:rPr>
          <w:b/>
        </w:rPr>
        <w:t xml:space="preserve">La recomendación y por qué.</w:t>
      </w:r>
      <w:r>
        <w:t xml:space="preserve"> Comprar, con convicción media. El objetivo a 12 meses es de 548,15 DKK (nuestro BPA de 2028e × el PER de la regla común), una rentabilidad ponderada del 27,9 % con el dividendo y del 24,0 % en el caso base, frente a un precio de 441,2 DKK (cierre del 21-oct-2026). El valor intrínseco (586,60 DKK) queda un 33 % por encima del precio y el objetivo medio de los analistas (489,27) un 11 %. La razón: tras perder la mitad de su valor en cinco años y un 25 % el día del anuncio de PepsiCo, la acción cotiza a 11,8 veces el BPA de los próximos 12 meses, frente a una mediana de cinco años de 17,9 y un mínimo de 16,2; el DCF inverso descuenta que las ventas caigan un 3 % al año, cuando nuestro base, ya con la pérdida de PepsiCo, crece un 1,5 %. La convicción es media porque el BPA de la regla (2028e) es el último año con PepsiCo y en 12 meses el mercado mirará a 2029.</w:t>
      </w:r>
    </w:p>
    <w:p>
      <w:pPr>
        <w:spacing w:after="100"/>
      </w:pPr>
      <w:r>
        <w:rPr>
          <w:b/>
        </w:rPr>
        <w:t xml:space="preserve">El negocio.</w:t>
      </w:r>
      <w:r>
        <w:t xml:space="preserve"> Segunda cervecera y refresquera de los nórdicos y bálticos (Faxe, Royal, Ceres, Lapin Kulta, Faxe Kondi, Novelle, Original Long Drink), con 15.816 M DKK de ventas en 12 meses, un margen EBIT del 14 % y 20 plantas en 10 países; embotella con licencia Pepsi, 7UP y Heineken [1]. El ROIC con el fondo de comercio es del 14,2 % (24,5 % sin él), unos 7 puntos sobre el WACC: calidad «Sí». La sostenibilidad del crecimiento es «Sí»: proyectamos un 1,5 % anual, muy por debajo del histórico, sin capital nuevo.</w:t>
      </w:r>
    </w:p>
    <w:p>
      <w:pPr>
        <w:spacing w:after="100"/>
      </w:pPr>
      <w:r>
        <w:rPr>
          <w:b/>
        </w:rPr>
        <w:t xml:space="preserve">Finanzas.</w:t>
      </w:r>
      <w:r>
        <w:t xml:space="preserve"> Las ventas pasaron de 8.746 M en 2021 a 15.723 M en 2025, sobre todo por compras (Hansa Borg, Vrumona), y el BPA de 26,5 a 31,3 DKK; el margen EBIT cayó al 12,7 % en 2023 por la inflación de latas y energía y se ha recuperado al 14,0 % [1]. La guía de 2026 es un EBIT de 2.325-2.425 M con ventas planas [2]. La deuda neta es de 6.610 M (2,2 veces el EBITDA) y la caja libre de ≈ 1.400 M al año paga dividendo (16 DKK, 3,6 %) y recompras.</w:t>
      </w:r>
    </w:p>
    <w:p>
      <w:pPr>
        <w:spacing w:after="100"/>
      </w:pPr>
      <w:r>
        <w:rPr>
          <w:b/>
        </w:rPr>
        <w:t xml:space="preserve">Equipo y gobierno.</w:t>
      </w:r>
      <w:r>
        <w:t xml:space="preserve"> Lars Jensen, consejero delegado desde 2020, ha cumplido la guía en 2023-2025 [1]. El presidente y el director financiero compraron acciones tras la caída de abril y en agosto (a 409-435 DKK) [13, 14, 15]. Accionista de referencia: Chr. Augustinus Fabrikker (14,9 %).</w:t>
      </w:r>
    </w:p>
    <w:p>
      <w:pPr>
        <w:spacing w:after="100"/>
      </w:pPr>
      <w:r>
        <w:rPr>
          <w:b/>
        </w:rPr>
        <w:t xml:space="preserve">Valoración.</w:t>
      </w:r>
      <w:r>
        <w:t xml:space="preserve"> El DCF da 623,63 DKK (+41 %, WACC 7,1 %, terminal al 2 %) y ya incluye la pérdida del 13 % de las ventas en 2029 y 300 M de costes de transición; con la prima del mercado, 765,43. El bajista vale 386,83 (−12 %) y el alcista 705,37 (+60 %). Los comparables (PER de 13,7) dan 506,24. La regla a 12 meses sube el PER de 11,8 a 13,0 (tope de ×1,1).</w:t>
      </w:r>
    </w:p>
    <w:p>
      <w:pPr>
        <w:spacing w:after="100"/>
      </w:pPr>
      <w:r>
        <w:rPr>
          <w:b/>
        </w:rPr>
        <w:t xml:space="preserve">Riesgos y catalizadores.</w:t>
      </w:r>
      <w:r>
        <w:t xml:space="preserve"> El mayor riesgo es que la salida de PepsiCo cueste más y que las marcas propias no ocupen la capacidad; después, el aluminio y la energía (2022-2023 costaron 6 puntos de margen), la caída del consumo de cerveza y Carlsberg reforzado. El riesgo de IA es bajo (±1-2 %): no sustituye un producto físico. Catalizadores: tercer trimestre el 11-nov-2026, guía de 2027 en febrero y el detalle del plan de transición. Regla 13: no cambia (caídas con causa publicada, sin colocaciones; compras de directivos).</w:t>
      </w:r>
    </w:p>
    <w:p>
      <w:pPr>
        <w:spacing w:after="100"/>
      </w:pPr>
      <w:r>
        <w:rPr>
          <w:b/>
        </w:rPr>
        <w:t xml:space="preserve">Qué cambiaría la decisión.</w:t>
      </w:r>
      <w:r>
        <w:t xml:space="preserve"> La compra robusta (nivel A: pasa la regla v2 de control y la prueba con el BPA un 10 % menor) exige un precio de 441,21 DKK o menos, un céntimo sobre el cierre; hasta 463,14 es de nivel B1. Comprar por debajo de 488,55 DKK; Mantener entre 488,55 y 626,83; vender por encima. Un margen bruto del segundo semestre por debajo del de 2025, una guía de 2027 con el EBIT plano o costes de transición por encima de 300 M la empeorarían; una licencia nueva o un plan creíble para 2029 la mejorarían.</w:t>
      </w:r>
    </w:p>
    <w:p>
      <w:r>
        <w:br w:type="page"/>
      </w:r>
    </w:p>
    <w:p>
      <w:pPr>
        <w:pStyle w:val="Heading1"/>
      </w:pPr>
      <w:r>
        <w:t xml:space="preserve">Resumen ejecutivo</w:t>
      </w:r>
    </w:p>
    <w:p>
      <w:pPr>
        <w:spacing w:after="100"/>
      </w:pPr>
      <w:r>
        <w:rPr>
          <w:b/>
          <w:bCs/>
        </w:rPr>
        <w:t xml:space="preserve">Recomendación: Comprar</w:t>
      </w:r>
      <w:r>
        <w:t xml:space="preserve"> · Convicción: Media · Horizonte: 12 meses · Objetivo a 12 meses: </w:t>
      </w:r>
      <w:r>
        <w:rPr>
          <w:b/>
          <w:bCs/>
        </w:rPr>
        <w:t xml:space="preserve">548,15 DKK</w:t>
      </w:r>
      <w:r>
        <w:t xml:space="preserve"> (rentabilidad +27,9 % (base +24,0 %)) · Valor intrínseco: 586,60 DKK (+33,0 % sobre 441,20) · con la prima implícita del mercado: 688,84 (+56,1 %)</w:t>
      </w:r>
    </w:p>
    <w:p>
      <w:pPr>
        <w:spacing w:after="100"/>
      </w:pPr>
      <w:r>
        <w:t xml:space="preserve">Royal Unibrew es una empresa de bebidas local y rentable (margen EBIT del 14 %, ROIC del 14 % con fondo de comercio y del 24 % sin él) que el mercado ha castigado por dos razones reales: la pérdida de las licencias de PepsiCo en Dinamarca, Finlandia y bálticos (≈ 13 % de las ventas) a final de 2028 y la inflación de costes en un mercado de cerveza que no crece. A 441 DKK cotiza a 11,8 veces el BPA de los próximos 12 meses, la mitad de su media de ocho años y por debajo de Carlsberg y Heineken.</w:t>
      </w:r>
    </w:p>
    <w:p>
      <w:pPr>
        <w:spacing w:after="100"/>
      </w:pPr>
      <w:r>
        <w:t xml:space="preserve">El precio descuenta más que esas dos razones: el DCF inverso pide que las ventas caigan un 3 % al año, mientras que nuestro caso base, con la pérdida de PepsiCo, 300 M de costes de transición y un EBIT de 2030 por debajo del de 2028 (más prudente que la empresa), sigue valiendo 624 DKK. La dirección y el presidente compran acciones y la empresa recompra un 4 % del capital al año.</w:t>
      </w:r>
    </w:p>
    <w:p>
      <w:pPr>
        <w:spacing w:after="100"/>
      </w:pPr>
      <w:r>
        <w:t xml:space="preserve">La objeción es el calendario: la regla a 12 meses se apoya en el BPA de 2028e, el último con PepsiCo, y en un año el mercado empezará a descontar 2029. Por eso la convicción es media.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548,15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 × 35,11 = 365,14 · 13,0x × 40,86 = 531,18 · 17,5x × 43,72 = 765,10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 / 24,0 %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489,27 (nuestro base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586,60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59,9 % / -12,3 %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frente a 7,1 % y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688,84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36,6 %, asimetría de 4,87, bajista del -12,3 % y el precio descuenta 4,8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488,55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488,55 y 626,83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626,83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441,21 DKK: la compra deja de ser robusta de nivel A (B1 hasta 463,14); por encima de 488,55, Mantener; por encima de 626,83, Vender.</w:t>
      </w:r>
    </w:p>
    <w:p>
      <w:pPr>
        <w:pStyle w:val="ListParagraph"/>
        <w:numPr>
          <w:ilvl w:val="0"/>
          <w:numId w:val="2"/>
        </w:numPr>
        <w:spacing w:after="60"/>
      </w:pPr>
      <w:r>
        <w:t xml:space="preserve">Guía de EBIT de 2027 (febrero) plana o por debajo de 2.400 M: rebajar a Mantener.</w:t>
      </w:r>
    </w:p>
    <w:p>
      <w:pPr>
        <w:pStyle w:val="ListParagraph"/>
        <w:numPr>
          <w:ilvl w:val="0"/>
          <w:numId w:val="2"/>
        </w:numPr>
        <w:spacing w:after="60"/>
      </w:pPr>
      <w:r>
        <w:t xml:space="preserve">Costes de transición de PepsiCo por encima de 300 M o pérdida de otra licencia (Benelux, Heineken): rebajar.</w:t>
      </w:r>
    </w:p>
    <w:p>
      <w:pPr>
        <w:pStyle w:val="ListParagraph"/>
        <w:numPr>
          <w:ilvl w:val="0"/>
          <w:numId w:val="2"/>
        </w:numPr>
        <w:spacing w:after="60"/>
      </w:pPr>
      <w:r>
        <w:t xml:space="preserve">Licencia nueva (Coca-Cola en Dinamarca o Finlandia) o plan detallado de marcas propias para 2029: subir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pérdida de PepsiCo, la inflación de costes y la caída de la cerveza convierten a Royal Unibrew en un negocio que encoge: un 3 % menos de ventas al año en el DCF inverso, y un PER de 11-12 veces, como Olvi o Molson Coors.</w:t>
      </w:r>
    </w:p>
    <w:p>
      <w:pPr>
        <w:keepNext/>
        <w:spacing w:after="100"/>
      </w:pPr>
      <w:r>
        <w:rPr>
          <w:b/>
          <w:bCs/>
        </w:rPr>
        <w:t xml:space="preserve">Lo que creemos nosotros.</w:t>
      </w:r>
    </w:p>
    <w:p>
      <w:pPr>
        <w:spacing w:after="100"/>
      </w:pPr>
      <w:r>
        <w:t xml:space="preserve">La pérdida de PepsiCo es un golpe de una vez (≈ 13 % de las ventas en 2029), no una caída continua; la empresa conserva sus marcas, su distribución y sus plantas, y gana capacidad para marcas propias. Con ese golpe dentro del caso base y márgenes por debajo de la guía de la empresa para 2030, el valor sigue un 41 % por encima del precio.</w:t>
      </w:r>
    </w:p>
    <w:p>
      <w:pPr>
        <w:keepNext/>
        <w:spacing w:after="100"/>
      </w:pPr>
      <w:r>
        <w:rPr>
          <w:b/>
          <w:bCs/>
        </w:rPr>
        <w:t xml:space="preserve">Por qué podemos tener razón.</w:t>
      </w:r>
    </w:p>
    <w:p>
      <w:pPr>
        <w:spacing w:after="100"/>
      </w:pPr>
      <w:r>
        <w:t xml:space="preserve">La empresa ya sustituyó negocio antes (salió de Polonia y de negocios de poco margen en Países Bajos) y el margen EBIT se recuperó del 12,7 % al 14 % tras la inflación de 2022-2023. Los directivos compran a estos precios.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DKK) · precio actual 441,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Barata frente a su historia</w:t>
      </w:r>
      <w:r>
        <w:t xml:space="preserve">: 11,8 veces el BPA de los próximos 12 meses frente a una mediana de 17,9 y una media de 22,1.</w:t>
      </w:r>
    </w:p>
    <w:p>
      <w:pPr>
        <w:pStyle w:val="ListParagraph"/>
        <w:numPr>
          <w:ilvl w:val="0"/>
          <w:numId w:val="2"/>
        </w:numPr>
        <w:spacing w:after="60"/>
      </w:pPr>
      <w:r>
        <w:rPr>
          <w:b/>
        </w:rPr>
        <w:t xml:space="preserve">PepsiCo ya está en el precio y en el DCF</w:t>
      </w:r>
      <w:r>
        <w:t xml:space="preserve">: el DCF inverso descuenta ventas −3 % al año; nuestro base, con PepsiCo fuera, +1,5 %.</w:t>
      </w:r>
    </w:p>
    <w:p>
      <w:pPr>
        <w:pStyle w:val="ListParagraph"/>
        <w:numPr>
          <w:ilvl w:val="0"/>
          <w:numId w:val="2"/>
        </w:numPr>
        <w:spacing w:after="60"/>
      </w:pPr>
      <w:r>
        <w:rPr>
          <w:b/>
        </w:rPr>
        <w:t xml:space="preserve">Calidad</w:t>
      </w:r>
      <w:r>
        <w:t xml:space="preserve">: ROIC del 14 % con el fondo de comercio y del 24 % sin él; margen EBIT del 14 % y recuperándose.</w:t>
      </w:r>
    </w:p>
    <w:p>
      <w:pPr>
        <w:pStyle w:val="ListParagraph"/>
        <w:numPr>
          <w:ilvl w:val="0"/>
          <w:numId w:val="2"/>
        </w:numPr>
        <w:spacing w:after="60"/>
      </w:pPr>
      <w:r>
        <w:rPr>
          <w:b/>
        </w:rPr>
        <w:t xml:space="preserve">Caja y recompras</w:t>
      </w:r>
      <w:r>
        <w:t xml:space="preserve">: ≈ 1.400 M de caja libre al año; dividendo del 3,6 % y recompras del 4 % del capital.</w:t>
      </w:r>
    </w:p>
    <w:p>
      <w:pPr>
        <w:pStyle w:val="ListParagraph"/>
        <w:numPr>
          <w:ilvl w:val="0"/>
          <w:numId w:val="2"/>
        </w:numPr>
        <w:spacing w:after="60"/>
      </w:pPr>
      <w:r>
        <w:rPr>
          <w:b/>
        </w:rPr>
        <w:t xml:space="preserve">Directivos compradores</w:t>
      </w:r>
      <w:r>
        <w:t xml:space="preserve">: presidente y director financiero a 409-435 DKK.</w:t>
      </w:r>
    </w:p>
    <w:p>
      <w:pPr>
        <w:pStyle w:val="Heading2"/>
      </w:pPr>
      <w:r>
        <w:t xml:space="preserve">En contra</w:t>
      </w:r>
    </w:p>
    <w:p>
      <w:pPr>
        <w:pStyle w:val="ListParagraph"/>
        <w:numPr>
          <w:ilvl w:val="0"/>
          <w:numId w:val="2"/>
        </w:numPr>
        <w:spacing w:after="60"/>
      </w:pPr>
      <w:r>
        <w:rPr>
          <w:b/>
        </w:rPr>
        <w:t xml:space="preserve">2028e es el último año con PepsiCo</w:t>
      </w:r>
      <w:r>
        <w:t xml:space="preserve">: el BPA de 2029e caerá a ≈ 31-32 DKK.</w:t>
      </w:r>
    </w:p>
    <w:p>
      <w:pPr>
        <w:pStyle w:val="ListParagraph"/>
        <w:numPr>
          <w:ilvl w:val="0"/>
          <w:numId w:val="2"/>
        </w:numPr>
        <w:spacing w:after="60"/>
      </w:pPr>
      <w:r>
        <w:rPr>
          <w:b/>
        </w:rPr>
        <w:t xml:space="preserve">Costes</w:t>
      </w:r>
      <w:r>
        <w:t xml:space="preserve">: aluminio en máximos de varios años y energía; en 2022-2023 se perdieron 6 puntos de margen.</w:t>
      </w:r>
    </w:p>
    <w:p>
      <w:pPr>
        <w:pStyle w:val="ListParagraph"/>
        <w:numPr>
          <w:ilvl w:val="0"/>
          <w:numId w:val="2"/>
        </w:numPr>
        <w:spacing w:after="60"/>
      </w:pPr>
      <w:r>
        <w:rPr>
          <w:b/>
        </w:rPr>
        <w:t xml:space="preserve">Cerveza en declive</w:t>
      </w:r>
      <w:r>
        <w:t xml:space="preserve">: la producción de la UE cae y los jóvenes beben menos alcohol.</w:t>
      </w:r>
    </w:p>
    <w:p>
      <w:pPr>
        <w:pStyle w:val="ListParagraph"/>
        <w:numPr>
          <w:ilvl w:val="0"/>
          <w:numId w:val="2"/>
        </w:numPr>
        <w:spacing w:after="60"/>
      </w:pPr>
      <w:r>
        <w:rPr>
          <w:b/>
        </w:rPr>
        <w:t xml:space="preserve">Carlsberg reforzado</w:t>
      </w:r>
      <w:r>
        <w:t xml:space="preserve">: tendrá Pepsi en todo el norte de Europa desde 2029.</w:t>
      </w:r>
    </w:p>
    <w:p>
      <w:pPr>
        <w:pStyle w:val="ListParagraph"/>
        <w:numPr>
          <w:ilvl w:val="0"/>
          <w:numId w:val="2"/>
        </w:numPr>
        <w:spacing w:after="60"/>
      </w:pPr>
      <w:r>
        <w:rPr>
          <w:b/>
        </w:rPr>
        <w:t xml:space="preserve">Compras que rinden poco</w:t>
      </w:r>
      <w:r>
        <w:t xml:space="preserve">: ROIC incremental ≈ 8 %, con 53 % del activo en fondo de comercio y marcas.</w:t>
      </w:r>
    </w:p>
    <w:p>
      <w:pPr>
        <w:pStyle w:val="Heading2"/>
      </w:pPr>
      <w:r>
        <w:t xml:space="preserve">Qué tiene que pasar para que la tesis funcione</w:t>
      </w:r>
    </w:p>
    <w:p>
      <w:pPr>
        <w:spacing w:after="100"/>
      </w:pPr>
      <w:r>
        <w:t xml:space="preserve">La tesis depende de que el margen aguante la inflación de 2027 y de que la empresa explique cómo sustituirá el negocio de PepsiCo en 2029. La señal en contra sería un margen bruto del segundo semestre de 2026 por debajo del de 2025, una guía de EBIT de 2027 plana o unos costes de transición por encima de 300 M.</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2.325-2.425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2.325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 2026e.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repercusión de aluminio, malta y energía.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orgánico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consumo y competencia.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 de la política de capital.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de transición de PepsiCo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300 M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350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Decide el EBIT de 2029-2030.</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 11,9x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 · 2,3x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Royal Unibrew nace en 1989 de la fusión de las cerveceras danesas Faxe (fundada en 1901) y Jyske Bryggerier (Ceres, Thor, Albani), y sale a bolsa en Copenhague ese mismo año con el nombre de Bryggerigruppen; adopta el de Royal Unibrew en 2005 [1]. Tras casi quebrar en 2008-2009 por deuda y expansión en Europa del Este, una nueva dirección (Henrik Brandt, consejero delegado de 2010 a 2019) vendió los negocios polacos de poco margen, centró la empresa en los nórdicos, subió márgenes y empezó a comprar marcas: Hartwall en Finlandia (2013) y marcas del sur de Europa (Lorina, Crodo) y de los bálticos [1]. Con Lars Jensen (desde 2020) aceleró las compras: Hansa Borg en Noruega (2022), Vrumona en Países Bajos (2023), la distribución de PepsiCo en Bélgica y Luxemburgo y las marcas finlandesas de Pernod Ricard (2025) [1, 4]. Las ventas pasaron de 8.746 M en 2021 a 15.723 M en 2025. En abril de 2026 PepsiCo comunicó que no renovará sus licencias en Dinamarca, Finlandia y los bálticos al terminar en 2028 y que se las da a Carlsberg [7,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Faxe y Jyske Bryggerier (Bryggerigruppen) y salida a bolsa en Copenhague.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nombre a Royal Unibrew.</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 capital y reestructuración tras la crisis de deuda; salida progresiva de Polonia.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Hartwall (Finlandia), con Lapin Kulta, Novelle y la licencia de Pepsi en Finlandia.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100 % de Hansa Borg (Noruega): plusvalía de 360 M fuera del EBIT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Vrumona (Países Bajos) a Heineken por 300 M EUR, con la licencia de PepsiCo en el país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Distribución de PepsiCo en Bélgica y Luxemburgo y marcas finlandesas de Pernod Ricard; EBIT récord de 2.202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anuncia el fin de las licencias en Dinamarca, Finlandia y bálticos a final de 2028 (−24,8 % en bolsa el 21-abr) [7, 33].</w:t>
            </w:r>
          </w:p>
        </w:tc>
      </w:tr>
    </w:tbl>
    <w:p>
      <w:pPr>
        <w:spacing w:after="160" w:before="0"/>
      </w:pPr>
    </w:p>
    <w:p>
      <w:pPr>
        <w:pStyle w:val="Heading1"/>
      </w:pPr>
      <w:r>
        <w:t xml:space="preserve">2. Modelo de negocio</w:t>
      </w:r>
    </w:p>
    <w:p>
      <w:pPr>
        <w:spacing w:after="100"/>
      </w:pPr>
      <w:r>
        <w:t xml:space="preserve">Royal Unibrew es la segunda cervecera y refresquera de los países nórdicos y bálticos. Produce y vende cerveza (Royal, Faxe, Ceres, Lapin Kulta, Albani), refrescos (Faxe Kondi, Jaffa, Novelle, Crodo, Lorina), agua (Egekilde), energéticas (Faxe Kondi Booster, Crazy Tiger), bebidas alcohólicas listas para tomar (Original Long Drink, Shaker), sidra, vino y licores (Minttu), maltas sin alcohol (Vitamalt, Supermalt) y marcas con licencia de PepsiCo (Pepsi, 7UP, Mountain Dew) y de Heineken en Dinamarca [1]. Tiene 20 plantas en 10 países, vendió 18,1 millones de hectolitros en 2025 y reparte directamente a supermercados, bares y tiendas en sus mercados multibebida [1]. Fuera de los nórdicos opera como «multinicho» (Italia, Países Bajos, Bélgica, Francia) y exporta a África, Norteamérica y Europa del Este [1].</w:t>
      </w:r>
    </w:p>
    <w:p>
      <w:pPr>
        <w:pStyle w:val="Heading2"/>
      </w:pPr>
      <w:r>
        <w:t xml:space="preserve">Cómo gana dinero</w:t>
      </w:r>
    </w:p>
    <w:p>
      <w:pPr>
        <w:spacing w:after="100"/>
      </w:pPr>
      <w:r>
        <w:t xml:space="preserve">Vende volumen a precio por hectolitro: el margen bruto (43,0 % en 2025) depende del precio neto por hectolitro frente al coste de latas de aluminio, malta, azúcar, PET, energía y transporte, que se cubre en parte con contratos y derivados [1, 2]. El 60-62 % de las ventas está en categorías de crecimiento (refrescos sin azúcar, energéticas, bebidas listas, premium) [2]. Hay apalancamiento operativo: compartir líneas de llenado entre categorías y repartir con la misma flota abarata cada litro adicional [1]. Es muy estacional: el primer trimestre deja un margen EBIT del 7-8 % y el segundo y el tercero, del 17-18 %; el tiempo del verano y la Semana Santa mueven los trimestres [1]. Las marcas con licencia (PepsiCo ≈ 13 % de las ventas en Dinamarca, Finlandia y bálticos) dan un margen EBIT cercano al del grupo, menor que el de las marcas propias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Northern Europe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Western Europe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Northern Europe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Western Europe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cadenas de supermercados (en Dinamarca, Salling y Coop; en Finlandia, Kesko y S-Group), mayoristas, hostelería y tiendas de conveniencia; ningún cliente pasa del 10 % de las ventas [3]. Los contratos con las cadenas son anuales con bonificaciones por volumen y promociones. Poder de precios demostrado: en 2022-2023 la empresa subió precios para cubrir la inflación, aunque con retraso (margen EBIT del 18,9 % en 2021 al 12,7 % en 2023) [1]; en 2025-2026 recupera margen subiendo el precio neto por hectolitro y saliendo de promociones sin margen en Países Bajos [2]. La relación con PepsiCo muestra el límite: el socio decidió no renovar Dinamarca, Finlandia y bálticos y se fue con Carlsberg [7,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(millones de hectolitros)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(orgánico +3,7 %)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9,0 (+1,8 %)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13,3 % (+0,8 puntos)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con fondo de comercio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fondo de comercio, 20,4 %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categorías de crecimiento en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60 %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62 %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Refrescos sin azúcar, energéticas, bebidas listas y premium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veces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veces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&lt; 2,5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PepsiCo (Dinamarca, Finlandia y bálticos) en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13 % (abr-26)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Sale a final de 2028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cercano al del grupo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bebidas embotelladas (cerveza, refrescos, agua, energéticas, bebidas alcohólicas listas para tomar y sidra) en los países nórdicos y bálticos, donde Royal Unibrew obtiene el 66 % de las ventas, más nichos de cerveza y refrescos en Italia, Benelux y Francia [1]. No hay una fuente pública con el tamaño en coronas de ese perímetro; usamos el volumen: la cerveza de la UE (34.400 millones de litros en 2025, −0,7 %) [10] y la industria cervecera y refresquera sueca (unos 21.000 millones de SEK de ventas, volumen +1,8 % en 2024) [11] como referencias de un mercado maduro que crece en valor y no en volumen.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Cerveza de la UE: 34.400 millones de litros en 2025 (−0,7 %; +2,2 % frente a 2020) [10]; industria sueca de cerveza y refrescos: ≈ 21.000 M SEK de ventas, volumen +1,8 % en 2024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Moderación del alcohol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propia empresa dice que el consumo de cerveza, vino y licores baja en casi todos los mercados desarrollados y que el mercado danés de cerveza cayó en 2025 [1]; producción de cerveza de la UE −0,7 % en 2025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Refrescos sin azúcar y cerveza sin alcohol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Suecia, refrescos sin azúcar +6,5 % y cerveza sin alcohol +6,2 % en 2024; los refrescos sin azúcar ya son el 56 % de los refrescos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Energéticas y bebidas listas para tomar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Bebidas listas, la categoría que más crece en Dinamarca (Shaker y Royal Club a doble dígito) y energéticas +5 % en 2025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especiales y al azúcar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del impuesto a la cerveza e impuesto al azúcar en los bálticos en 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latas, malta, energía y transporte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Aluminio en la LME a 3.134 USD/t el 6-oct-2026 [12]; el 1S26 tuvo inflación en energía, materias primas y transporte cubierta en parte [2]; en 2022-2023 el margen EBIT cayó 6 puntos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Tiempo en verano y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 y junio fríos en 2025 en Finlandia y Dinamarca; confianza del consumidor baja en Finlandia y bálticos [1,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grandes por país (Carlsberg y Royal Unibrew en Dinamarca; Hartwall —de Royal Unibrew— y Sinebrychoff —de Carlsberg— más Olvi en Finlandia); compiten en promociones con las cadenas [1,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cadenas concentran la alimentación nórdica; las promociones y las bonificaciones fijan el precio neto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Latas de aluminio (Ball, Crown), malta y azúcar con precio de mercado; y los dueños de marcas (PepsiCo, Heineken) pueden cambiar de embotellador, como acaba de hacer PepsiCo [7,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red de reparto directo, plantas locales, depósitos de envases y marcas con décadas; los nuevos entran por nichos (energéticas, artesanas)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cerveza pierde frente a bebidas sin alcohol, listas para tomar y agua; Royal Unibrew está en todas, lo que reduce el daño [1, 11].</w:t>
            </w:r>
          </w:p>
        </w:tc>
      </w:tr>
    </w:tbl>
    <w:p>
      <w:pPr>
        <w:spacing w:after="160" w:before="0"/>
      </w:pPr>
    </w:p>
    <w:p>
      <w:pPr>
        <w:pStyle w:val="Heading2"/>
      </w:pPr>
      <w:r>
        <w:t xml:space="preserve">Ciclo</w:t>
      </w:r>
    </w:p>
    <w:p>
      <w:pPr>
        <w:spacing w:after="100"/>
      </w:pPr>
      <w:r>
        <w:t xml:space="preserve">Volumen plano o algo al alza (+3,7 % orgánico de la empresa en 2025, +1,6 % en el 1S26) y crecimiento en valor por precio y mezcla [1, 2]. En 2008-2009 el sector nórdico bajó poco en volumen; en 2020 cerró la hostelería y el comercio fronterizo y el volumen de la empresa quedó plano [4]; en 2022 la inflación de latas, energía y malta hundió los márgenes un año y medio antes de repercutirla [1]. Hoy la confianza del consumidor es baja en Finlandia y bálticos [2].</w:t>
      </w:r>
    </w:p>
    <w:p>
      <w:pPr>
        <w:pStyle w:val="Heading2"/>
      </w:pPr>
      <w:r>
        <w:t xml:space="preserve">Regulación</w:t>
      </w:r>
    </w:p>
    <w:p>
      <w:pPr>
        <w:spacing w:after="100"/>
      </w:pPr>
      <w:r>
        <w:t xml:space="preserve">Impuestos especiales al alcohol y a los refrescos azucarados: subidas en los bálticos en 2026 [2]. Sistemas de depósito y retorno de envases obligatorios en Dinamarca, Finlandia, Noruega, Suecia y bálticos (coste de envases y logística inversa). Normativa europea de envases (PPWR) con objetivos de reutilización y contenido reciclado. Restricciones a la publicidad y venta de alcohol en Noruega, Suecia y Finlandia (monopolios de venta minorista) que frenan el alcohol fuerte [1].</w:t>
      </w:r>
    </w:p>
    <w:p>
      <w:pPr>
        <w:pStyle w:val="Heading2"/>
      </w:pPr>
      <w:r>
        <w:t xml:space="preserve">Tendencias y disrupción</w:t>
      </w:r>
    </w:p>
    <w:p>
      <w:pPr>
        <w:spacing w:after="100"/>
      </w:pPr>
      <w:r>
        <w:t xml:space="preserve">Menos alcohol y menos azúcar: crecen la cerveza sin alcohol, los refrescos sin azúcar, las energéticas y las bebidas listas para tomar, y baja la cerveza normal [1, 11]. Royal Unibrew gana con su cartera multibebida (60-62 % de las ventas en categorías de crecimiento) [2]. El cambio de embotellador de PepsiCo hacia Carlsberg (Dinamarca, Finlandia y bálticos desde 2029) y la salida de Carlsberg de Coca-Cola en Dinamarca y Finlandia a final de 2028 rehacen el mapa de licencias: Coca-Cola necesitará otro embotellador en esos dos países [9].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2 en bebidas en Dinamarca y Finlandia detrás de Carlsberg; n.º 1 en refrescos de sabores en Dinamarca (Faxe Kondi); n.º 2 en refrescos en Países Bajos (Vrumona) [1, 4]. La empresa no publica cuotas en cifras.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Carlsberg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CARL-B.CO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90.293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nórdico en cerveza; embotellador de PepsiCo en Suecia y Noruega y desde 2029 en Dinamarca, Finlandia y bálticos; de Coca-Cola en Dinamarca y Finlandia hasta 2028; compró Britvic en 2025 [9,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Heineken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HEIA.AS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245.830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de Royal Unibrew (licencia Heineken en Dinamarca) y vendedor de Vrumona; rival en Países Bajos e Italia [4].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Coca-Cola Europacific Partners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CCEP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159.591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Embotellador de Coca-Cola en Noruega, Suecia, Países Bajos y Bélgica; rival directo en refrescos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Olvi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OLVAS.HE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grupo de bebidas en Finlandia y líder en los bálticos (A. Le Coq, Cido)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Harboes Bryggeri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HARB-B.CO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Cervecera y refresquera danesa de marcas baratas y marcas de distribuidor; rival en precio.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Spendrups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cervecera sueca, no cotiza; rival en Suecia.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cadenas cambian de proveedor con facilidad; lo que fija es la red de reparto y el servicio en tienda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locales con décadas (Faxe Kondi, Royal, Lapin Kulta, Ceres) que ganan cuota [B2]; pero las licencias son revocables: PepsiCo (≈ 13 % de las ventas) se va en 2029 [B3].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Llenado de varias categorías en las mismas líneas y reparto directo; margen EBIT del 14,0 % en 2025 frente a ≈ 10-15 % de Heineken y Carlsberg en sus cuentas de 12 meses [A1, D12].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pequeños con dos grandes por país, plantas locales y depósitos de envases que desaniman a un tercero [B1].</w:t>
            </w:r>
          </w:p>
        </w:tc>
      </w:tr>
    </w:tbl>
    <w:p>
      <w:pPr>
        <w:spacing w:after="160" w:before="0"/>
      </w:pPr>
    </w:p>
    <w:p>
      <w:pPr>
        <w:pStyle w:val="Heading2"/>
      </w:pPr>
      <w:r>
        <w:t xml:space="preserve">Amenazas</w:t>
      </w:r>
    </w:p>
    <w:p>
      <w:pPr>
        <w:spacing w:after="100"/>
      </w:pPr>
      <w:r>
        <w:t xml:space="preserve">La principal ya ocurrió: PepsiCo pasa a Carlsberg Dinamarca, Finlandia y bálticos desde 2029, y Carlsberg tendrá las dos colas grandes durante 2029 si no cede Coca-Cola, que vence a final de 2028 [7, 9]. Riesgo de que otro socio (Heineken en Dinamarca, PepsiCo en Benelux) siga el mismo camino; probabilidad media a cinco años. La moderación del alcohol erosiona la cerveza normal (probabilidad alta, impacto lento). Las marcas de distribuidor presionan el precio en Finlandia y bálticos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15,8 %</w:t>
      </w:r>
      <w:r>
        <w:t xml:space="preserve">, EBITDA </w:t>
      </w:r>
      <w:r>
        <w:rPr>
          <w:b/>
          <w:bCs/>
        </w:rPr>
        <w:t xml:space="preserve">9,8 %</w:t>
      </w:r>
      <w:r>
        <w:t xml:space="preserve">, BPA </w:t>
      </w:r>
      <w:r>
        <w:rPr>
          <w:b/>
          <w:bCs/>
        </w:rPr>
        <w:t xml:space="preserve">4,2 %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DK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8.746 M en 2021 a 15.723 M en 2025, sobre todo por compras: Hansa Borg (Noruega, 2022), Vrumona (Países Bajos, desde el 29-sep-2023), la distribución de PepsiCo en Bélgica y Luxemburgo (2025) y las marcas finlandesas de Pernod Ricard (2025) [1, 4]. El crecimiento orgánico de las ventas fue del 12 % en 2021, 11 % en 2022, 4 % en 2023, 6 % en 2024 y 3 % en 2025 [1]. El margen EBIT cayó del 18,9 % de 2021 al 13,2 % de 2022 y al 12,7 % de 2023 (inflación de materias primas, latas y energía repercutida con retraso, y compras con márgenes más bajos) y se recupera desde entonces: 13,1 % en 2024 y 14,0 % en 2025 [1]. En el primer semestre de 2026 el EBIT subió un 7,0 % (orgánico 6,7 %) con ventas +1,2 %, porque la empresa sale de negocios de poco margen (aperitivos y promociones sin margen en Países Bajos) [2].</w:t>
      </w:r>
    </w:p>
    <w:p>
      <w:pPr>
        <w:pStyle w:val="Heading2"/>
      </w:pPr>
      <w:r>
        <w:t xml:space="preserve">Ajustes y partidas no recurrentes</w:t>
      </w:r>
    </w:p>
    <w:p>
      <w:pPr>
        <w:spacing w:after="100"/>
      </w:pPr>
      <w:r>
        <w:t xml:space="preserve">La empresa publica el BPA ajustado en dos años: 2022 sin la plusvalía de 360 M por revalorizar Hansa Borg (BPA ajustado 23,1 frente a 30,5) y 2024 sin la venta de las participaciones polacas (204 M; BPA ajustado 25,2 frente a 29,2) [1, 3]. Las dos partidas están fuera del EBIT (resultado financiero y participadas), así que el EBITDA y el EBIT publicados no llevan no recurrentes relevantes. En la historia del PER usamos el BPA ajustado de esos dos años. El dividendo de 2023 (14,5 DKK) se pagó como extraordinario en octubre de 2024 y la empresa lo imputa a 2023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primer trimestre (21-abr-2026, adelantado por el anuncio de PepsiCo) la dirección presentó un EBIT de 273 M (+24,6 %; orgánico +21,4 %) gracias a la Semana Santa temprana y mantuvo la guía de 2026 (EBIT orgánico +6-10 %, 2.325-2.425 M) [6]. El mensaje cambió del crecimiento con socios a «acelerar marcas propias»: la salida de PepsiCo en Dinamarca, Finlandia y los países bálticos a finales de 2028 (≈ 13 % de las ventas) «quita restricciones estructurales» y libera capacidad; la empresa prevé unos 300 M de costes de transición y un EBIT de 2030 por encima del de 2028 [7]. En el semestral (17-ago-2026) repitió la guía, destacó la mejora del margen EBIT (+80 pb hasta el 13,3 %) y el BPA (+10,7 %), y avisó de inflación en energía, materias primas, consumibles y transporte por la geopolítica, cubierta solo en parte [2]. Lo que no detalló: cuánto EBIT pierde exactamente en 2029 ni cómo reparte los 300 M entre 2028 y 2029 («muchas piezas en movimiento») [7]. El BPA del semestre quedó un 3,6 % por debajo de lo esperado [27].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Hansa Borg Bryggerier (Noruega): paso del 25 % al 100 % en 2022 (plusvalía de 360 M por revalorizar la participación previa, fuera del EBIT) y compras menores; el activo sube un 33 %.; 2023: Vrumona (Países Bajos), consolidada desde el 29-sep-2023 (precio de 2.091 M; ventas de 200 M EUR en 2022): entra entera en el balance y solo un trimestre en la cuenta; planta de San Giorgio (Italia) a final de año.).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La deuda neta subió de 3.536 M en 2021 a 6.426 M en 2023 (2,9 veces el EBITDA) por las compras de Hansa Borg y Vrumona, y bajó a 5.730 M en 2025 (2,0 veces) [1]. A 30-jun-2026 vuelve a 6.610 M (2,2 veces) por las recompras (544 M en el semestre) y la estacionalidad: la caja se genera en la segunda mitad [2]. El objetivo es menos de 2,5 veces. El circulante comercial es negativo en la definición de la empresa (−1.076 M en 2025): los proveedores y los impuestos especiales cobrados financian existencias y clientes [1]. Entre el 30-jun y el 16-oct-2026 la empresa recompró 707.857 acciones por unos 322 M más [8].</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5.384</w:t>
      </w:r>
      <w:r>
        <w:t xml:space="preserve">, conversión </w:t>
      </w:r>
      <w:r>
        <w:rPr>
          <w:b/>
          <w:bCs/>
        </w:rPr>
        <w:t xml:space="preserve">78 %</w:t>
      </w:r>
      <w:r>
        <w:t xml:space="preserve"> del beneficio neto; adquisiciones 4.159, dividendos 3.540, recompras 1.432.</w:t>
      </w:r>
    </w:p>
    <w:p>
      <w:pPr>
        <w:spacing w:after="100"/>
      </w:pPr>
      <w:r>
        <w:t xml:space="preserve">La caja libre de la empresa (operativo − inversiones sin compras − arrendamientos) fue de 1.296 M en 2021, 577 M en 2022 (circulante −480 M por la inflación), 1.143 M en 2023, 1.434 M en 2024 (1.233 M sin los 201 M de la venta de las cerveceras polacas) y 1.413 M en 2025 [1, 3]. La conversión del beneficio en caja libre ronda el 90 % en los años normales. El capex de la empresa (con las altas de arrendamientos) fue del 6,4 % de las ventas en 2025 y la guía de 2026 es de un 7 % por la ampliación de almacenes y líneas [1, 2]; la amortización es del 4,6 %. Estimación propia: el mantenimiento ronda el 4,5-5 % de las ventas y el resto es crecimiento (almacén automatizado de Faxe, latas propias en Países Bajos) [2]. Los intereses pagados van en el flujo operativo.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Statsautoriseret Revisionspartnerselskab</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siguen las NIIF-UE con informe ESEF auditado por Deloitte, sin salvedades [1, 5]. Dos partidas extraordinarias fuera del EBIT inflan el beneficio de 2022 (plusvalía de 360 M al revalorizar Hansa Borg) y de 2024 (204 M por las cerveceras polacas); la empresa las ajusta en su BPA [1]. El fondo de comercio (5.161 M) y las marcas sin amortizar (la mayor parte de los 4.485 M de intangibles) suman el 53 % del activo; el test de deterioro de 2025 no registró pérdidas [1]. Los pagos en acciones son pequeños (35 M en 2025) [1]. No hay capitalización de gastos de desarrollo relevante. La conversión en caja es alta y el circulante negativo es estructural (impuestos especiales y depósitos de envases). El Altman, el Piotroski y el Beneish del motor se leen con cuidado en 2022 y 2023 por las compras.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y marcas = 53 %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deterioro de las marcas o del fondo de comercio de Vrumona o Finlandia sería contable, pero diría que se pagó demasiado; la licencia de PepsiCo en Países Bajos (Vrumona) y Bélgica sigue en vigor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Plusvalías fuera del EBIT en 2022 y 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las ajusta y las publica; no se repiten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12.274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5.161 M en 2025 (el 42 % del capital invertido medio); ha subido más de un 5 % en 2 de 4 años: compra única grande. ROIC publicado 14,2 %; sin fondo de comercio, 24,5 %.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8,2 % · </w:t>
      </w:r>
      <w:r>
        <w:rPr>
          <w:b/>
          <w:bCs/>
        </w:rPr>
        <w:t xml:space="preserve">WACC</w:t>
      </w:r>
      <w:r>
        <w:t xml:space="preserve">: 7,1 %.</w:t>
      </w:r>
    </w:p>
    <w:p>
      <w:pPr>
        <w:spacing w:after="100"/>
      </w:pPr>
      <w:r>
        <w:t xml:space="preserve">El ROIC con el fondo de comercio y las marcas compradas fue del 14,2 % en 2025 (12,8 % según la definición de la empresa a junio de 2026, con el capital medio de 12 meses [2]) y del 24,5 % sin el fondo de comercio, frente a un WACC del 7,1 %: crea valor con unos 7 puntos de margen. La tendencia explica la historia de las compras: era del 18,9 % en 2021, bajó al 11,7 % en 2023 (Hansa Borg y Vrumona entraron en el capital antes que en el beneficio, y la inflación de latas, malta y energía se repercutió tarde) y se recupera desde entonces con el margen EBIT del 12,7 % al 14,0 % [1]. El ROIC incremental de 2021 a 2025 ronda el 8 %: las compras rinden poco más que su coste de capital, mientras que el negocio orgánico (sin fondo de comercio) rinde más del 20 %. Lo mueve el margen (14 % de EBIT) más que la rotación (0,9 veces el activo). La salida de PepsiCo resta beneficio en 2029 sin liberar mucho capital (las plantas se reutilizan para marcas propias): el ROIC bajará en 2029 hacia el 11-12 % antes de recuperarse si la dirección cumple su objetivo de EBIT para 2030 [7]. El plan de incentivos a largo plazo 2026-2028 pesa un 30 % el ROIC [1].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6.932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54 M a 30-jun-2026 y líneas de crédito comprometidas; deuda neta con intereses de 6.610 M (2,2 veces el EBITDA de 12 meses) [2]. La caja es casi nula por política: la empresa se financia con líneas bancarias e hipotecas y reparte la caja libre.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(no emite bonos; deuda bancaria e hipotecaria)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Fuera de la deuda con intereses hay 1.283 M de impuestos diferidos (marcas y fondo de comercio de las compras) y 2.251 M de «otros acreedores» a 30-jun-2026 (impuestos especiales, depósitos de envases y bonificaciones a clientes) que no son deuda financiera [2]. Los arrendamientos (447 M a final de 2025) están contabilizados dentro de «entidades de crédito» y la empresa los incluye en su deuda neta [1]. No hay pensiones de prestación definida relevantes. El contrato con PepsiCo en Dinamarca, Finlandia y los países bálticos vence el 31-dic-2028 sin renovación; la empresa estima unos 300 M de costes de transición y de salida desde 2029 [7]. Un cambio de control permite a algunos socios comerciales y prestamistas rescindir sus contratos [1].</w:t>
      </w:r>
    </w:p>
    <w:p>
      <w:pPr>
        <w:pStyle w:val="Heading1"/>
      </w:pPr>
      <w:r>
        <w:t xml:space="preserve">12. Asignación de capital</w:t>
      </w:r>
    </w:p>
    <w:p>
      <w:pPr>
        <w:pStyle w:val="Confianza"/>
        <w:spacing w:after="100"/>
      </w:pPr>
      <w:r>
        <w:t xml:space="preserve">Confianza: Alta</w:t>
      </w:r>
    </w:p>
    <w:p>
      <w:pPr>
        <w:spacing w:after="100"/>
      </w:pPr>
      <w:r>
        <w:t xml:space="preserve">Objetivo de deuda neta por debajo de 2,5 veces el EBITDA y dividendo del 40-60 % del beneficio; prioridades: flexibilidad financiera, crecimiento orgánico, compras, dividendo estable y recompras para ajustar la estructura de capital [1]. Dividendo de 16 DKK por 2025 (51 % del beneficio). En 2026: recompra de 700 M (feb-ago, 1.529.200 acciones a 457,7 DKK de media) y otra de hasta 300 M (18-ago a 18-dic) [2, 8]. Se amortizaron 900.000 acciones propias el 29-abr-2026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Terme di Crodo (Italia) y otras compras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Crodo es hoy una de las marcas que más crecen en Italia y en exportación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Hansa Borg Bryggerier (Noruega), del 25 % al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nuevas (821 M), acciones propias (467 M)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en Noruega; plusvalía contable de 360 M; Noruega crece en sidra, bebidas listas y cerveza en 2025-2026 [2,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Vrumona (Países Bajos), comprada a Heineken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300 M EUR, 12 veces el EBITDA normalizado de 2022 (25 M EUR) [4]. Rendimiento por debajo del plan en 2024-2025; estrategia comercial revisada en el 3T25 (menos promociones sin margen); el margen de Europa Occidental mejora al 13,6 % en el 1S26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Marcas locales de Pernod Ricard en Finlandia (Minttu) y distribución de PepsiCo en Bélgica y Luxemburgo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Minttu integrada desde el 28-feb-2025 y con aportación positiva; Benelux no aporta beneficio aún en el 1S26 [1, 2].</w:t>
            </w:r>
          </w:p>
        </w:tc>
      </w:tr>
    </w:tbl>
    <w:p>
      <w:pPr>
        <w:spacing w:after="160" w:before="0"/>
      </w:pPr>
    </w:p>
    <w:p>
      <w:pPr>
        <w:spacing w:after="100"/>
      </w:pPr>
      <w:r>
        <w:t xml:space="preserve">La dirección duplicó el tamaño con compras de 2021 a 2023 (más de 5.700 M) y el rendimiento del capital invertido con fondo de comercio bajó del 19 % de 2021 al 11 % de 2023; vuelve al 12,8 % en los 12 meses a junio de 2026 [1, 2]. Las compras crecieron el beneficio por acción poco: 26,5 DKK en 2021 y 31,3 en 2025 (+4,3 % anual), con el dividendo plano en 14,5 DKK hasta 2023. Desde 2025 la prioridad pasa a las recompras (550 M en 2025 y unos 1.000 M en 2026) con la deuda en 2,0-2,2 veces. Vrumona se pagó a 12 veces el EBITDA y aún no rinde lo previsto.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Jensen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(President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1993; director financiero de 2011 a 2020 y consejero delegado desde agosto de 2020 [1]. Con él se hicieron Hansa Borg, Vrumona y la entrada en el Benelux; el EBIT pasó de 1.515 M en 2020 a 2.202 M en 2025 y el ROIC con fondo de comercio del 20 % al 13 % [1, 4]. Tenía 88.957 acciones a final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Vestergaard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vicepresidente en ISS, tesorero, director financiero y de sistemas de Carlsberg y director financiero de FLSmidth [1]. Compró 1.888 acciones a 415 DKK el 22-abr-2026, tras la caída por PepsiCo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Peter Ruzicka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desde 2022; preside Pandora y está en el consejo de Axfood; experiencia en alimentación y bebidas (Orkla) [1]. Compró 2.000 acciones a 408,80 DKK el 24-abr-2026 y otras 2.000 a 434,85 DKK el 18-ago-2026 [13, 15].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de 1.550-1.750 M y ventas de 13.000-14.000 M (marzo de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1.638 M; ventas 12.927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orgánico +5-15 % y ventas de unos 15.000 M (inicial); +15-19 % (último)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orgánico +15 %; ventas 15.036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+7-13 % (2.100-2.225 M) y ventas +5-7 % (inicial); EBIT orgánico +8-12 % (último)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2.202 M (+12 %; orgánico +10 %); ventas +5 %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orgánico +6-10 % (2.325-2.425 M); ventas planas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EBIT +7,0 % en el 1S26; guía repetida el 17-ago-2026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el consejero delegado lleva 33 años en la casa y seis en el cargo, y el director financiero seis. Cumplen la guía de EBIT (2023 en el centro, 2024 y 2025 dentro); en ventas 2023 quedó por debajo [1, 3]. La gran mancha es comercial: no lograron renovar PepsiCo en Dinamarca, Finlandia y bálticos, un socio de décadas [7]. Tras la caída de abril, el presidente y el director financiero compraron acciones con su dinero [13, 14]. No hay plan de sucesión publicado.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Arne Ruzicka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y nombramientos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Jais Stampe Li Valeur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Anna Catharina von Stackelberg-Hammarén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Ingeborg Plochaet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Lise Skaarup Mortensen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Torben Carlsen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Claus Kærgaard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Nielsen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Jeanette Dahl Henriksen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Jais Stampe Li Valeur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2,47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 Augustinus Fabrikker 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estratégico danés (fundación)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notificados desde mayo de 2022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Wellington Management Group LLP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Notificado el 9-jun-2025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2.180.245 acciones el 16-oct-2026 (2,4 % a final de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(lista de personas con responsabilidades de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Lars Vestergaard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Ruzicka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Peter Ruzicka (presidente, por Ventotene Holding 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dirección (dos personas) cobró 38 M en 2025: 15 M fijos, 9 M de variable anual y 14 M de variable a largo plazo [1]. El variable anual de 2026 depende en un 70 % del EBIT, 15 % del ROIC y 15 % de seguridad y CO₂; el de 2025 pagó el 64 % del máximo (EBIT de 2.202 M frente a un objetivo de 2.000-2.200 M) [1]. El plan a largo plazo 2026-2028 pesa un 55 % el crecimiento orgánico del EBIT y un 30 % el ROIC: premia rentabilidad y no solo tamaño [1]. El plan 2023-2025 consolidó el 66 % (26.499 acciones). El consejo cobró 6 M. Las juntas danesas aprueban el informe de remuneraciones sin recuento publicado [1].</w:t>
      </w:r>
    </w:p>
    <w:p>
      <w:pPr>
        <w:pStyle w:val="Heading2"/>
      </w:pPr>
      <w:r>
        <w:t xml:space="preserve">Operaciones vinculadas, estructura de control y defensas</w:t>
      </w:r>
    </w:p>
    <w:p>
      <w:pPr>
        <w:spacing w:after="100"/>
      </w:pPr>
      <w:r>
        <w:t xml:space="preserve">Una sola clase de acciones, un voto por acción y sin límites de voto [1]. Ningún accionista controla: Chr. Augustinus Fabrikker tiene el 14,94 % y no está en el consejo como dominical [1]. Tres de los nueve consejeros los eligen los empleados, como manda la ley danesa. Un cambio de control permite a algunos socios comerciales (licencias) y prestamistas rescindir contratos, lo que encarece una opa [1]. No hay operaciones vinculadas relevantes (ventas a asociadas de 18-19 M al año) [4].</w:t>
      </w:r>
    </w:p>
    <w:p>
      <w:pPr>
        <w:pStyle w:val="Heading2"/>
      </w:pPr>
      <w:r>
        <w:t xml:space="preserve">Señales de alerta</w:t>
      </w:r>
    </w:p>
    <w:p>
      <w:pPr>
        <w:pStyle w:val="ListParagraph"/>
        <w:numPr>
          <w:ilvl w:val="0"/>
          <w:numId w:val="2"/>
        </w:numPr>
        <w:spacing w:after="60"/>
      </w:pPr>
      <w:r>
        <w:t xml:space="preserve">Venta de acciones por dos vicepresidentes en marzo de 2026 a unos 583-584 DKK, un mes antes del anuncio de PepsiCo (las negociaciones con PepsiCo no eran públicas); importes no comprobados en el registro oficial [16].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(repetida el 17-ago-2026): EBIT orgánico +6-10 %, 2.325-2.425 M; ventas parecidas a las de 2025 por la salida de aperitivos y negocios de poco margen; gastos financieros de unos 250 M; tipo impositivo del 22 %; capex de un 7 % de las ventas; sin compras relevantes [2]. Objetivo a largo plazo: EBIT orgánico +6-8 % al año, deuda &lt; 2,5 veces el EBITDA y dividendo del 40-60 % [1]. Con PepsiCo (21-abr-2026): EBIT en línea con el +6-8 % hasta 2028, caída de ventas y volumen en 2029, ≈ 300 M de costes de transición y EBIT de 2030 por encima del de 2028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vía Yahoo Finance (14 analistas) [18]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vía Yahoo Finance (14 analistas) [18]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420,00 – 570,00</w:t>
            </w:r>
          </w:p>
        </w:tc>
      </w:tr>
    </w:tbl>
    <w:p>
      <w:pPr>
        <w:spacing w:after="160" w:before="0"/>
      </w:pPr>
    </w:p>
    <w:p>
      <w:pPr>
        <w:pStyle w:val="Heading2"/>
      </w:pPr>
      <w:r>
        <w:t xml:space="preserve">Revisiones de estimaciones</w:t>
      </w:r>
    </w:p>
    <w:p>
      <w:pPr>
        <w:spacing w:after="100"/>
      </w:pPr>
      <w:r>
        <w:t xml:space="preserve">Tras el anuncio de PepsiCo (21-22-abr-2026) los bancos rebajaron recomendación y objetivo: BNP Paribas a neutral (690 → 440 DKK), Deutsche Bank a mantener (665 → 425), Goldman Sachs a neutral (650 → 465), Nordea a mantener, Citi de 570 a 450 y Morgan Stanley de 595 a 505 [19]. Las recomendaciones pasaron de 6 compras, 8 mantener y 1 venta hace tres meses a 4, 10 y 1 hoy [18]. Tras el semestral, el BPA de 2026 bajó de 34,41 a 34,12 y el objetivo medio se quedó en 490 DKK [27]. Una sola fuente da estimaciones completas (S&amp;P Global, vía Yahoo y Stock Analysis); no hay EBITDA ni 2028e gratis.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r>
    </w:tbl>
    <w:p>
      <w:pPr>
        <w:spacing w:after="160" w:before="0"/>
      </w:pPr>
    </w:p>
    <w:p>
      <w:pPr>
        <w:spacing w:after="100"/>
      </w:pPr>
      <w:r>
        <w:t xml:space="preserve">La acción ha perdido un 23 % en el año (el índice OMXC25 sube un 1,8 % y las bebidas europeas un 9,1 %) y un 11 % anual en cinco años: el mercado ha pasado de pagar 25-32 veces el beneficio en 2019-2021 a menos de 12 veces [17]. La caída de 2026 tiene una causa concreta (PepsiCo, 21-abr) y otra de fondo (inflación de costes y consumo de cerveza flojo). La beta es baja (0,26 mensual a cinco años; 0,53 semanal).</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 / -5,1 % / +10,4 % / -10,1 %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-32,2 % / +10,7 %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tercer trimestre de 2025 (EBITDA de 962 M, margen del 22,4 %; EBIT ≈ +15 %) y guía de 2025 hacia la parte alta [1,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nota de la empresa: caída con el sector de consumo por la inflación de energía y materias primas ligada a la geopolítica; dos vicepresidentes vendieron a ≈ 583 DKK el 16 y el 19-mar [16]. Causa propia no confirmada en tres búsquedas (anuncios de la empresa, Ritzau/Inderes, prensa nórdica).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no renueva las licencias de Dinamarca, Finlandia y bálticos a final de 2028 (≈ 13 % de las ventas): −24,8 % el 21-abr, la mayor caída en 17 años; seis bancos rebajaron objetivo o recomendación [7, 19,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sin causa concreta encontrada (sin anuncios de la empresa en julio): recuperación tras la caída de abril-junio y antes del semestral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Semestral del 17-ago: EBIT +7 % pero BPA un 3,6 % por debajo de lo esperado y aviso de inflación de costes; −5,2 % el 18-ago [2,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tercer trimestre de 2026 (fecha del calendario financiero)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en curso (hasta 300 M, del 18-ago al 18-dic): 397.657 acciones por 165,5 M hasta el 16-oct; 2.180.245 acciones propias (4,4 %) [8]. Es una reducción de capital, no una colocación.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aluminio en la LME sube a 3.134 USD/t, máximo de varios años, con la prima europea alta: presión sobre el coste de las latas de 2027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presidente, Peter Ruzicka, compra 2.000 acciones a 434,85 DKK (ya había comprado 2.000 a 408,80 el 24-abr) [13,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Semestral: ventas +1,2 % (≈ +4 % sin las salidas de negocios de poco margen), EBIT +7,0 %, guía de EBIT de 2.325-2.425 M repetida; aviso de inflación de energía y materias primas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financiero compra 1.888 acciones a 415 DKK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pone fin a la asociación en el norte de Europa al vencer las licencias (final de 2028); el Benelux sigue; Carlsberg será el embotellador desde 2029 [7,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2026-04-22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Rebajas tras PepsiCo: BNP Paribas a neutral (690 → 440 DKK), Deutsche Bank (665 → 425), Goldman Sachs (650 → 465), Nordea a mantener, Citi (570 → 450) y Morgan Stanley (595 → 505) [19]. Hoy: 4 comprar, 10 mantener y 1 vender; objetivo medio de 489 DKK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32 % bajo su máximo de 52 semanas y un 47 % bajo el de cinco años, con tendencia bajista (un 9,5 % bajo la media de 200 sesiones) y sin avisos P de la herramienta. Las caídas fuertes tienen causa conocida y ya publicada (PepsiCo en abril, semestral en agosto) y no hay colocaciones, ampliaciones ni ventas de accionistas de referencia anunciadas: al contrario, la empresa recompra acciones y el presidente y el director financiero han comprado. Los resultados del 11-nov están a 21 días (más de 15): no retrasan.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Múltiplos adelantados (precio al cierre de cada año ÷ beneficio del año siguiente). El PER pasó de 31,9 veces en 2021 a 16,2-16,5 en 2024-2025, y hoy cotiza a 11,8; el EV/EBITDA, de ≈ 20 veces a 10,6-11,0 y hoy a 9,2 veces el de 12 meses [1, 17]. La caída de 2022 vino de la inflación de costes y de la subida de tipos; la de 2026, de PepsiCo. Hoy la acción está en el mínimo de su historia reciente en las dos medidas, por debajo de Carlsberg (14,0) y Heineken (13,7) en PER [28].</w:t>
      </w:r>
    </w:p>
    <w:p>
      <w:pPr>
        <w:pStyle w:val="Heading1"/>
      </w:pPr>
      <w:r>
        <w:t xml:space="preserve">18. Comparables cotizados</w:t>
      </w:r>
    </w:p>
    <w:p>
      <w:pPr>
        <w:pStyle w:val="Confianza"/>
        <w:spacing w:after="100"/>
      </w:pPr>
      <w:r>
        <w:t xml:space="preserve">Confianza: Media</w:t>
      </w:r>
    </w:p>
    <w:p>
      <w:pPr>
        <w:spacing w:after="100"/>
      </w:pPr>
      <w:r>
        <w:t xml:space="preserve">Cerveceras y embotelladores europeos y grandes cotizadas del sector, con cifras de Yahoo Finance del 21-oct-2026 convertidas a DKK con los tipos del BCE: Carlsberg (rival directo y nuevo embotellador de PepsiCo), Heineken (socio y rival), AB InBev, Coca-Cola Europacific Partners (refrescos en Escandinavia y Benelux), Olvi (Finlandia y bálticos), Molson Coors y Asahi. Fuera: Coca-Cola HBC (la compra de Coca-Cola Beverages Africa distorsiona el crecimiento y Yahoo mezcla peniques y libras) y Harboes (sin consenso). Valor empresa = capitalización + deuda − caja de Yahoo (sin minoritarios). PER de los próximos 12 meses = 2,3/12 del BPA de 2026e + 9,7/12 del de 2027e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Royal Unibrew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Carlsberg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Heineken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316.965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 InBev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1.089.754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Coca-Cola Europacific Partners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325.505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Olvi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Molson Coors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Asahi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9,7x / 11,3x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 / 13,7x / 15,7x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2,0x / 2,3x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616,71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Vrumona (refrescos, Países Bajos)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Royal Unibrew</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300 M EUR; EBITDA normalizado de 2022 de 25 M EUR y ventas de 200 M EUR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Britvic (refrescos,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Carlsberg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 4.100 M GBP sobre un EBITDA ajustado de 303 M GBP; 10,2 veces con sinergias [25].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FIFCO (bebidas y distribución, Centroamérica)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3.200 M USD; 11,6 veces el EBITDA de 2024 según Heineken (12,3 según FIFCO) [26].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 (11,8x – 12,8x)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623,90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611,06 – 675,25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(+0,6 %, fijo) es la guía de ventas planas: el volumen sube (+1,8 % en el semestre) y los precios también, pero la empresa abandona negocios de poco margen en Países Bajos (aperitivos y promociones) [2]. 2027e y 2028e, +3,5 %: 1,5 puntos de volumen (categorías de crecimiento: refrescos sin azúcar, energéticas, bebidas listas; la cerveza cae) y 2 de precio, por debajo del orgánico de 2023-2025 (4-6 %) [1]. 2029e, −9 %: se pierden las licencias de PepsiCo en Dinamarca, Finlandia y bálticos (≈ 13 % de las ventas [7]), compensado en parte por las marcas propias que ocupan esa capacidad (Faxe Kondi, Jaffa, Novelle) y por precio. Después, +4 % y bajada hasta el 2,5 %. El crecimiento medio de 2026e a 2033e es del 1,5 % anual, frente al 15,8 % histórico con compras y al ≈ 4-5 % orgánico.</w:t>
      </w:r>
    </w:p>
    <w:p>
      <w:pPr>
        <w:keepNext/>
        <w:spacing w:after="100"/>
      </w:pPr>
      <w:r>
        <w:rPr>
          <w:b/>
          <w:bCs/>
        </w:rPr>
        <w:t xml:space="preserve">Márgenes.</w:t>
      </w:r>
    </w:p>
    <w:p>
      <w:pPr>
        <w:spacing w:after="100"/>
      </w:pPr>
      <w:r>
        <w:t xml:space="preserve">Margen EBITDA del 19,9 % en 2026e (EBIT en el centro de la guía, 2.373 M), subiendo al 20,8 % en 2028e por mezcla y precio, como en 2024-2026 (del 17,5 % al 19,2 % de los 12 meses) [1, 2]. En 2029e baja al 18,6 % porque restamos los ≈ 300 M de costes de transición que la empresa anuncia desde 2029 y el margen del negocio perdido [7]; luego 21,2-21,4 %. Nuestro EBIT de 2030e (2.598 M) queda POR DEBAJO del de 2028e (2.677 M), cuando la empresa dice que el de 2030 lo superará: somos más prudentes que la guía. Costes: latas, malta, azúcar, PET y energía son la mayor parte del coste de ventas (57 % de las ventas en 2025) y la empresa los cubre solo en parte con contratos y derivados [1, 2], así que la subida del aluminio (3.134 USD/t [12]) y de la energía entra sobre todo en 2027 y se repercute con retraso, como en 2022-2023.</w:t>
      </w:r>
    </w:p>
    <w:p>
      <w:pPr>
        <w:keepNext/>
        <w:spacing w:after="100"/>
      </w:pPr>
      <w:r>
        <w:rPr>
          <w:b/>
          <w:bCs/>
        </w:rPr>
        <w:t xml:space="preserve">Inversión y circulante.</w:t>
      </w:r>
    </w:p>
    <w:p>
      <w:pPr>
        <w:spacing w:after="100"/>
      </w:pPr>
      <w:r>
        <w:t xml:space="preserve">Capex (con altas de arrendamientos) del 7 % de las ventas en 2026e y 2027e (guía de 2026 [2]; almacén automatizado de Faxe, latas propias), 6,5 % en 2028e y 5,5 % desde 2029e: la empresa dice que el capex bajará tras la salida de PepsiCo [7]. Amortización del 4,9-5,0 %. Circulante del 4,6 % de las ventas (estructuralmente bajo por los impuestos especiales y los depósitos de envases). No se proyectan compras nuevas.</w:t>
      </w:r>
    </w:p>
    <w:p>
      <w:pPr>
        <w:keepNext/>
        <w:spacing w:after="100"/>
      </w:pPr>
      <w:r>
        <w:rPr>
          <w:b/>
          <w:bCs/>
        </w:rPr>
        <w:t xml:space="preserve">Coste del capital.</w:t>
      </w:r>
    </w:p>
    <w:p>
      <w:pPr>
        <w:spacing w:after="100"/>
      </w:pPr>
      <w:r>
        <w:t xml:space="preserve">Tasa libre del 3,47 % (Bund a 10 años, 21-oct-2026 [21]: la empresa se financia en DKK, ligada al euro). Beta de 0,80, por encima de la medida (0,26 mensual a cinco años; ajustada 0,50-0,69 [17]) y cerca de la de las bebidas europeas [24]: la beta medida es baja porque la acción va por libre del índice danés, dominado por Novo Nordisk. Prima del 5,5 % más 0,5 puntos de prima específica (concentración en el norte de Europa y PepsiCo). Coste de la deuda del 4,0 % (4,1 % efectivo [1]) y peso del 24 % a valor de mercado. WACC del 7,11 %. Con la prima implícita del mercado (4,2 % [23]) baja al 6,32 % y el DCF sube a 765,43 DKK.</w:t>
      </w:r>
    </w:p>
    <w:p>
      <w:pPr>
        <w:keepNext/>
        <w:spacing w:after="100"/>
      </w:pPr>
      <w:r>
        <w:rPr>
          <w:b/>
          <w:bCs/>
        </w:rPr>
        <w:t xml:space="preserve">Valor terminal.</w:t>
      </w:r>
    </w:p>
    <w:p>
      <w:pPr>
        <w:spacing w:after="100"/>
      </w:pPr>
      <w:r>
        <w:t xml:space="preserve">Crecimiento a perpetuidad del 2,0 %, igual a la inflación objetivo: volumen de cerveza en caída lenta y refrescos y energéticas con crecimiento modesto. El múltiplo de salida implícito (11,4 veces el EBITDA) está entre el de las transacciones (11,6-13,6 veces [4, 25, 26]) y el de los comparables cotizados (9,7 veces de mediana): no es exigente. El valor terminal pesa un 71 %.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586,11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827,84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(reinvierte el 50 %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 (histórico: 8,2 %)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 frente al 1,4 %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1.410 M, el 9 % del NOPAT, con un capex bruto medio del 6,0 % de las ventas). En un negocio de activos ligeros, el crecimiento medio del 1,4 %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(1S +1,8 %), precio +1,5 % y −2,4 puntos por las salidas de negocios de poco margen en Países Bajos y una divisa algo peor: ventas planas, como guía la empresa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(energéticas, sin azúcar, bebidas listas; cerveza a la baja) y precio +2 % para repercutir aluminio y energía.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último año con las licencias de PepsiCo en el norte de Europa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−11 %: se pierde ≈ 13 % de las ventas por PepsiCo, compensado en ≈ 2 puntos por marcas propias en la capacidad liberada;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con marcas propias (+2 % de volumen) y precio (+2 %).</w:t>
            </w:r>
          </w:p>
        </w:tc>
      </w:tr>
    </w:tbl>
    <w:p>
      <w:pPr>
        <w:spacing w:after="160" w:before="0"/>
      </w:pPr>
    </w:p>
    <w:p>
      <w:pPr>
        <w:spacing w:after="100"/>
      </w:pPr>
      <w:r>
        <w:t xml:space="preserve">El crecimiento proyectado (1,5 % anual medio de 2026e a 2033e) está muy por debajo del histórico (15,8 % con compras; 4-6 % orgánico en 2023-2025) y no necesita capital nuevo: el capex baja del 7 % al 5,5 % de las ventas y la reinversión neta es solo el 9 % del beneficio operativo después de impuestos. El motor también da «Sí». Lo que no es sostenible sin esfuerzo es el volumen de cerveza (la empresa dice que el consumo de cerveza baja en casi todos los mercados desarrollados y la producción de la UE cayó un 0,7 % en 2025 [1, 10]); la proyección se apoya en refrescos sin azúcar, energéticas y bebidas listas (≈ 62 % de las ventas en el semestre [2]), categorías que crecen [11]. La caída de 2029e por PepsiCo está dentro del caso base, no es un riesgo aparte.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 (base: 1,6 %)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17,8 % (base: 21,4 %)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 (WACC: 7,1 %)</w:t>
            </w:r>
          </w:p>
        </w:tc>
      </w:tr>
    </w:tbl>
    <w:p>
      <w:pPr>
        <w:spacing w:after="160" w:before="0"/>
      </w:pPr>
    </w:p>
    <w:p>
      <w:pPr>
        <w:spacing w:after="100"/>
      </w:pPr>
      <w:r>
        <w:t xml:space="preserve">El DCF da 623,63 DKK por acción, un 41,3 % sobre el precio, con un WACC del 7,11 % y un valor terminal que pesa el 71 %. El DCF inverso dice que el precio descuenta una caída de las ventas del 3,2 % anual durante la proyección con nuestro margen, frente a un +1,5 % de nuestro caso base (que ya incluye la pérdida de PepsiCo): el mercado descuenta un negocio que encoge, no uno que pierde una licencia y se recupera. El rango con ± 0,5 puntos de WACC y crecimiento (513-788 DKK) queda entero por encima del precio. El bajista (crecimiento −2 puntos, margen −1,5 puntos, WACC +0,5 y crecimiento terminal del 1,5 %) vale 386,83 DKK (−12,3 %).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cerveza cae más rápido (salud, menos alcohol entre los jóvenes, impuestos), el aluminio y la energía suben y no se repercuten a tiempo (como en 2022-2023, cuando el margen EBIT cayó del 18,9 % al 12,7 %), la salida de PepsiCo cuesta más de lo previsto y Carlsberg, con Pepsi y quizá Coca-Cola, gana espacio en los lineales: crecimiento 2 puntos menor, margen EBITDA 1,5 puntos menor, WACC +0,5 y crecimiento terminal del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planas en 2026, +3,5 % en 2027-2028 con energéticas y refrescos sin azúcar, −9 % en 2029 por PepsiCo y recuperación con marcas propias; margen EBITDA del 20-21 % salvo 2029 (18,6 %, con 300 M de costes de transición).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marcas propias ocupan antes la capacidad que deja PepsiCo, la empresa gana una licencia nueva (Coca-Cola vence con Carlsberg en Dinamarca y Finlandia a final de 2028 [9]) y los costes se moderan: un punto más de crecimiento y 0,7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DKK) · precio actual 441,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584,87 DKK (+32,6 %).</w:t>
      </w:r>
    </w:p>
    <w:p>
      <w:pPr>
        <w:spacing w:after="100"/>
      </w:pPr>
      <w:r>
        <w:t xml:space="preserve">La asimetría es favorable: el alcista vale 705,37 DKK (+59,9 %) y el bajista 386,83 (−12,3 %). El bajista ya es duro (margen EBITDA 1,5 puntos menor durante todo el periodo, ≈ −8 % del EBITDA) y aun así queda solo un 12 % bajo el precio: el precio actual descuenta algo peor que nuestro bajista en la proyección del DCF inverso. Con los pesos 25/50/25, el valor ponderado de los escenarios (584,87 DKK) queda un 33 % sobre el precio.</w:t>
      </w:r>
    </w:p>
    <w:p>
      <w:pPr>
        <w:pStyle w:val="Heading1"/>
      </w:pPr>
      <w:r>
        <w:t xml:space="preserve">22. Suma de partes</w:t>
      </w:r>
    </w:p>
    <w:p>
      <w:pPr>
        <w:pStyle w:val="Confianza"/>
        <w:spacing w:after="100"/>
      </w:pPr>
      <w:r>
        <w:t xml:space="preserve">Confianza: Media</w:t>
      </w:r>
    </w:p>
    <w:p>
      <w:pPr>
        <w:spacing w:after="100"/>
      </w:pPr>
      <w:r>
        <w:t xml:space="preserve">No aplica: los tres segmentos (Northern Europe, Western Europe, International) venden las mismas categorías (cerveza, refrescos, sidra, agua, malta) con la misma organización de marcas, compras y producción compartidas [1]; separar el negocio con licencia de PepsiCo no tiene precio de mercado propio.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DKK) · precio actual 441,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586,60 DKK (+33,0 % sobre 441,20).</w:t>
      </w:r>
    </w:p>
    <w:p>
      <w:pPr>
        <w:spacing w:after="100"/>
      </w:pPr>
      <w:r>
        <w:t xml:space="preserve">Pesos: DCF 40 %, escenarios 35 %, comparables 20 % y transacciones 5 %. El DCF es el método más fiable para un negocio de consumo estable, y el único que recoge la pérdida de PepsiCo en 2029; los escenarios recogen la asimetría (bajista −12 %, alcista +60 %). Los comparables (PER de 13,7 veces de mediana: Carlsberg 14,0, Heineken 13,7, AB InBev 17,3, CCEP 20,5, Olvi 8,1, Molson Coors 8,2, Asahi 12,1 [28]) dan 506,24 DKK. Las transacciones pesan poco porque son de refrescos con prima de control (Vrumona 12,0, Britvic 13,6 y FIFCO 11,6 veces el EBITDA [4, 25, 26]). El valor intrínseco de la síntesis es de 586,60 DKK (+33 %). El puente resta 6.610 M de deuda neta con arrendamientos a 30-jun-2026 [2] y 322 M de recompras pagadas después.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(11.8x) × 1.1 (tope: la mediana de 5 años, 17.9x,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+77,0 %</w:t>
            </w:r>
          </w:p>
        </w:tc>
      </w:tr>
    </w:tbl>
    <w:p>
      <w:pPr>
        <w:spacing w:after="160" w:before="0"/>
      </w:pPr>
    </w:p>
    <w:p>
      <w:pPr>
        <w:spacing w:after="100"/>
      </w:pPr>
      <w:r>
        <w:rPr>
          <w:b/>
          <w:bCs/>
        </w:rPr>
        <w:t xml:space="preserve">Objetivo a 12 meses (ponderado):</w:t>
      </w:r>
      <w:r>
        <w:t xml:space="preserve"> 548,15 DKK · rentabilidad +27,9 % (base +24,0 %) · señal Comprar.</w:t>
      </w:r>
    </w:p>
    <w:p>
      <w:pPr>
        <w:spacing w:after="100"/>
      </w:pPr>
      <w:r>
        <w:t xml:space="preserve">Para comparar, con la regla v2 (historia al cierre, mismo precio): 10,0x / 11,8x / 15,3x, 16,1 % Comprar; con el tope anterior del base (×1,3, 14-oct mediodía): 42,4 %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(34,86 DKK) está un 2,4 % por encima del consenso (34,06) y el de 2027e (38,11) un 1,2 % por encima (37,65) [18]: suponemos el centro de la guía de EBIT, un gasto financiero de 250 M y las acciones netas de las recompras ya hechas. El objetivo medio de los analistas (489,27 DKK; 420-570) queda por debajo de nuestro base a 12 meses (531,18) porque los bancos rebajaron el múltiplo tras PepsiCo y valoran ya el año 2029; la regla, en cambio, toma el BPA de 2028e, el último año completo con PepsiCo. Esta es la diferencia que más importa, y la tratamos en las objeciones.</w:t>
      </w:r>
    </w:p>
    <w:p>
      <w:pPr>
        <w:keepNext/>
        <w:spacing w:after="100"/>
      </w:pPr>
      <w:r>
        <w:rPr>
          <w:b/>
          <w:bCs/>
        </w:rPr>
        <w:t xml:space="preserve">Del valor intrínseco al objetivo a 12 meses.</w:t>
      </w:r>
    </w:p>
    <w:p>
      <w:pPr>
        <w:spacing w:after="100"/>
      </w:pPr>
      <w:r>
        <w:t xml:space="preserve">El objetivo a 12 meses (548,15 DKK, ponderado) queda un 24,2 % sobre el precio (+27,9 % con el dividendo de 16 DKK) y el base (531,18 DKK) un 20,4 % (+24,0 % con dividendo). El base supone que el BPA crece un 9,3 % anual hasta 40,86 DKK en 2028e y que el PER sube de 11,8 a 13,0 veces (tope de ×1,1), aún muy por debajo de su mediana adelantada de cinco años (17,9) y de la mediana de los comparables (13,7). OBJECIÓN PRINCIPAL: 2028e es el último año con PepsiCo; dentro de 12 meses el mercado mirará a 2029, cuando el BPA caerá por la pérdida de las licencias y los 300 M de costes de transición. Con nuestro DCF, el BPA de 2029e rondaría 31-32 DKK; a 13,0 veces darían ≈ 410 DKK (−7 %). Contraargumento: la regla ya aplica un PER de 13,0, un 27 % por debajo de la mediana de la empresa y en línea con los comparables, y la propia empresa guía un EBIT de 2030 por encima del de 2028. La convicción queda en Media por este punto. Comprar por debajo de 488,55 DKK; vender por encima de 626,83. Pruebas de robustez (21-oct, cierre de 441,20): compra de nivel A, pero en el filo: la regla v2 de control da +16,0 % / +12,9 % y con el BPA un 10 % menor la v3 da +15,4 % / +12,0 %; el límite de compra robusto (v3 y v2 con BPA −10 %) es de 441,21 DKK, un céntimo sobre el cierre, y el de nivel B1, de 463,14.</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tercer trimestre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del verano y de la inflación de costes; confirmación de la guía de EBIT 2.325-2.425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 con nuevo programa de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el aluminio y la energía de 2027; tamaño de la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Detalle del plan de transición de PepsiCo (costes, capacidad, marcas propias)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Concreta el EBIT de 2029-2030 que hoy el mercado no se cree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contrato de Coca-Cola con Carlsberg en Dinamarca y Finlandia (31-dic-2028)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licencia nueva para Royal Unibrew: el alcista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las licencias de PepsiCo en Dinamarca, Finlandia y bálticos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13 % de las ventas y ≈ 300 M de costes de transición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(300 M hasta el 18-dic-2026; política de deuda neta/EBITDA &lt; 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 de BPA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las licencias de PepsiCo (Dinamarca, Finlandia, bálticos) a final de 2028: ≈ 13 % de las ventas con margen cercano al del grupo, más ≈ 300 M de costes de transición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licencias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en el caso base; −10 % más si las marcas propias no ocupan la capacidad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liberada para marcas propias (Faxe Kondi, Jaffa, Novelle); capex menor; el Benelux sigue con PepsiCo; EBIT de 2030 guiado por encima del de 2028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marcas propias en Dinamarca y Finlandia en 2029 y detalle de los costes de transición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 de PepsiCo en el Benelux (Vrumona y Bélgica) y otras licencias (Heineken en Dinamarca): si una más se pierde, el modelo de socio se debilita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licencias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PepsiCo confirmó que el Benelux sigue [7]; contratos largos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Cualquier anuncio de PepsiCo sobre el Benelux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consumo de cerveza (salud, menos alcohol entre los jóvenes, impuestos especiales, medicamentos GLP-1)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categorías de crecimiento son ≈ 62 % de las ventas; en Suecia los refrescos sin azúcar (+6,5 %) y la cerveza sin alcohol (+6,2 %) crecen [2,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orgánico total negativo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aluminio (latas), malta, azúcar y energía: el aluminio está en 3.134 USD/t y la empresa avisó de inflación en el semestral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a −12 % (2022-2023: margen EBIT del 18,9 % al 12,7 %)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parciales con contratos y derivados, subidas de precio y ahorro de costes; poder de precio en marcas locales [2,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segundo semestre por debajo del de 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Carlsberg, reforzado con Pepsi en todo el norte de Europa (y quizá Coca-Cola), y de las marcas blancas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locales líderes (Faxe Kondi, Lapin Kulta, Original Long Drink) y distribución directa propia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en Dinamarca o Finlandia en los datos de Nielsen que cite la empresa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tras las compras (deuda neta/EBITDA de 2,2 veces) y fondo de comercio y marcas (53 % del activo)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&lt; 2,5 veces; caja libre de ≈ 1.400 M al año; sin deterioros en 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marcas o de Vrumona; deuda neta/EBITDA &gt; 2,5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que rinden poco (ROIC incremental ≈ 8 %, cerca del coste de capital)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Incentivos a largo plazo ligados al ROIC (30 %)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grande pagada por encima de 13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 La IA no sustituye beber una cerveza ni un refresco; puede bajar costes de previsión y logística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físico, marcas locales y distribución propia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 relevante</w:t>
            </w:r>
          </w:p>
        </w:tc>
      </w:tr>
    </w:tbl>
    <w:p>
      <w:pPr>
        <w:spacing w:after="160" w:before="0"/>
      </w:pPr>
    </w:p>
    <w:p>
      <w:pPr>
        <w:pStyle w:val="Heading2"/>
      </w:pPr>
      <w:r>
        <w:t xml:space="preserve">Pre-mortem</w:t>
      </w:r>
    </w:p>
    <w:p>
      <w:pPr>
        <w:spacing w:after="100"/>
      </w:pPr>
      <w:r>
        <w:t xml:space="preserve">Octubre de 2028: la acción ha perdido un 30 %. El aluminio y la energía subieron en 2027 y la empresa no pudo repercutirlo a tiempo, como en 2022-2023; el margen EBIT volvió al 12 %. La cerveza siguió cayendo en Dinamarca y Finlandia, y Carlsberg, que ya tenía Pepsi en Suecia y Noruega y la ganaba en Dinamarca y Finlandia para 2029, hizo una campaña agresiva de precios antes del cambio. La dirección no explicó cómo sustituiría el 13 % de las ventas de PepsiCo y en 2028 avisó de que los costes de transición superarían los 300 M; el mercado dejó de creer en el EBIT de 2030. La señal temprana: un margen bruto del segundo semestre de 2026 por debajo del de 2025 y una guía de 2027 con el EBIT plano.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±1-2 % a 3-5 años</w:t>
      </w:r>
    </w:p>
    <w:p>
      <w:pPr>
        <w:spacing w:after="100"/>
      </w:pPr>
      <w:r>
        <w:t xml:space="preserve">El riesgo de IA es bajo y lo decimos claro: Royal Unibrew fabrica y reparte bebidas físicas con marcas locales; ningún modelo de IA sustituye el producto, la planta de llenado, el camión ni el lineal del supermercado. Donde puede notarse es a favor: previsión de demanda (muy estacional y dependiente del tiempo), producción, compras de materias primas y rutas de reparto, con ahorros pequeños que ya buscan todos los rivales. El único efecto indirecto en contra sería que el comercio electrónico y las recomendaciones automáticas favorezcan a las marcas blancas o a los grandes grupos con más datos, algo lento y marginal en bebidas. Señal: ninguna relevante.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Royal Unibrew es el envase (latas de aluminio y PET: la mayor parte de las emisiones de alcance 3 y del coste), la energía y el agua de sus 20 plantas, el consumo responsable de alcohol y azúcar (impuestos especiales, publicidad y regulación de bebidas energéticas para menores) y los sistemas de depósito y retorno de envases de los nórdicos, que la empresa usa a su favor [1]. La empresa publica un informe de sostenibilidad dentro del informe anual (CSRD) con objetivos de reducción de emisiones de alcance 1 y 2 [1].</w:t>
      </w:r>
    </w:p>
    <w:p>
      <w:pPr>
        <w:pStyle w:val="Heading2"/>
      </w:pPr>
      <w:r>
        <w:t xml:space="preserve">Controversias</w:t>
      </w:r>
    </w:p>
    <w:p>
      <w:pPr>
        <w:spacing w:after="100"/>
      </w:pPr>
      <w:r>
        <w:t xml:space="preserve">Sin controversias graves encontradas en los últimos 12 meses. Calificaciones de MSCI, Sustainalytics o CDP no comprobadas en fuente primaria: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PepsiCo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EBIT aporta hoy el negocio de PepsiCo en Dinamarca, Finlandia y bálticos, y cómo se reparten los ≈ 300 M de costes de transición entre 2028 y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principal incógnita de la valoración y la objeción a la regla a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liberada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líneas que llenan Pepsi se puede usar para marcas propias o para terceros, y con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EBIT de 2030 supera al de 2028, como guía la empresa.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Coca-Cola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presentará Royal Unibrew al concurso de Coca-Cola en Dinamarca y Finlandia cuando venza el contrato de Carlsberg a final de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Sería el alcista: sustituir una licencia de cola por otra.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aluminio, la malta y la energía de 2027 está cubierta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2022-2023 la inflación se comió 6 puntos de margen EBIT.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Cerveza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 el volumen de cerveza (con y sin alcohol) frente a refrescos y energéticas en los nórdicos?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caída estructural del consumo de alcohol.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¿Prioriza la dirección recompras o compras nuevas para compensar PepsiCo?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ROIC incremental de las compras (≈ 8 %) está cerca del coste de capital; la recompra al PER actual rinde más.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(foro de inversores, hilo de Royal Unibrew)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inversor danés la defiende como valor defensivo de consumo básico «en fase de recuperación tras el mínimo de abril», prefiere mirar la caja libre al EBITDA ajustado y espera el semestral; las respuestas dudan de cuánto pesa PepsiCo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alcistas se apoyan en la exportación y las marcas premium; las actualizaciones recortan el valor razonable tras PepsiCo y señalan el abanico de objetivos de 425 a 570 DKK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Affärsvärlden (comentario y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Habla de «crisis de la cola» para la cervecera danesa, pero mantiene la recomendación de compra porque cree tácticamente equivocado rendirse tras la caída [31, 32].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danesa (sn.dk / Ritzau)</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caída en 17 años el día del anuncio; el foco es la pérdida del 13 % de las ventas y los 300 M de costes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PepsiCo en 2029</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real: ≈ 13 % de las ventas con margen cercano al del grupo y 300 M de costes [7]; pero el EBIT de 2026-2028 no se toca y la empresa promete superar en 2030 el EBIT de 2028 [7].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defensivo barato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 a ≈ 12 veces el BPA de los próximos 12 meses frente a 16-32 veces en 2021-2025 [1, 17]; el descuento descuenta la pérdida de PepsiCo, no un deterioro del negocio actual.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y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1.000 M de recompras en 2026 y 16 DKK de dividendo: ≈ 8 % de la capitalización devuelto en un año [2, 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flojo y menos cerveza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sube (+1,6 % orgánico en el 1S26) por refrescos, energéticas y bebidas listas, no por la cerveza [2].</w:t>
            </w:r>
          </w:p>
        </w:tc>
      </w:tr>
    </w:tbl>
    <w:p>
      <w:pPr>
        <w:spacing w:after="160" w:before="0"/>
      </w:pPr>
    </w:p>
    <w:p>
      <w:pPr>
        <w:spacing w:after="100"/>
      </w:pPr>
      <w:r>
        <w:t xml:space="preserve">El inversor particular está dividido y sin euforia ni capitulación: ve la acción barata y defensiva, y teme que PepsiCo sea el principio de más pérdidas de licencias. Coincide con el consenso de analistas, mayoritariamente en mantener (10 de 15) [18]. El sentimiento no aporta un riesgo que el informe no recoja; confirma que el debate es solo PepsiCo y la capacidad de las marcas propias de sustituirla.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21 de 21 controles correctos. Fuentes: 35 (16 primarias); citas distintas en el texto: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4,6 % frente a 4,6 % real: genera una variación de circulante de 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36,6 %, asimetría de 4,87, bajista del -12,3 % y el precio descuenta 4,8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34,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auditoría del informe anual 2025; 2) informe anual 2022 (Deloitte ya era auditor); 3) informe de gobierno corporativo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riesgos financieros del informe anual 2025 (solo da vencimientos por tramos); 2) nota de deuda; 3) semestral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y tamaño en DKK del mercado nórdico y báltico de bebidas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de la empresa (no da tamaño); 2) asociaciones sectoriales (Bryggeriforeningen, Sveriges Bryggerier: solo volumen y Suecia 2024); 3) Eurostat vía Brewers Journal (solo cerveza de la UE en litros)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 y margen EBIT anual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publica cuotas); 2) datos de Yahoo (solo margen del último trimestre); 3) informes anuales de los rivales sin desglose nórdico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 y voto en contra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Acta de la junta del 29-abr-2026 (aprobación sin recuento); 2) informe anual 2025; 3) Ritzau/Inderes, anuncio de la junta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(individual)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total de la dirección); 2) informe de remuneraciones 2025 (no descargado del sitio de la empresa, que da 404); 3) prensa danesa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EBIT y BPA de 2028e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Yahoo/S&amp;P Global (solo 2026e y 2027e, sin EBITDA); 2) Stock Analysis (2027-2028 de pago); 3) MarketScreener no abre sin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(n.d.); 2) registro de la Finanstilsynet (xlsx mensual, solo ≥ 0,5 %: no figura); 3) Inderes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(informe anual con cuentas consolidadas,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Royal Unibrew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https://filings.xbrl.org/529900D69KFL8IAP8Q63/2025-12-31/ESEF/DK/0/ROYAL-2025-12-31-0-en/reports/ROYAL-2025-12-31-0-en.xhtml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Interim Report H1 2026 (Company Announcement No 43/2026)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Royal Unibrew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https://filings.xbrl.org/529900D69KFL8IAP8Q63/2026-06-30/ESEF/DK/0/ROYAL-2026-06-30-0-en/reports/ROYAL-2026-06-30-0-en.xhtml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https://filings.xbrl.org/529900D69KFL8IAP8Q63/2024-12-31/ESEF/DK/0/ROYAL-2024-12-31-0-en/reports/ROYAL-2024-12-31-0-en.xhtml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 (ESEF; nota 24, compra de Vrumona)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https://filings.xbrl.org/529900D69KFL8IAP8Q63/2023-12-31/ESEF/DK/0/ROYAL-2023-12-31-en/reports/ROYAL-2023-12-31-en.xhtml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(ESEF; informe del auditor Deloitte, cuentas de 2021 comparadas)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https://filings.xbrl.org/529900D69KFL8IAP8Q63/2022-12-31/ESEF/DK/0/ROYAL-2022-12-31/reports/ROYAL-2022-12-31.xhtml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Trading Statement (Company Announcement No 18/2026)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A/S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https://www.globenewswire.com/news-release/2026/04/21/3277649/0/en/Q1-2026-trading-statement.html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and PepsiCo to end the partnership in Northern Europe upon expiry of current license agreements (Company Announcement No 17/2026)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A/S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https://www.inderes.dk/en/releases/royal-unibrew-and-pepsico-to-end-the-partnership-in-northern-europe-upon-expiry-of-current-license-agreements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program (Company Announcement No 54/2026): 2.180.245 acciones propias de 49.300.000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A/S (Ritzau)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https://via.ritzau.dk/files/90446/15232393/578436/en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Carlsberg expands strategic partnership with PepsiCo to the Nordics and Baltics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Carlsberg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https://www.carlsberggroup.com/newsroom/carlsberg-expands-strategic-partnership-with-pepsico-to-the-nordics-and-baltics/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Latest EU beer production figures revealed (Eurostat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Brewers Journal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https://www.brewersjournal.info/?p=29674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Rekordstort intresse för hälsosammare drycker (ventas de 2024, Delfi Marknadspartner)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Sveriges Bryggerier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https://www.mynewsdesk.com/se/sverigesbryggerier/pressreleases/rekordstort-intresse-foer-haelsosammare-drycker-3365627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LME aluminium offer price rises to $3,134.5/t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AlCircle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https://www.alcircle.com/news/lme-aluminium-offer-price-rises-to-3-134-5-t-as-stocks-remain-unchanged-at-240-375t-121456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No 21/2026: transacciones de directivos (Peter Ruzicka, 2.000 acciones a 408,80 DKK)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A/S (Börskollen)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https://www.borskollen.se/pressmeddelanden/transactions-by-persons-discharging-managerial-responsibilities-and-or-persons-closely-associated-3281639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No 19/2026: transacciones de directivos (Lars Vestergaard)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A/S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https://www.inderes.dk/en/releases/transactions-by-persons-discharging-managerial-responsibilities-andor-persons-closely-associated-51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No 45/2026: transacciones de directivos (Peter Ruzicka por Ventotene Holding)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A/S (Inderes)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https://www.inderes.dk/en/releases/transactions-by-persons-discharging-managerial-responsibilities-andor-persons-closely-associated-52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insynshandel (tabla de operaciones de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Affärsvärlden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https://www.affarsvarlden.se/aktie/royal-unibrew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RBREW.CO, ^OMXC25 y EXH3.DE (bolsa.mjs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https://finance.yahoo.com/quote/RBREW.CO/history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estimaciones (earningsTrend), objetivo medio y tendencia de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https://finance.yahoo.com/quote/RBREW.CO/analysis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BNP Paribas Downgrades Royal Unibrew to Neutral, Cuts PT (y rebajas de Deutsche Bank, Goldman Sachs, Nordea, Citi y Morgan Stanley)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 MT Newswires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https://www.placera.se/telegram/royal-unibrew-bnp-paribas-downgrades-royal-unibrew-to-neutral-cuts-pt-20260422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(CPH:RBREW) Statistics y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https://stockanalysis.com/quote/cph/RBREW/statistics/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la deuda federal alemana a 10 años, diario: 3,47 % 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del 21-oct-2026 (DKK 7,4746; USD 1,1234; GBP 0,83825; JPY 177,36)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por sector, Europa (Beverage alcoholic / soft)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https://pages.stern.nyu.edu/~adamodar/New_Home_Page/datacurrent.html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Recommended offer to acquire Britvic plc (anuncio de Carlsberg, 8-jul-2024)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Carlsberg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https://www.carlsberggroup.com/media/ch3jhoji/33_08072024_recommended-offer-to-acquire-britvic-plc.pdf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FIFCO announces the sale of its beverage, food and retail business to HEINEKEN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FIFCO / Heineken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https://www.fifco.com/wp-content/uploads/2025/09/FIFCO-announces-the-sale-of-its-beverage-food-and-retail-business-to-HEINEKEN.pdf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resultados del primer semestre frente a las previsiones (BPA −3,6 %; objetivo medio 490 DKK)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https://www.webull.ca/news-detail/15433180209783808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quoteSummary de CARL-B.CO, HEIA.AS, ABI.BR, CCEP, OLVAS.HE, TAP y 2502.T (precio, capitalización, deuda, caja, EBITDA, ventas y estimaciones de 2026-2027)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https://finance.yahoo.com/quote/CARL-B.CO/key-statistics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hilo del foro (DK0060634707)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https://app.getquin.com/en/stock/DK0060634707/royal-unibrew/forum-discussion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narrativas de la comunidad y actualizaciones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https://simplywall.st/community/narratives/dk/food-beverage-tobacco/cph-rbrew/royal-unibrew-shares/wo47dnga-international-expansion-and-premium-segments-will-drive-future-success-5bnx/updates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 cola-kris för danska bryggeriet (comentario)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Affärsvärlden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https://www.affarsvarlden.se/kommentar/royal-unibrew-cola-kris-for-danska-bryggeriet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Affärsvärlden behåller köprådet för Royal Unibrew efter oväntad dansk smäll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https://borsvarlden.com/artiklar/affarsvarlden-behaller-kopradet-for-royal-unibrew-efter-ovantad-dansk-small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Royal Unibrew-aktie på vej mod største fald i 17 år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sn.dk (Ritzau)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https://www.sn.dk/art6553339/koebenhavn-kommune/erhverv/royal-unibrew-aktie-paa-vej-mod-stoerste-fald-i-17-aar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análisis value del 14-oct-2026 (mismo sector; referencia de comparables, costes de materias primas y consumo de cerveza)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(informes/heineken-2026-10-14)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informes/heineken-2026-10-14/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 precio de RBREW.CO (herramientas/movimiento.mjs): variaciones, distancias a máximos y mayores caídas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notas/movimiento.txt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86,9 %</w:t>
      </w:r>
      <w:r>
        <w:t xml:space="preserve"> · Secciones con menos del 60 % de campos cubiertos: </w:t>
      </w:r>
      <w:r>
        <w:rPr>
          <w:b/>
          <w:bCs/>
        </w:rPr>
        <w:t xml:space="preserve">gobierno</w:t>
      </w:r>
      <w:r>
        <w:t xml:space="preserve"> · Generado el 21 oct 2026.</w:t>
      </w:r>
    </w:p>
    <w:p>
      <w:pPr>
        <w:pStyle w:val="Nota"/>
        <w:spacing w:after="100"/>
      </w:pPr>
      <w:r>
        <w:t xml:space="preserve">Cifras en millones de DKK, ejercicio a 31 de diciembre. El último ejercicio cerrado es 2025 (informe anual ESEF auditado por Deloitte) y el último periodo publicado es el primer semestre de 2026 (17-ago-2026); el tercer trimestre se publica el 11-nov-2026. Los 12 meses (LTM) van de julio de 2025 a junio de 2026. Precio: cierre del 21-oct-2026 (441,2 DKK; la bolsa de Copenhague cerró a las 17:00 CEST). El BPA de la regla a 12 meses es el diluido sin las plusvalías extraordinarias que la propia empresa ajusta (Hansa Borg en 2022 y las cerveceras polacas en 2024). El ejercicio objetivo de la regla (2028e) es el ÚLTIMO año con las licencias de PepsiCo en Dinamarca, Finlandia y los bálticos (≈ 13 % de las ventas): la caída de 2029 queda fuera del BPA de la regla, pero dentro del DCF y de los escenarios. La empresa no publica cuotas de mercado, ni el EBIT exacto del negocio de PepsiCo, ni la remuneración individual del consejero delegado. No hay ficha sectorial de bebidas en el repositorio (este hilo no puede escribir fuera de su carpeta): el perímetro del sector y los comparables están en las notas B y D. Precio de una acción en EUR: ≈ 59 EUR (7,4746 DKK por EUR, 21-oct [22]).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Royal Unibrew A/S (RBREW)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441,20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(394,00 – 653,50)</c:v>
                </c:pt>
                <c:pt idx="1">
                  <c:v>Precio objetivo de los analistas (420,00 – 570,00)</c:v>
                </c:pt>
                <c:pt idx="2">
                  <c:v>Comparables: PER NTM (375,06 – 578,30)</c:v>
                </c:pt>
                <c:pt idx="3">
                  <c:v>Transacciones precedentes (EV/EBITDA) (611,06 – 675,25)</c:v>
                </c:pt>
                <c:pt idx="4">
                  <c:v>DCF (WACC y g ± 0,5) (512,94 – 787,64)</c:v>
                </c:pt>
                <c:pt idx="5">
                  <c:v>Escenarios (bajista – alcista) (386,83 – 705,37)</c:v>
                </c:pt>
                <c:pt idx="6">
                  <c:v>DCF con la prima implícita del mercado (4,2 %)</c:v>
                </c:pt>
                <c:pt idx="7">
                  <c:v>Precio actual (441,20)</c:v>
                </c:pt>
              </c:strCache>
            </c:strRef>
          </c:cat>
          <c:val>
            <c:numRef>
              <c:f>Hoja1!$B$2:$B$9</c:f>
              <c:numCache>
                <c:formatCode>#,##0</c:formatCode>
                <c:ptCount val="8"/>
                <c:pt idx="0">
                  <c:v>394</c:v>
                </c:pt>
                <c:pt idx="1">
                  <c:v>420</c:v>
                </c:pt>
                <c:pt idx="2">
                  <c:v>375.06</c:v>
                </c:pt>
                <c:pt idx="3">
                  <c:v>611.06</c:v>
                </c:pt>
                <c:pt idx="4">
                  <c:v>512.94</c:v>
                </c:pt>
                <c:pt idx="5">
                  <c:v>386.83</c:v>
                </c:pt>
                <c:pt idx="6">
                  <c:v>670.29</c:v>
                </c:pt>
                <c:pt idx="7">
                  <c:v>438.99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(394,00 – 653,50)</c:v>
                </c:pt>
                <c:pt idx="1">
                  <c:v>Precio objetivo de los analistas (420,00 – 570,00)</c:v>
                </c:pt>
                <c:pt idx="2">
                  <c:v>Comparables: PER NTM (375,06 – 578,30)</c:v>
                </c:pt>
                <c:pt idx="3">
                  <c:v>Transacciones precedentes (EV/EBITDA) (611,06 – 675,25)</c:v>
                </c:pt>
                <c:pt idx="4">
                  <c:v>DCF (WACC y g ± 0,5) (512,94 – 787,64)</c:v>
                </c:pt>
                <c:pt idx="5">
                  <c:v>Escenarios (bajista – alcista) (386,83 – 705,37)</c:v>
                </c:pt>
                <c:pt idx="6">
                  <c:v>DCF con la prima implícita del mercado (4,2 %)</c:v>
                </c:pt>
                <c:pt idx="7">
                  <c:v>Precio actual (441,20)</c:v>
                </c:pt>
              </c:strCache>
            </c:strRef>
          </c:cat>
          <c:val>
            <c:numRef>
              <c:f>Hoja1!$C$2:$C$9</c:f>
              <c:numCache>
                <c:formatCode>#,##0</c:formatCode>
                <c:ptCount val="8"/>
                <c:pt idx="0">
                  <c:v>259.5</c:v>
                </c:pt>
                <c:pt idx="1">
                  <c:v>150</c:v>
                </c:pt>
                <c:pt idx="2">
                  <c:v>203.23999999999995</c:v>
                </c:pt>
                <c:pt idx="3">
                  <c:v>64.19000000000005</c:v>
                </c:pt>
                <c:pt idx="4">
                  <c:v>274.69999999999993</c:v>
                </c:pt>
                <c:pt idx="5">
                  <c:v>318.54</c:v>
                </c:pt>
                <c:pt idx="6">
                  <c:v>215.31000000000006</c:v>
                </c:pt>
                <c:pt idx="7">
                  <c:v>4.420000000000016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(DKK, millones)</a:t>
            </a:r>
          </a:p>
        </c:rich>
      </c:tx>
      <c:overlay val="0"/>
    </c:title>
    <c:autoTitleDeleted val="0"/>
    <c:plotArea>
      <c:layout/>
      <c:barChart>
        <c:barDir val="col"/>
        <c:grouping val="stacked"/>
        <c:varyColors val="0"/>
        <c:ser>
          <c:idx val="0"/>
          <c:order val="0"/>
          <c:tx>
            <c:strRef>
              <c:f>Hoja1!$B$1</c:f>
              <c:strCache>
                <c:ptCount val="1"/>
                <c:pt idx="0">
                  <c:v>Northern Europe</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10023</c:v>
                </c:pt>
                <c:pt idx="1">
                  <c:v>10274</c:v>
                </c:pt>
                <c:pt idx="2">
                  <c:v>10440</c:v>
                </c:pt>
              </c:numCache>
            </c:numRef>
          </c:val>
        </c:ser>
        <c:ser>
          <c:idx val="1"/>
          <c:order val="1"/>
          <c:tx>
            <c:strRef>
              <c:f>Hoja1!$C$1</c:f>
              <c:strCache>
                <c:ptCount val="1"/>
                <c:pt idx="0">
                  <c:v>Western Europe</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1738</c:v>
                </c:pt>
                <c:pt idx="1">
                  <c:v>3316</c:v>
                </c:pt>
                <c:pt idx="2">
                  <c:v>3741</c:v>
                </c:pt>
              </c:numCache>
            </c:numRef>
          </c:val>
        </c:ser>
        <c:ser>
          <c:idx val="2"/>
          <c:order val="2"/>
          <c:tx>
            <c:strRef>
              <c:f>Hoja1!$D$1</c:f>
              <c:strCache>
                <c:ptCount val="1"/>
                <c:pt idx="0">
                  <c:v>International</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1166</c:v>
                </c:pt>
                <c:pt idx="1">
                  <c:v>1446</c:v>
                </c:pt>
                <c:pt idx="2">
                  <c:v>1542</c:v>
                </c:pt>
              </c:numCache>
            </c:numRef>
          </c:val>
        </c:ser>
        <c:ser>
          <c:idx val="3"/>
          <c:order val="3"/>
          <c:tx>
            <c:strRef>
              <c:f>Hoja1!$E$1</c:f>
              <c:strCache>
                <c:ptCount val="1"/>
                <c:pt idx="0">
                  <c:v>No asignado</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Northern Europe</c:v>
                </c:pt>
                <c:pt idx="1">
                  <c:v>Western Europe</c:v>
                </c:pt>
                <c:pt idx="2">
                  <c:v>International</c:v>
                </c:pt>
                <c:pt idx="3">
                  <c:v>No asignado</c:v>
                </c:pt>
              </c:strCache>
            </c:strRef>
          </c:cat>
          <c:val>
            <c:numRef>
              <c:f>Hoja1!$B$2:$B$5</c:f>
              <c:numCache>
                <c:formatCode>General</c:formatCode>
                <c:ptCount val="4"/>
                <c:pt idx="0">
                  <c:v>66.4</c:v>
                </c:pt>
                <c:pt idx="1">
                  <c:v>23.8</c:v>
                </c:pt>
                <c:pt idx="2">
                  <c:v>9.8</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Dinamarca</c:v>
                </c:pt>
                <c:pt idx="1">
                  <c:v>Finlandia</c:v>
                </c:pt>
                <c:pt idx="2">
                  <c:v>Noruega</c:v>
                </c:pt>
                <c:pt idx="3">
                  <c:v>Países Bajos</c:v>
                </c:pt>
                <c:pt idx="4">
                  <c:v>Otros</c:v>
                </c:pt>
              </c:strCache>
            </c:strRef>
          </c:cat>
          <c:val>
            <c:numRef>
              <c:f>Hoja1!$B$2:$B$6</c:f>
              <c:numCache>
                <c:formatCode>0"%"</c:formatCode>
                <c:ptCount val="5"/>
                <c:pt idx="0">
                  <c:v>26.4</c:v>
                </c:pt>
                <c:pt idx="1">
                  <c:v>20.9</c:v>
                </c:pt>
                <c:pt idx="2">
                  <c:v>10.6</c:v>
                </c:pt>
                <c:pt idx="3">
                  <c:v>9.8</c:v>
                </c:pt>
                <c:pt idx="4">
                  <c:v>32.3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Royal Unibrew</c:v>
                </c:pt>
                <c:pt idx="1">
                  <c:v>Carlsberg</c:v>
                </c:pt>
                <c:pt idx="2">
                  <c:v>Heineken</c:v>
                </c:pt>
                <c:pt idx="3">
                  <c:v>Coca-Cola Europacific Partners</c:v>
                </c:pt>
                <c:pt idx="4">
                  <c:v>Olvi</c:v>
                </c:pt>
                <c:pt idx="5">
                  <c:v>Harboes Bryggeri</c:v>
                </c:pt>
                <c:pt idx="6">
                  <c:v>Spendrups</c:v>
                </c:pt>
              </c:strCache>
            </c:strRef>
          </c:cat>
          <c:val>
            <c:numRef>
              <c:f>Hoja1!$B$2:$B$8</c:f>
              <c:numCache>
                <c:formatCode>0.0"%"</c:formatCode>
                <c:ptCount val="7"/>
                <c:pt idx="0">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(DKK,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8746</c:v>
                </c:pt>
                <c:pt idx="1">
                  <c:v>11487</c:v>
                </c:pt>
                <c:pt idx="2">
                  <c:v>12927</c:v>
                </c:pt>
                <c:pt idx="3">
                  <c:v>15036</c:v>
                </c:pt>
                <c:pt idx="4">
                  <c:v>15723</c:v>
                </c:pt>
                <c:pt idx="5">
                  <c:v>15817</c:v>
                </c:pt>
                <c:pt idx="6">
                  <c:v>16371</c:v>
                </c:pt>
                <c:pt idx="7">
                  <c:v>16944</c:v>
                </c:pt>
                <c:pt idx="8">
                  <c:v>15419</c:v>
                </c:pt>
                <c:pt idx="9">
                  <c:v>16036</c:v>
                </c:pt>
                <c:pt idx="10">
                  <c:v>16597</c:v>
                </c:pt>
                <c:pt idx="11">
                  <c:v>17095</c:v>
                </c:pt>
                <c:pt idx="12">
                  <c:v>17522</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2020</c:v>
                </c:pt>
                <c:pt idx="1">
                  <c:v>1997</c:v>
                </c:pt>
                <c:pt idx="2">
                  <c:v>2208</c:v>
                </c:pt>
                <c:pt idx="3">
                  <c:v>2634</c:v>
                </c:pt>
                <c:pt idx="4">
                  <c:v>2931</c:v>
                </c:pt>
                <c:pt idx="5">
                  <c:v>3148</c:v>
                </c:pt>
                <c:pt idx="6">
                  <c:v>3340</c:v>
                </c:pt>
                <c:pt idx="7">
                  <c:v>3524</c:v>
                </c:pt>
                <c:pt idx="8">
                  <c:v>2868</c:v>
                </c:pt>
                <c:pt idx="9">
                  <c:v>3400</c:v>
                </c:pt>
                <c:pt idx="10">
                  <c:v>3535</c:v>
                </c:pt>
                <c:pt idx="11">
                  <c:v>3658</c:v>
                </c:pt>
                <c:pt idx="12">
                  <c:v>3750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48.7</c:v>
                </c:pt>
                <c:pt idx="1">
                  <c:v>42.4</c:v>
                </c:pt>
                <c:pt idx="2">
                  <c:v>41.7</c:v>
                </c:pt>
                <c:pt idx="3">
                  <c:v>42.5</c:v>
                </c:pt>
                <c:pt idx="4">
                  <c:v>43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23.1</c:v>
                </c:pt>
                <c:pt idx="1">
                  <c:v>17.4</c:v>
                </c:pt>
                <c:pt idx="2">
                  <c:v>17.1</c:v>
                </c:pt>
                <c:pt idx="3">
                  <c:v>17.5</c:v>
                </c:pt>
                <c:pt idx="4">
                  <c:v>18.6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18.9</c:v>
                </c:pt>
                <c:pt idx="1">
                  <c:v>13.2</c:v>
                </c:pt>
                <c:pt idx="2">
                  <c:v>12.7</c:v>
                </c:pt>
                <c:pt idx="3">
                  <c:v>13.1</c:v>
                </c:pt>
                <c:pt idx="4">
                  <c:v>14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14.9</c:v>
                </c:pt>
                <c:pt idx="1">
                  <c:v>13</c:v>
                </c:pt>
                <c:pt idx="2">
                  <c:v>8.5</c:v>
                </c:pt>
                <c:pt idx="3">
                  <c:v>9.7</c:v>
                </c:pt>
                <c:pt idx="4">
                  <c:v>9.9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22.4</c:v>
                </c:pt>
                <c:pt idx="1">
                  <c:v>3.8</c:v>
                </c:pt>
                <c:pt idx="2">
                  <c:v>0.2</c:v>
                </c:pt>
                <c:pt idx="3">
                  <c:v>6.2</c:v>
                </c:pt>
                <c:pt idx="4">
                  <c:v>5.3</c:v>
                </c:pt>
                <c:pt idx="5">
                  <c:v>5.7</c:v>
                </c:pt>
                <c:pt idx="6">
                  <c:v>3.3</c:v>
                </c:pt>
                <c:pt idx="7">
                  <c:v>-0.3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8</c:v>
                </c:pt>
                <c:pt idx="1">
                  <c:v>3</c:v>
                </c:pt>
                <c:pt idx="2">
                  <c:v>0</c:v>
                </c:pt>
                <c:pt idx="3">
                  <c:v>4.7</c:v>
                </c:pt>
                <c:pt idx="4">
                  <c:v>4</c:v>
                </c:pt>
                <c:pt idx="5">
                  <c:v>4</c:v>
                </c:pt>
                <c:pt idx="6">
                  <c:v>2.1</c:v>
                </c:pt>
                <c:pt idx="7">
                  <c:v>-0.3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50</c:v>
                </c:pt>
                <c:pt idx="1">
                  <c:v>48</c:v>
                </c:pt>
                <c:pt idx="2">
                  <c:v>54</c:v>
                </c:pt>
                <c:pt idx="3">
                  <c:v>47</c:v>
                </c:pt>
                <c:pt idx="4">
                  <c:v>45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63</c:v>
                </c:pt>
                <c:pt idx="1">
                  <c:v>67</c:v>
                </c:pt>
                <c:pt idx="2">
                  <c:v>68</c:v>
                </c:pt>
                <c:pt idx="3">
                  <c:v>57</c:v>
                </c:pt>
                <c:pt idx="4">
                  <c:v>52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140</c:v>
                </c:pt>
                <c:pt idx="1">
                  <c:v>107</c:v>
                </c:pt>
                <c:pt idx="2">
                  <c:v>117</c:v>
                </c:pt>
                <c:pt idx="3">
                  <c:v>107</c:v>
                </c:pt>
                <c:pt idx="4">
                  <c:v>101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(DKK,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1259</c:v>
                </c:pt>
                <c:pt idx="1">
                  <c:v>517</c:v>
                </c:pt>
                <c:pt idx="2">
                  <c:v>1037</c:v>
                </c:pt>
                <c:pt idx="3">
                  <c:v>1204</c:v>
                </c:pt>
                <c:pt idx="4">
                  <c:v>1367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1299</c:v>
                </c:pt>
                <c:pt idx="1">
                  <c:v>1492</c:v>
                </c:pt>
                <c:pt idx="2">
                  <c:v>1095</c:v>
                </c:pt>
                <c:pt idx="3">
                  <c:v>1464</c:v>
                </c:pt>
                <c:pt idx="4">
                  <c:v>1560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18.9</c:v>
                </c:pt>
                <c:pt idx="1">
                  <c:v>15.4</c:v>
                </c:pt>
                <c:pt idx="2">
                  <c:v>11.7</c:v>
                </c:pt>
                <c:pt idx="3">
                  <c:v>12.7</c:v>
                </c:pt>
                <c:pt idx="4">
                  <c:v>14.2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7.1</c:v>
                </c:pt>
                <c:pt idx="1">
                  <c:v>7.1</c:v>
                </c:pt>
                <c:pt idx="2">
                  <c:v>7.1</c:v>
                </c:pt>
                <c:pt idx="3">
                  <c:v>7.1</c:v>
                </c:pt>
                <c:pt idx="4">
                  <c:v>7.1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39</c:v>
                </c:pt>
                <c:pt idx="1">
                  <c:v>35.2</c:v>
                </c:pt>
                <c:pt idx="2">
                  <c:v>20.1</c:v>
                </c:pt>
                <c:pt idx="3">
                  <c:v>24.1</c:v>
                </c:pt>
                <c:pt idx="4">
                  <c:v>23.8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1.75</c:v>
                </c:pt>
                <c:pt idx="1">
                  <c:v>2.23</c:v>
                </c:pt>
                <c:pt idx="2">
                  <c:v>2.91</c:v>
                </c:pt>
                <c:pt idx="3">
                  <c:v>2.16</c:v>
                </c:pt>
                <c:pt idx="4">
                  <c:v>1.95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(DKK,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2027-2030</c:v>
                </c:pt>
                <c:pt idx="2">
                  <c:v>2031+</c:v>
                </c:pt>
              </c:strCache>
            </c:strRef>
          </c:cat>
          <c:val>
            <c:numRef>
              <c:f>Hoja1!$B$2:$B$4</c:f>
              <c:numCache>
                <c:formatCode>#,##0</c:formatCode>
                <c:ptCount val="3"/>
                <c:pt idx="0">
                  <c:v>408</c:v>
                </c:pt>
                <c:pt idx="1">
                  <c:v>4659</c:v>
                </c:pt>
                <c:pt idx="2">
                  <c:v>1138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(DKK,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1218</c:v>
                </c:pt>
                <c:pt idx="1">
                  <c:v>275</c:v>
                </c:pt>
                <c:pt idx="2">
                  <c:v>2419</c:v>
                </c:pt>
                <c:pt idx="3">
                  <c:v>80</c:v>
                </c:pt>
                <c:pt idx="4">
                  <c:v>167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653</c:v>
                </c:pt>
                <c:pt idx="1">
                  <c:v>692</c:v>
                </c:pt>
                <c:pt idx="2">
                  <c:v>720</c:v>
                </c:pt>
                <c:pt idx="3">
                  <c:v>726</c:v>
                </c:pt>
                <c:pt idx="4">
                  <c:v>749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582</c:v>
                </c:pt>
                <c:pt idx="1">
                  <c:v>300</c:v>
                </c:pt>
                <c:pt idx="2">
                  <c:v>0</c:v>
                </c:pt>
                <c:pt idx="3">
                  <c:v>0</c:v>
                </c:pt>
                <c:pt idx="4">
                  <c:v>550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Otro externo</c:v>
                </c:pt>
              </c:strCache>
            </c:strRef>
          </c:cat>
          <c:val>
            <c:numRef>
              <c:f>Hoja1!$B$2:$B$3</c:f>
              <c:numCache>
                <c:formatCode>0</c:formatCode>
                <c:ptCount val="2"/>
                <c:pt idx="0">
                  <c:v>5</c:v>
                </c:pt>
                <c:pt idx="1">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Chr. Augustinus Fabrikker A/S</c:v>
                </c:pt>
                <c:pt idx="1">
                  <c:v>Wellington Management Group LLP</c:v>
                </c:pt>
                <c:pt idx="2">
                  <c:v>Autocartera</c:v>
                </c:pt>
              </c:strCache>
            </c:strRef>
          </c:cat>
          <c:val>
            <c:numRef>
              <c:f>Hoja1!$B$2:$B$4</c:f>
              <c:numCache>
                <c:formatCode>0.0"%"</c:formatCode>
                <c:ptCount val="3"/>
                <c:pt idx="0">
                  <c:v>14.94</c:v>
                </c:pt>
                <c:pt idx="1">
                  <c:v>5.07</c:v>
                </c:pt>
                <c:pt idx="2">
                  <c:v>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-2.7</c:v>
                </c:pt>
                <c:pt idx="1">
                  <c:v>36.4</c:v>
                </c:pt>
                <c:pt idx="2">
                  <c:v>20.8</c:v>
                </c:pt>
                <c:pt idx="3">
                  <c:v>35.9</c:v>
                </c:pt>
                <c:pt idx="4">
                  <c:v>15.8</c:v>
                </c:pt>
                <c:pt idx="5">
                  <c:v>4.3</c:v>
                </c:pt>
                <c:pt idx="6">
                  <c:v>-32.8</c:v>
                </c:pt>
                <c:pt idx="7">
                  <c:v>-8.9</c:v>
                </c:pt>
                <c:pt idx="8">
                  <c:v>12.1</c:v>
                </c:pt>
                <c:pt idx="9">
                  <c:v>13.6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12.8</c:v>
                </c:pt>
                <c:pt idx="2">
                  <c:v>-13.2</c:v>
                </c:pt>
                <c:pt idx="3">
                  <c:v>26</c:v>
                </c:pt>
                <c:pt idx="4">
                  <c:v>33.7</c:v>
                </c:pt>
                <c:pt idx="5">
                  <c:v>17.2</c:v>
                </c:pt>
                <c:pt idx="6">
                  <c:v>-13.5</c:v>
                </c:pt>
                <c:pt idx="7">
                  <c:v>7.1</c:v>
                </c:pt>
                <c:pt idx="8">
                  <c:v>-2.4</c:v>
                </c:pt>
                <c:pt idx="9">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19.6</c:v>
                </c:pt>
                <c:pt idx="1">
                  <c:v>14.4</c:v>
                </c:pt>
                <c:pt idx="2">
                  <c:v>13.1</c:v>
                </c:pt>
                <c:pt idx="3">
                  <c:v>11.8</c:v>
                </c:pt>
                <c:pt idx="4">
                  <c:v>11.7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13.1</c:v>
                </c:pt>
                <c:pt idx="1">
                  <c:v>13.1</c:v>
                </c:pt>
                <c:pt idx="2">
                  <c:v>13.1</c:v>
                </c:pt>
                <c:pt idx="3">
                  <c:v>13.1</c:v>
                </c:pt>
                <c:pt idx="4">
                  <c:v>13.1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Vrumona (refrescos, Países Bajos)</c:v>
                </c:pt>
                <c:pt idx="1">
                  <c:v>Britvic (refrescos, Reino Unido)</c:v>
                </c:pt>
                <c:pt idx="2">
                  <c:v>FIFCO (bebidas y distribución, Centroamérica)</c:v>
                </c:pt>
              </c:strCache>
            </c:strRef>
          </c:cat>
          <c:val>
            <c:numRef>
              <c:f>Hoja1!$B$2:$B$4</c:f>
              <c:numCache>
                <c:formatCode>0.0"x"</c:formatCode>
                <c:ptCount val="3"/>
                <c:pt idx="0">
                  <c:v>12</c:v>
                </c:pt>
                <c:pt idx="1">
                  <c:v>13.6</c:v>
                </c:pt>
                <c:pt idx="2">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(DKK,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1513</c:v>
                </c:pt>
                <c:pt idx="1">
                  <c:v>1614</c:v>
                </c:pt>
                <c:pt idx="2">
                  <c:v>1808</c:v>
                </c:pt>
                <c:pt idx="3">
                  <c:v>1629</c:v>
                </c:pt>
                <c:pt idx="4">
                  <c:v>1918</c:v>
                </c:pt>
                <c:pt idx="5">
                  <c:v>2001</c:v>
                </c:pt>
                <c:pt idx="6">
                  <c:v>2078</c:v>
                </c:pt>
                <c:pt idx="7">
                  <c:v>2134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(DKK,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10479</c:v>
                </c:pt>
                <c:pt idx="1">
                  <c:v>25988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(DKK) · precio actual 441,20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386.83</c:v>
                </c:pt>
                <c:pt idx="1">
                  <c:v>623.63</c:v>
                </c:pt>
                <c:pt idx="2">
                  <c:v>705.37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441,20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(394,00 – 653,50)</c:v>
                </c:pt>
                <c:pt idx="1">
                  <c:v>Precio objetivo de los analistas (420,00 – 570,00)</c:v>
                </c:pt>
                <c:pt idx="2">
                  <c:v>Comparables: PER NTM (375,06 – 578,30)</c:v>
                </c:pt>
                <c:pt idx="3">
                  <c:v>Transacciones precedentes (EV/EBITDA) (611,06 – 675,25)</c:v>
                </c:pt>
                <c:pt idx="4">
                  <c:v>DCF (WACC y g ± 0,5) (512,94 – 787,64)</c:v>
                </c:pt>
                <c:pt idx="5">
                  <c:v>Escenarios (bajista – alcista) (386,83 – 705,37)</c:v>
                </c:pt>
                <c:pt idx="6">
                  <c:v>DCF con la prima implícita del mercado (4,2 %)</c:v>
                </c:pt>
                <c:pt idx="7">
                  <c:v>Precio actual (441,20)</c:v>
                </c:pt>
              </c:strCache>
            </c:strRef>
          </c:cat>
          <c:val>
            <c:numRef>
              <c:f>Hoja1!$B$2:$B$9</c:f>
              <c:numCache>
                <c:formatCode>#,##0</c:formatCode>
                <c:ptCount val="8"/>
                <c:pt idx="0">
                  <c:v>394</c:v>
                </c:pt>
                <c:pt idx="1">
                  <c:v>420</c:v>
                </c:pt>
                <c:pt idx="2">
                  <c:v>375.06</c:v>
                </c:pt>
                <c:pt idx="3">
                  <c:v>611.06</c:v>
                </c:pt>
                <c:pt idx="4">
                  <c:v>512.94</c:v>
                </c:pt>
                <c:pt idx="5">
                  <c:v>386.83</c:v>
                </c:pt>
                <c:pt idx="6">
                  <c:v>670.29</c:v>
                </c:pt>
                <c:pt idx="7">
                  <c:v>438.99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(394,00 – 653,50)</c:v>
                </c:pt>
                <c:pt idx="1">
                  <c:v>Precio objetivo de los analistas (420,00 – 570,00)</c:v>
                </c:pt>
                <c:pt idx="2">
                  <c:v>Comparables: PER NTM (375,06 – 578,30)</c:v>
                </c:pt>
                <c:pt idx="3">
                  <c:v>Transacciones precedentes (EV/EBITDA) (611,06 – 675,25)</c:v>
                </c:pt>
                <c:pt idx="4">
                  <c:v>DCF (WACC y g ± 0,5) (512,94 – 787,64)</c:v>
                </c:pt>
                <c:pt idx="5">
                  <c:v>Escenarios (bajista – alcista) (386,83 – 705,37)</c:v>
                </c:pt>
                <c:pt idx="6">
                  <c:v>DCF con la prima implícita del mercado (4,2 %)</c:v>
                </c:pt>
                <c:pt idx="7">
                  <c:v>Precio actual (441,20)</c:v>
                </c:pt>
              </c:strCache>
            </c:strRef>
          </c:cat>
          <c:val>
            <c:numRef>
              <c:f>Hoja1!$C$2:$C$9</c:f>
              <c:numCache>
                <c:formatCode>#,##0</c:formatCode>
                <c:ptCount val="8"/>
                <c:pt idx="0">
                  <c:v>259.5</c:v>
                </c:pt>
                <c:pt idx="1">
                  <c:v>150</c:v>
                </c:pt>
                <c:pt idx="2">
                  <c:v>203.23999999999995</c:v>
                </c:pt>
                <c:pt idx="3">
                  <c:v>64.19000000000005</c:v>
                </c:pt>
                <c:pt idx="4">
                  <c:v>274.69999999999993</c:v>
                </c:pt>
                <c:pt idx="5">
                  <c:v>318.54</c:v>
                </c:pt>
                <c:pt idx="6">
                  <c:v>215.31000000000006</c:v>
                </c:pt>
                <c:pt idx="7">
                  <c:v>4.420000000000016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