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Banco Santander, S.A.</w:t>
      </w:r>
    </w:p>
    <w:p>
      <w:pPr>
        <w:spacing w:after="60"/>
        <w:rPr>
          <w:color w:val="52514E"/>
          <w:sz w:val="22"/>
          <w:szCs w:val="22"/>
        </w:rPr>
      </w:pPr>
      <w:r>
        <w:rPr>
          <w:color w:val="52514E"/>
          <w:sz w:val="22"/>
          <w:szCs w:val="22"/>
        </w:rPr>
        <w:t xml:space="preserve">SAN.MC · Bolsa de Madrid (mercado continuo); ADS en la NYSE · ISIN ES0113900J37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30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10,51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-6,1 % (base +2,2 %)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9,82 EUR · mercado 9,82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151.436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Banco Santander,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SAN.MC / ES0113900J37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ADS en la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Banks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Santander (España) · 1857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https://www.santander.com/es/accionistas-e-inversores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 (29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8,63 – 13,12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151.436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151.436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269 M €/día (21,9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9,63 EUR</w:t>
      </w:r>
      <w:r>
        <w:t xml:space="preserve"> frente a 10,51 · Rentabilidad a 12 meses </w:t>
      </w:r>
      <w:r>
        <w:rPr>
          <w:b/>
          <w:bCs/>
        </w:rPr>
        <w:t xml:space="preserve">-6,1 % (base +2,2 %)</w:t>
      </w:r>
      <w:r>
        <w:t xml:space="preserve"> · Valor intrínseco 9,82 EUR · con la prima implícita del mercado: 9,82 (-6,6 %) · Alcista / bajista +29,7 % / -37,3 %</w:t>
      </w:r>
    </w:p>
    <w:p>
      <w:pPr>
        <w:spacing w:after="100"/>
      </w:pPr>
      <w:r>
        <w:rPr>
          <w:b/>
        </w:rPr>
        <w:t xml:space="preserve">La recomendación y por qué.</w:t>
      </w:r>
      <w:r>
        <w:t xml:space="preserve"> No comprar; para quien la tenga, «no mantener» según el filtro del método (solo se cumpliría por debajo de 8,97 €), con convicción baja porque </w:t>
      </w:r>
      <w:r>
        <w:rPr>
          <w:b/>
        </w:rPr>
        <w:t xml:space="preserve">la regla a 12 meses no da una señal fiable</w:t>
      </w:r>
      <w:r>
        <w:t xml:space="preserve"> en este caso. Es la misma conclusión que el 27-oct, antes del 3T26. La regla (v3, BPA ordinario) da un objetivo de 9,63 €, un −6,1 % ponderado y un +2,2 % en el base con el dividendo, frente a un precio de 10,512 € (cierre del 29-oct-2026, ya sin el dividendo a cuenta): queda en Mantener (la banda Vender empieza en 10,97 €) pero no pasa el filtro de mantener (ponderada ≥ 10 %, base ≥ 5 %). Su bajista usa un PER de 4,3 veces de la época de tipos negativos, que el sector ya no paga. Lo firme es la calidad: con la prima por riesgo país, el RoTE ordinario de 9M26 supera al Ke por 4,2 puntos (3,5 en el 1S26), aún por debajo del suelo de 4,5. El valor intrínseco es de 9,82 €, un 6,6 % por debajo del precio. Convicción baja, por debajo de la «Media» que sugieren los criterios del motor (las dos reglas dicen Mantener y lejos de los umbrales): la regla a 12 meses tira de una historia de PER de los años de tipos negativos (la v3 y la v2 se separan 18 puntos) y la calidad queda a solo 0,3 puntos del suelo, así que la señal puede cambiar con un trimestre. La subiría un RoTE ordinario de 2026 por encima del 16,3 % (la calidad pasaría y habría que rehacer la regla); la bajaría un coste del riesgo de Brasil por encima del 4,5 % o un CET1 por debajo del 12,5 %.</w:t>
      </w:r>
    </w:p>
    <w:p>
      <w:pPr>
        <w:spacing w:after="100"/>
      </w:pPr>
      <w:r>
        <w:rPr>
          <w:b/>
        </w:rPr>
        <w:t xml:space="preserve">Qué ha cambiado con el 3T26.</w:t>
      </w:r>
      <w:r>
        <w:t xml:space="preserve"> Buen trimestre: beneficio ordinario récord de 3.848 M (+19 %), RoTE ordinario del 16,8 % en el trimestre y del 16,0 % en 9M26, BPA ordinario de 0,26 € (≈ 2 céntimos sobre el consenso) y todos los objetivos de 2026 reiterados [1, 4]. Pero el CET1 quedó en el 12,7 % tras Webster (−147 p.b.), por debajo del objetivo de fin de año, y el TNAV por acción en 5,92 € (6,08 estimado el 27-oct), y el coste del riesgo de Argentina siguió en el 10,8 %. La acción cayó un 5,6 % el día de los resultados por esa calidad (ingresos ≈ 370 M y margen de intereses por debajo de lo esperado, Brasil −15 % en euros, provisiones +22 % y el CET1), no por el sector, que solo cedía un 0,6 % [36, 37, 38]; el 29-oct descontó el dividendo y el 30-oct sigue bajando (≈ 10,2 € a mediodía, con la rebaja de Erste [39]). La calidad mejora 0,6 puntos (más RoTE y Ke algo menor: Bund 3,42 %, beta 1,20), pero no llega: haría falta un RoTE ordinario anual de ≈ 16,3 %.</w:t>
      </w:r>
    </w:p>
    <w:p>
      <w:pPr>
        <w:spacing w:after="100"/>
      </w:pPr>
      <w:r>
        <w:rPr>
          <w:b/>
        </w:rPr>
        <w:t xml:space="preserve">El negocio.</w:t>
      </w:r>
      <w:r>
        <w:t xml:space="preserve"> Banco muy diversificado (España 31 % del beneficio ordinario de 9M26, Brasil 13 %, EE. UU. 13 %, México 12 %, Reino Unido 11 %), en su mejor momento: beneficio ordinario de 11.176 M en 9M26 (+16 %), eficiencia del 42,6 %, coste del riesgo del 1,16 % y morosidad del 2,90 % [1]. La calidad, medida como RoTE − Ke, depende del riesgo país: con un Ke en euros del 11,83 % (Bund 3,42 % + 1,20 × 5,5 % + 1,81 de prima país ponderada) el exceso es de 3,4-4,2 puntos; sin la prima país (10,02 %) sería de 5,2-6,0 y pasaría. No es comprable en ningún nivel con el Ke completo. Sostenibilidad: «En parte».</w:t>
      </w:r>
    </w:p>
    <w:p>
      <w:pPr>
        <w:spacing w:after="100"/>
      </w:pPr>
      <w:r>
        <w:rPr>
          <w:b/>
        </w:rPr>
        <w:t xml:space="preserve">Valoración.</w:t>
      </w:r>
      <w:r>
        <w:t xml:space="preserve"> El modelo de exceso de rentabilidad sobre el valor tangible (5,92 € por acción en septiembre) da 9,97 € en el base (7,46 bajista, 11,89 alcista; 9,82 ponderado) y el P/VTC justificado 1,59 veces (9,39 €), frente a 1,78 veces en bolsa. El DCF adaptado cuadra (10,58). El precio pide un Ke del 11,4 %, casi el nuestro: tras la caída del 20 % desde agosto ya no descuenta mucho más que el valor.</w:t>
      </w:r>
    </w:p>
    <w:p>
      <w:pPr>
        <w:spacing w:after="100"/>
      </w:pPr>
      <w:r>
        <w:rPr>
          <w:b/>
        </w:rPr>
        <w:t xml:space="preserve">Brasil y Santander Brasil.</w:t>
      </w:r>
      <w:r>
        <w:t xml:space="preserve"> Brasil pesa el 13 % del beneficio; con la prima de Brasil subida como su bono tras la reelección de Lula, el Ke sube al 12,16 % y el valor base baja a 9,58 €. La oferta de canje por el ≈ 10 % de Santander Brasil emitirá hasta ≈ 151 M de acciones (1,05 %), suma ≈ 250 M € de beneficio al año (BPA +0,6 %) y es neutra en el CET1 según la matriz; Santander Brasil quedó por debajo del consenso en el 3T26.</w:t>
      </w:r>
    </w:p>
    <w:p>
      <w:pPr>
        <w:spacing w:after="100"/>
      </w:pPr>
      <w:r>
        <w:rPr>
          <w:b/>
        </w:rPr>
        <w:t xml:space="preserve">Riesgos y catalizadores.</w:t>
      </w:r>
      <w:r>
        <w:t xml:space="preserve"> El mayor riesgo es América Latina (Brasil y Argentina) y la integración simultánea de TSB y Webster. Catalizadores: el marco fiscal de Brasil, los resultados de 2026 (febrero; el RoTE del año decide si pasa la calidad) y la nueva recompra con cargo al 2S26. Directivos: las sociedades de Ana Botín compraron 300.000 acciones el 29-oct (3,1 M €, tras otras 300.000 en marzo), mientras otros altos directivos vendieron ≈ 17,8 M € en 12 meses (la mayor, 7,7 M € el 16-sep) [24].</w:t>
      </w:r>
    </w:p>
    <w:p>
      <w:pPr>
        <w:spacing w:after="100"/>
      </w:pPr>
      <w:r>
        <w:rPr>
          <w:b/>
        </w:rPr>
        <w:t xml:space="preserve">Qué cambiaría la decisión.</w:t>
      </w:r>
      <w:r>
        <w:t xml:space="preserve"> Para quien la tiene, el precio de venta según el filtro de mantener es cualquier precio por encima de 8,97 € (la banda Vender de la regla, ponderada ≤ −10 %, empieza en 10,97 €). Comprar solo por debajo de 8,58 € y siempre que RoTE − Ke llegue a 4,5: un RoTE ordinario anual de ≈ 16,3 % con el Ke de hoy (el 3T26 dio 16,8 %; 2026 entero cerraría en ≈ 16,2 % si el 4T lo repite) o una prima por América Latina menor. Con un RoTE del 20 % (plan de 2028) la calidad pasaría con holgura.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9,63 EUR</w:t>
      </w:r>
      <w:r>
        <w:t xml:space="preserve"> (rentabilidad -6,1 % (base +2,2 %)) · Valor intrínseco: 9,82 EUR (-6,6 % sobre 10,51) · con la prima implícita del mercado: 9,82 (-6,6 %)</w:t>
      </w:r>
    </w:p>
    <w:p>
      <w:pPr>
        <w:spacing w:after="100"/>
      </w:pPr>
      <w:r>
        <w:t xml:space="preserve">Banco Santander gana hoy un RoTE ordinario del 16,0 % (16,8 % en el 3T26) con un Ke en euros del 11,83 % si se cobra el riesgo de los países donde gana el dinero: crea valor, pero 4,2 puntos por encima de su coste, todavía menos de lo que pide el método [1, 54].</w:t>
      </w:r>
    </w:p>
    <w:p>
      <w:pPr>
        <w:spacing w:after="100"/>
      </w:pPr>
      <w:r>
        <w:t xml:space="preserve">El precio (10,512 €, 1,78 veces el valor tangible de septiembre) descuenta un Ke del 11,4 %: tras la caída de octubre está cerca de su valor (9,82 €), pero sin margen de seguridad [54].</w:t>
      </w:r>
    </w:p>
    <w:p>
      <w:pPr>
        <w:spacing w:after="100"/>
      </w:pPr>
      <w:r>
        <w:t xml:space="preserve">La regla a 12 meses no da señal fiable por la historia de múltiplos de los años de tipos negativos; la calidad, que sí es firme, queda a 0,3 puntos del suelo.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 × 1,05 = 4,51 · 8,2x × 1,28 = 10,50 · 9,1x × 1,43 = 13,01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 (nuestro base -23,7 %)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 / -37,3 %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frente a 11,8 % y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(5,2 % anual proyectado; financiable al ROIC actual: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8,58 y 10,97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10,97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Para quien la tiene: no pasa el filtro de mantener por encima de 8,97 € (precio de venta del método); la banda Vender de la regla (ponderada ≤ −10 %) empieza en 10,97 €.</w:t>
      </w:r>
    </w:p>
    <w:p>
      <w:pPr>
        <w:pStyle w:val="ListParagraph"/>
        <w:numPr>
          <w:ilvl w:val="0"/>
          <w:numId w:val="2"/>
        </w:numPr>
        <w:spacing w:after="60"/>
      </w:pPr>
      <w:r>
        <w:t xml:space="preserve">RoTE ordinario anual sostenido ≥ 16,3 % (o prima por América Latina menor): la calidad pasaría; habría que rehacer la regla a 12 meses.</w:t>
      </w:r>
    </w:p>
    <w:p>
      <w:pPr>
        <w:pStyle w:val="ListParagraph"/>
        <w:numPr>
          <w:ilvl w:val="0"/>
          <w:numId w:val="2"/>
        </w:numPr>
        <w:spacing w:after="60"/>
      </w:pPr>
      <w:r>
        <w:t xml:space="preserve">Precio por debajo de 8,58 € con la calidad aprobada: Comprar.</w:t>
      </w:r>
    </w:p>
    <w:p>
      <w:pPr>
        <w:pStyle w:val="ListParagraph"/>
        <w:numPr>
          <w:ilvl w:val="0"/>
          <w:numId w:val="2"/>
        </w:numPr>
        <w:spacing w:after="60"/>
      </w:pPr>
      <w:r>
        <w:t xml:space="preserve">Coste del riesgo del grupo por encima del 1,3 % en el 4T26: revisar el BPA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plan de 2028 se cumple en buena parte: 16 de 21 analistas en comprar, con un objetivo medio de 13,77 € (+31 %) [26].</w:t>
      </w:r>
    </w:p>
    <w:p>
      <w:pPr>
        <w:keepNext/>
        <w:spacing w:after="100"/>
      </w:pPr>
      <w:r>
        <w:rPr>
          <w:b/>
          <w:bCs/>
        </w:rPr>
        <w:t xml:space="preserve">Lo que creemos nosotros.</w:t>
      </w:r>
    </w:p>
    <w:p>
      <w:pPr>
        <w:spacing w:after="100"/>
      </w:pPr>
      <w:r>
        <w:t xml:space="preserve">Con la prima por riesgo país ponderada, el banco vale ≈ 9,8-10 €: el precio no deja colchón para Brasil o Argentina, aunque la caída de octubre ha cerrado buena parte de la distancia.</w:t>
      </w:r>
    </w:p>
    <w:p>
      <w:pPr>
        <w:keepNext/>
        <w:spacing w:after="100"/>
      </w:pPr>
      <w:r>
        <w:rPr>
          <w:b/>
          <w:bCs/>
        </w:rPr>
        <w:t xml:space="preserve">Por qué podemos tener razón.</w:t>
      </w:r>
    </w:p>
    <w:p>
      <w:pPr>
        <w:spacing w:after="100"/>
      </w:pPr>
      <w:r>
        <w:t xml:space="preserve">Un tercio del beneficio viene de América Latina; con su prima (Brasil 3,2, México 2,5, Argentina 9,7) el Ke del grupo sube 1,8 puntos y el exceso de rentabilidad baja de 6,0 a 4,2.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pStyle w:val="Heading2"/>
      </w:pPr>
      <w:r>
        <w:t xml:space="preserve">A favor</w:t>
      </w:r>
    </w:p>
    <w:p>
      <w:pPr>
        <w:pStyle w:val="ListParagraph"/>
        <w:numPr>
          <w:ilvl w:val="0"/>
          <w:numId w:val="2"/>
        </w:numPr>
        <w:spacing w:after="60"/>
      </w:pPr>
      <w:r>
        <w:rPr>
          <w:b/>
        </w:rPr>
        <w:t xml:space="preserve">Beneficio ordinario récord</w:t>
      </w:r>
      <w:r>
        <w:t xml:space="preserve"> (3.848 M en el 3T26, +19 %; 11.176 M en 9M26) y RoTE del 16,8 % en el trimestre.</w:t>
      </w:r>
    </w:p>
    <w:p>
      <w:pPr>
        <w:pStyle w:val="ListParagraph"/>
        <w:numPr>
          <w:ilvl w:val="0"/>
          <w:numId w:val="2"/>
        </w:numPr>
        <w:spacing w:after="60"/>
      </w:pPr>
      <w:r>
        <w:rPr>
          <w:b/>
        </w:rPr>
        <w:t xml:space="preserve">Remuneración del 50 %</w:t>
      </w:r>
      <w:r>
        <w:t xml:space="preserve"> del beneficio: ≈ 3.660 M con cargo al 1S26 (+8 %) y ≈ 9.000 M de recompras hechas.</w:t>
      </w:r>
    </w:p>
    <w:p>
      <w:pPr>
        <w:pStyle w:val="ListParagraph"/>
        <w:numPr>
          <w:ilvl w:val="0"/>
          <w:numId w:val="2"/>
        </w:numPr>
        <w:spacing w:after="60"/>
      </w:pPr>
      <w:r>
        <w:rPr>
          <w:b/>
        </w:rPr>
        <w:t xml:space="preserve">Diversificación</w:t>
      </w:r>
      <w:r>
        <w:t xml:space="preserve">: ningún país pasa de un tercio del beneficio.</w:t>
      </w:r>
    </w:p>
    <w:p>
      <w:pPr>
        <w:pStyle w:val="ListParagraph"/>
        <w:numPr>
          <w:ilvl w:val="0"/>
          <w:numId w:val="2"/>
        </w:numPr>
        <w:spacing w:after="60"/>
      </w:pPr>
      <w:r>
        <w:rPr>
          <w:b/>
        </w:rPr>
        <w:t xml:space="preserve">Precio más bajo</w:t>
      </w:r>
      <w:r>
        <w:t xml:space="preserve">: −20 % desde agosto; 1,78 veces el valor tangible frente a 2,08 a fin de septiembre.</w:t>
      </w:r>
    </w:p>
    <w:p>
      <w:pPr>
        <w:pStyle w:val="Heading2"/>
      </w:pPr>
      <w:r>
        <w:t xml:space="preserve">En contra</w:t>
      </w:r>
    </w:p>
    <w:p>
      <w:pPr>
        <w:pStyle w:val="ListParagraph"/>
        <w:numPr>
          <w:ilvl w:val="0"/>
          <w:numId w:val="2"/>
        </w:numPr>
        <w:spacing w:after="60"/>
      </w:pPr>
      <w:r>
        <w:rPr>
          <w:b/>
        </w:rPr>
        <w:t xml:space="preserve">RoTE − Ke de 4,2 puntos</w:t>
      </w:r>
      <w:r>
        <w:t xml:space="preserve"> (9M26) con la prima país: aún por debajo del suelo de 4,5.</w:t>
      </w:r>
    </w:p>
    <w:p>
      <w:pPr>
        <w:pStyle w:val="ListParagraph"/>
        <w:numPr>
          <w:ilvl w:val="0"/>
          <w:numId w:val="2"/>
        </w:numPr>
        <w:spacing w:after="60"/>
      </w:pPr>
      <w:r>
        <w:rPr>
          <w:b/>
        </w:rPr>
        <w:t xml:space="preserve">Valor intrínseco de 9,82 €</w:t>
      </w:r>
      <w:r>
        <w:t xml:space="preserve">, un 6,6 % por debajo del precio.</w:t>
      </w:r>
    </w:p>
    <w:p>
      <w:pPr>
        <w:pStyle w:val="ListParagraph"/>
        <w:numPr>
          <w:ilvl w:val="0"/>
          <w:numId w:val="2"/>
        </w:numPr>
        <w:spacing w:after="60"/>
      </w:pPr>
      <w:r>
        <w:rPr>
          <w:b/>
        </w:rPr>
        <w:t xml:space="preserve">Brasil y Argentina</w:t>
      </w:r>
      <w:r>
        <w:t xml:space="preserve">: coste del riesgo del 4,25 % y del 10,8 %; Lula reelegido.</w:t>
      </w:r>
    </w:p>
    <w:p>
      <w:pPr>
        <w:pStyle w:val="ListParagraph"/>
        <w:numPr>
          <w:ilvl w:val="0"/>
          <w:numId w:val="2"/>
        </w:numPr>
        <w:spacing w:after="60"/>
      </w:pPr>
      <w:r>
        <w:rPr>
          <w:b/>
        </w:rPr>
        <w:t xml:space="preserve">CET1 del 12,7 %</w:t>
      </w:r>
      <w:r>
        <w:t xml:space="preserve"> tras Webster y TNAV por acción de 5,92 € (fondo de comercio al alza; RoE del 13,7 %).</w:t>
      </w:r>
    </w:p>
    <w:p>
      <w:pPr>
        <w:pStyle w:val="ListParagraph"/>
        <w:numPr>
          <w:ilvl w:val="0"/>
          <w:numId w:val="2"/>
        </w:numPr>
        <w:spacing w:after="60"/>
      </w:pPr>
      <w:r>
        <w:rPr>
          <w:b/>
        </w:rPr>
        <w:t xml:space="preserve">No pasa el filtro de mantener</w:t>
      </w:r>
      <w:r>
        <w:t xml:space="preserve"> a este precio (solo por debajo de 8,97 €).</w:t>
      </w:r>
    </w:p>
    <w:p>
      <w:pPr>
        <w:pStyle w:val="Heading2"/>
      </w:pPr>
      <w:r>
        <w:t xml:space="preserve">Qué tiene que pasar para que la tesis funcione</w:t>
      </w:r>
    </w:p>
    <w:p>
      <w:pPr>
        <w:spacing w:after="100"/>
      </w:pPr>
      <w:r>
        <w:t xml:space="preserve">Los resultados de 2026 (febrero de 2027): RoTE ordinario del año (≥ 16,3 % haría pasar la calidad con el Ke de hoy), CET1 frente al 12,8-13 % y coste del riesgo de Brasil y Argentina.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RoTE ordinario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(9M26); 16,8 %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o &gt; 16,3 %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calidad frente al Ke del 11,83 %.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riesgo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CET1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TNAV por acción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modelo bancario.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 Brasil a 10 años (BRL)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15,44 % (26-oct-2026)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prima de Brasil (13 %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Banco Santander nació en 1857 en Santander y se hizo grande por compras: Banco Central Hispano (1999), Abbey National en el Reino Unido (2004), Banco Real en Brasil (2008, reparto de ABN AMRO), Sovereign en EE. UU. (2009), Banco Popular (2017, por un euro tras su resolución) y, en 2026, TSB (Reino Unido, abril) y Webster (EE. UU., agosto) [1]. En enero de 2026 vendió el 49 % de Santander Bank Polska a Erste [1]. Ana Botín preside el banco desde 2014; Héctor Grisi es consejero delegado desde 2023 [16]. En 2026 reorganizó el grupo en cinco negocios globales (Retail, Openbank, CIB, Wealth y Payments) con un modelo operativo común («ONE Transformation»)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Banco Central Hispano (BSCH).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Abbey National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Real (Brasil), en el reparto de ABN AMRO.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Banco Popular por un euro.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estadística por deterioro del fondo de comercio (−8.771 M)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Polonia (ene), compra de TSB (abr) y de Webster (ago, 10.724 M € entre efectivo y acciones), oferta de canje por el 10 % de Santander Brasil (jul) [1, 5].</w:t>
            </w:r>
          </w:p>
        </w:tc>
      </w:tr>
    </w:tbl>
    <w:p>
      <w:pPr>
        <w:spacing w:after="160" w:before="0"/>
      </w:pPr>
    </w:p>
    <w:p>
      <w:pPr>
        <w:pStyle w:val="Heading1"/>
      </w:pPr>
      <w:r>
        <w:t xml:space="preserve">2. Modelo de negocio</w:t>
      </w:r>
    </w:p>
    <w:p>
      <w:pPr>
        <w:spacing w:after="100"/>
      </w:pPr>
      <w:r>
        <w:t xml:space="preserve">Uno de los mayores bancos del mundo: 2,10 billones de euros de activo, 1,21 billones de crédito y 1,22 billones de depósitos a sep-2026 (con Webster), 189 M de clientes (111 M activos), 186.151 empleados y 6.548 oficinas [1]. Diez mercados principales: España (31 % del beneficio ordinario de los países en 9M26), Brasil (13 %), EE. UU. (13 %), México (12 %), Reino Unido (11 %), Portugal (6 %), Chile (5 %), Openbank Europa (4 %) y Argentina (3 %) [1].</w:t>
      </w:r>
    </w:p>
    <w:p>
      <w:pPr>
        <w:pStyle w:val="Heading2"/>
      </w:pPr>
      <w:r>
        <w:t xml:space="preserve">Cómo gana dinero</w:t>
      </w:r>
    </w:p>
    <w:p>
      <w:pPr>
        <w:spacing w:after="100"/>
      </w:pPr>
      <w:r>
        <w:t xml:space="preserve">De 46.807 M de ingresos ordinarios en 9M26, el 74 % es margen de intereses (34.614 M) y el 22 % comisiones (10.349 M); el resto, resultados de operaciones financieras y otros [1]. ≈ 95 % de los ingresos está ligado a la actividad con clientes [1]. Después de costes (19.925 M; eficiencia del 42,6 %) y dotaciones (10.060 M; coste del riesgo del 1,16 %) quedan 15.771 M antes de impuestos y 11.176 M de beneficio ordinario [1]. El margen viene de la diversificación: España y Portugal ganan con tipos del BCE positivos (RoTE del 25,6 % y 29,8 %), México y Chile con diferenciales altos (21,2 % y 20,3 %), Brasil con coste del riesgo alto (4,25 %; RoTE del 13,9 %) y el Reino Unido y EE. UU. con RoTE más bajos (12,8 % y 12,6 %) que las compras de TSB y Webster deben subir (el banco apunta a ≈ 18 % en EE. UU. en 2028) [3].</w:t>
      </w:r>
    </w:p>
    <w:p>
      <w:pPr>
        <w:pStyle w:val="Heading2"/>
      </w:pPr>
      <w:r>
        <w:t xml:space="preserve">Segmentos (9M26)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Retail &amp; Commercial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Openbank (antes Digital Consumer Bank)</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Investment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Wealth Management &amp; Insurance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Beneficio ordinario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9M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9M25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9M26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Retail &amp; Commercial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Openbank (antes Digital Consumer Bank)</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Investment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Wealth Management &amp; Insurance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beneficio ordinario de 9M26 por segmento secundario, sin el centro corporativo (−865 M) [1]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dispersa (189 M de clientes, particulares y empresas en diez países). Poder de precio limitado en hipotecas en España, «uno de los mercados más competitivos de Europa» según el consejero delegado [16]; mayor en consumo y tarjetas en América Latina.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RoTE ordinario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16,8 % en el 3T26; objetivo &gt; 20 %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CET1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−147 p.b. por Webster; objetivo del 12,8-13 % a fin de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 36 %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riesgo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Argentina, estable (1,08 % en Retail sin Argentina)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del 64 % (67 % un año antes)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intereses (9M)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31.599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34.614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 sin TSB ni Webster; 11.903 M en el 3T26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TNAV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 con los dividendos; 6,32 € en junio, antes de Webster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banca minorista y comercial de sus diez mercados (crédito y depósitos de particulares y empresas), con la banca mayorista y la gestión de patrimonios como negocios globales. No hay una serie única de tamaño de mercado que sume diez países en distintas divisas: el informe no la calcula y usa la cuota y la rentabilidad por país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BCE subió 25 p.b. en septiembre de 2026 y el euríbor está en el 3,25 %: sostiene el margen de intereses en España y Portugal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y tipos en América Latina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(13 % del beneficio en 9M26) es pasivo-sensible: −100 p.b. de Selic suben el margen ≈ 70 M €; la reelección de Lula del 25-oct retrasa esa bajada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 la banca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impuesto a la banca en España resta parte de la mejora del margen; Grisi lo llama contraproducente [15,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Escala y tecnología (ONE Transformation,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−2 % en euros constantes sin TSB ni Webster con ingresos +5 %; 194 M de valor de negocio por IA en 9M26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Neobancos y bancos digitales en consumo y pagos; Openbank es la respuesta propia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BBVA, CaixaBank y Sabadell en España; Itaú y Bradesco en Brasil; BBVA y Banorte en México; grandes bancos en el Reino Unido y EE. UU.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Hipotecas muy competidas en España y el Reino Unido; portabilidad y pagos instantáneos.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Depósitos de 1,13 billones, en su mayoría de particulares; coste ligado a los tipos oficiales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digitales y tecnológicas en pagos y consumo; la licencia y el capital frenan la entrada en crédito.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capitales y crédito privado para empresas; fintech para particulares.</w:t>
            </w:r>
          </w:p>
        </w:tc>
      </w:tr>
    </w:tbl>
    <w:p>
      <w:pPr>
        <w:spacing w:after="160" w:before="0"/>
      </w:pPr>
    </w:p>
    <w:p>
      <w:pPr>
        <w:pStyle w:val="Heading2"/>
      </w:pPr>
      <w:r>
        <w:t xml:space="preserve">Ciclo</w:t>
      </w:r>
    </w:p>
    <w:p>
      <w:pPr>
        <w:spacing w:after="100"/>
      </w:pPr>
      <w:r>
        <w:t xml:space="preserve">En Europa el ciclo de tipos se ha estabilizado (el BCE volvió a subir en septiembre) con morosidad baja (España: coste del riesgo del 0,41 %); en Brasil y Argentina el ciclo de crédito es peor (4,1 % y 11,1 %) [3, 15].</w:t>
      </w:r>
    </w:p>
    <w:p>
      <w:pPr>
        <w:pStyle w:val="Heading2"/>
      </w:pPr>
      <w:r>
        <w:t xml:space="preserve">Regulación</w:t>
      </w:r>
    </w:p>
    <w:p>
      <w:pPr>
        <w:spacing w:after="100"/>
      </w:pPr>
      <w:r>
        <w:t xml:space="preserve">Supervisión del BCE (MUS) y de los supervisores locales; requisito de CET1 del 9,83 % con colchón sistémico global [3]. Abiertos con efecto en cifras: el impuesto a la banca en España, la remediación de la financiación de automóviles en el Reino Unido (FCA) y la posible subida de la ponderación de riesgo de las tarjetas en Brasil [15, 17].</w:t>
      </w:r>
    </w:p>
    <w:p>
      <w:pPr>
        <w:pStyle w:val="Heading2"/>
      </w:pPr>
      <w:r>
        <w:t xml:space="preserve">Tendencias y disrupción</w:t>
      </w:r>
    </w:p>
    <w:p>
      <w:pPr>
        <w:spacing w:after="100"/>
      </w:pPr>
      <w:r>
        <w:t xml:space="preserve">Tres cambios: (1) escala y plataforma común (Gravity, ONE Transformation) para bajar el coste por cliente (264 → 253 € y objetivo ≈ 220 en 2028); (2) compras en mercados donde ya estaba para ganar escala (TSB, Webster); (3) más peso de comisiones (Wealth, Payments, CIB) [1, 3]. Gana con las tres si ejecuta.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banco de la zona euro por capitalización junto a BNP Paribas; primero o segundo en España, Portugal y Chile, tercer banco privado en Brasil y entre los primeros en México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BBVA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BBVA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México, Turquía; ROE 18.9 %, P/VC 2.09x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CaixaBank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y Portugal; ROE 16.2 %, P/VC 2.04x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BNP Paribas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europeo; ROE 10.9 %, P/VC 0.77x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UniCredit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15.8 %, P/VC 1.56x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17.8 %, P/VC 1.52x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HSBC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HSBA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14.2 %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Itaú Unibanco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ITUB4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privado en Brasil, rival de Santander Brasil (ver informe de Itaú del 27-oct).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Getnet y Ebury en pagos; 189 M de clientes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 hipoteca y cuentas vinculadas; 58 meses seguidos ganando clientes netos en España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global y licencias bancarias en diez países.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 del 42,6 % en 9M26, mejor que la media europea, con plataforma tecnológica común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del 15-20 % en varios mercados; RoTE del 26-30 % en España y Portugal [3].</w:t>
            </w:r>
          </w:p>
        </w:tc>
      </w:tr>
    </w:tbl>
    <w:p>
      <w:pPr>
        <w:spacing w:after="160" w:before="0"/>
      </w:pPr>
    </w:p>
    <w:p>
      <w:pPr>
        <w:pStyle w:val="Heading2"/>
      </w:pPr>
      <w:r>
        <w:t xml:space="preserve">Amenazas</w:t>
      </w:r>
    </w:p>
    <w:p>
      <w:pPr>
        <w:spacing w:after="100"/>
      </w:pPr>
      <w:r>
        <w:t xml:space="preserve">Lo que más erosiona: la política en América Latina (Brasil tras el 25-oct, Argentina), impuestos a la banca en España y una bajada de tipos en Europa. La diversificación amortigua: ningún país pasa de un tercio del beneficio.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4,7 %</w:t>
      </w:r>
      <w:r>
        <w:t xml:space="preserve">, EBITDA </w:t>
      </w:r>
      <w:r>
        <w:rPr>
          <w:b/>
          <w:bCs/>
        </w:rPr>
        <w:t xml:space="preserve">6,3 %</w:t>
      </w:r>
      <w:r>
        <w:t xml:space="preserve">, BPA </w:t>
      </w:r>
      <w:r>
        <w:rPr>
          <w:b/>
          <w:bCs/>
        </w:rPr>
        <w:t xml:space="preserve">19,6 %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En NIIF (ESEF) el beneficio atribuido pasó de 8.124 M en 2021 a 14.101 M en 2025 (+14,8 % anual) y el BPA de 0,44 a 0,90 € (+19,6 % anual: las recompras redujeron las acciones de 17.341 M a 14.689 M) [2]. El margen de intereses fue de 42.348 M en 2025 (43.787 M en 2024), las comisiones de 17.387 M brutas y las pérdidas por deterioro de activos financieros de 12.546 M, estables en 12.100-12.300 M desde 2023 [2]. En la cuenta ordinaria de 9M26, ingresos de 46.807 M (+8 %; +7 % en euros constantes, +5 % sin TSB ni Webster), margen de intereses de 34.614 M (+10 %), comisiones de 10.349 M (+9 %), costes de 19.925 M (+2 %; −2 % en euros constantes sin compras), dotaciones de 10.060 M (+13 %, sobre todo Argentina) y beneficio ordinario de 11.176 M (+16 %; +14 % en euros constantes); el beneficio atribuido fue de 12.405 M (+20 %) con la plusvalía de Polonia (1.895 M) y −666 M de costes de integración y deterioros de TSB y Webster [1, 4]. RoTE ordinario del 16,0 % (14,9 % un año antes), eficiencia del 42,6 % (−2,8 puntos) y BPA ordinario de 0,74 € (+21 %) [1].</w:t>
      </w:r>
    </w:p>
    <w:p>
      <w:pPr>
        <w:pStyle w:val="Heading2"/>
      </w:pPr>
      <w:r>
        <w:t xml:space="preserve">Ajustes y partidas no recurrentes</w:t>
      </w:r>
    </w:p>
    <w:p>
      <w:pPr>
        <w:spacing w:after="100"/>
      </w:pPr>
      <w:r>
        <w:t xml:space="preserve">Dos bases. Las cuentas oficiales (ESEF) son NIIF; el banco y el mercado siguen la cuenta «ordinaria» (underlying), que quita extraordinarios: en 9M26, +1.895 M de plusvalía de Polonia y −666 M de deterioros de intangibles y costes de integración de TSB y Webster (−416 M en el 3T26) [1]. En 2022-2025 el ordinario coincidía con el estatutario; en 2021 el ordinario fue de 8.654 M frente a 8.124 M [1, 2]. Desde el 1T26 la información se presenta con Polonia fuera: 2025 ordinario reexpresado de 13.152 M (BPA 0,84 €) frente a 14.101 M publicados (BPA 0,90-0,91) [1]. En la cuenta del motor, 2023-2024 vienen del ESEF de 2025 (reexpresados, con Polonia como actividad interrumpida: 1.542 M de resultado interrumpido en 2025), por eso BAI − impuestos − minoritarios no cuadra con el beneficio atribuido [2]. El BPA y el RoTE de la regla a 12 meses y del modelo bancario son ordinarios, por acción, netos de los cupones de AT1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3T26 (28-oct-2026, primer trimestre con Webster desde el 20-ago) el beneficio ordinario fue récord, 3.848 M (+19 % interanual; +2,1 % en el trimestre), con ingresos de 15.960 M (+12 %), margen de intereses de 11.903 M (+1,8 % en el trimestre), costes de 6.714 M y dotaciones de 3.486 M (+22 %, Argentina) [1, 4]. El beneficio atribuido bajó un 2 % (3.432 M) por −416 M de costes de integración. RoTE ordinario del 16,8 % en el trimestre (16,0 % en 9M26), BPA ordinario de 0,26 € (consenso ≈ 0,24 €, «+2 céntimos» según la prensa) y CET1 del 12,7 % tras restar 147 p.b. por Webster (+14 p.b. orgánicos en el trimestre) [1]. El banco reiteró los objetivos de 2026 (ingresos +MSD, costes a la baja en euros constantes, beneficio por encima de 14.100 M, CET1 del 12,8-13 % a fin de año) y de 2028 (RoTE &gt; 20 %, beneficio &gt; 20.000 M) [3, 4]. TNAV por acción de 5,92 € (6,32 en junio) por la compra de Webster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1.797.062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0"/>
        <w:gridCol w:w="1472"/>
        <w:gridCol w:w="1338"/>
        <w:gridCol w:w="1338"/>
        <w:gridCol w:w="1338"/>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Compra de Webster Financial (EE. UU.) por 48,75 USD en efectivo + 2,0548 ADS por acción (20-ago-2026): 329,8 M de acciones nuevas (2,2 % del capital) y ≈ −150 p.b. de CET1 [3,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Para un banco el motor no tiene sentido en deuda neta, circulante ni capital invertido: caja y deuda a 0, y el «capital invertido» queda igual al patrimonio atribuido NIIF. El activo pasó de 1.595.835 M (2021) a 1.867.515 M (2025), +4,0 % anual, y el patrimonio atribuido de 86.930 M a 103.170 M, +4,4 % anual, con recompras de 3.100-4.100 M al año desde 2023 [2]. El fondo de comercio e intangibles (17.308 M a dic-2025) sube con TSB y Webster: el TNAV por acción bajó de 6,32 € en junio a 5,92 € en septiembre, y el RoE ordinario (13,7 % en 9M26) queda 2,3 puntos por debajo del RoTE (16,0 %) [1,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55.480</w:t>
      </w:r>
      <w:r>
        <w:t xml:space="preserve">, conversión </w:t>
      </w:r>
      <w:r>
        <w:rPr>
          <w:b/>
          <w:bCs/>
        </w:rPr>
        <w:t xml:space="preserve">100 %</w:t>
      </w:r>
      <w:r>
        <w:t xml:space="preserve"> del beneficio neto; adquisiciones 0, dividendos 11.780, recompras 11.228.</w:t>
      </w:r>
    </w:p>
    <w:p>
      <w:pPr>
        <w:spacing w:after="100"/>
      </w:pPr>
      <w:r>
        <w:t xml:space="preserve">El estado de flujos de un banco no mide la caja del accionista: el flujo de explotación NIIF fue de 56.691 M en 2021, 27.706 M en 2022, 5.015 M en 2023, −24.155 M en 2024 y −14.835 M en 2025, porque mezcla depósitos, cartera y repos [2]. Se usa el beneficio atribuido como «flujo operativo» y capex 0. Remuneración: dividendos en efectivo pagados de 1.313 M (2021) a 3.341 M (2025) y compra de acciones propias de 3.109 M (2023), 4.038 M (2024) y 4.081 M (2025) [2]. Dividendo por acción con cargo al año: 0,10 € (2021), 0,1178 (2022), 0,176 (2023), 0,21 (2024) y 0,24 (2025: 11,5 + 12,5 céntimos) [2, 4]. En 2026: programa de 5.030 M terminado en agosto (462,7 M de acciones), programa de 1.825 M con cargo al 1S26 terminado el 28-oct (150,6 M de acciones, ≈ 1,03 % del capital, a amortizar) y dividendo a cuenta de 12,7 céntimos el 2-nov; remuneración con cargo al 1S26 de ≈ 3.660 M (+8 %, ≈ 50 % del beneficio ordinario) [4, 6, 8, 9, 10].</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 S.L.</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consolidadas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se cobra.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ampliada: pruebas que pasa</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pruebas más (estabilidad del ROIC, caja, devengos, deuda, intereses, margen, dilución, Piotroski, Altman y ventas). Son informativas: en el backtest de 2012-2025 ninguna mejoró la rentabilidad de las compras con la calidad que ya exigimos; en el universo entero, pasar varias reduce algo las caídas fuertes. No cambian la señal ni el nivel.</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P1. ROIC estable: nunca por debajo del WACC en los últimos 5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ROIC mínimo 9,7 % frente a WACC 11,8 %</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pasa (informativo).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P2. Conversión en caja: flujo libre de 3 años ≥ 0,8 × beneficio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P3. Devengos: beneficio − flujo operativo ≤ 5 % del activo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del activo</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P4. Deuda neta / EBITDA ≤ 3</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aplica a financieras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P5. Cobertura de intereses: EBIT ≥ 5 × gasto financiero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aplica a financieras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P6. Margen EBIT estable: rango de 5 años ≤ 10 puntos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rango 5,2 puntos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P7. Sin dilución: acciones diluidas ≤ +2 % anual en 3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anual</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P8. Piotroski F ≥ 6</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P9. Altman Z &gt; 1,81 (fuera de la zona de riesgo)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aplica a financieras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P10. Ventas que no encogen en 3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en 3 años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Piotroski F y Beneish M no se interpretan en un banco. Lo que importa es la cartera: morosidad del 2,90 % con cobertura del 64 % y coste del riesgo del 1,16 % a 12 meses (1,13 % un año antes; 1,08 % sin Argentina) [1, 3]. Por país, el coste del riesgo es del 0,43 % en España, 0,12 % en el Reino Unido, 0,06 % en Portugal, 1,39 % en EE. UU., 2,73 % en México, 4,25 % en Brasil, 1,28 % en Chile y 10,80 % en Argentina (+455 p.b.) [3]. Tres señales: (1) Argentina explica casi toda la subida de dotaciones (+13 %; +6 % sin Argentina); (2) provisiones por la financiación de automóviles en el Reino Unido (245 M brutos en 9M26); (3) la cobertura baja de 67 % a 64 % en un año [1,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riesgo de Argentina del 10,8 % (+4,6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Argentina pesa el 2,8 % del beneficio; sube las dotaciones del grupo del +6 % al +13 %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por la financiación de automóviles en el Reino Unido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245 M brutos en 9M26 (194 M netos), sobre todo en el 1T26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la morosidad del 64 % (67 % un año 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Morosidad estable en el 2,9 %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97.053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97.319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31,5 % · </w:t>
      </w:r>
      <w:r>
        <w:rPr>
          <w:b/>
          <w:bCs/>
        </w:rPr>
        <w:t xml:space="preserve">WACC</w:t>
      </w:r>
      <w:r>
        <w:t xml:space="preserve">: 11,8 %.</w:t>
      </w:r>
    </w:p>
    <w:p>
      <w:pPr>
        <w:spacing w:after="100"/>
      </w:pPr>
      <w:r>
        <w:t xml:space="preserve">En un banco el ROIC del motor (patrimonio NIIF con deuda y caja 0) no es la cifra de calidad; la del informe es el RoTE ORDINARIO − Ke. RoTE ordinario del 15,2 % en 2025 (reexpresado sin Polonia) y del 16,0 % en 9M26 (16,8 % en el 3T26) [1], frente a un Ke en euros del 11,83 % (Bund 3,42 % [27] + beta 1,20 × 5,5 % + prima país ponderada por el beneficio de 9M26 de 1,81 [29]): exceso de 3,37 puntos (2025) y 4,17 (9M26), frente a 3,54 en el 1S26 del informe anterior. Mejora, pero NO PASA el suelo del método (4,5) y no es comprable en ningún nivel (A, B1, B2 o C) [54]. El 3T26 aislado daría 4,97: un trimestre no basta, y si el 4T26 lo repite el año cerraría en ≈ 16,2 % (≈ 4,4 puntos). Pasaría con un RoTE ordinario anual de ≈ 16,3 %. Sin la prima país pasaría (5,98, con un Ke del 10,02 %): la conclusión depende de cobrar o no el riesgo de América Latina, y la cobramos porque es ≈ 34 % del beneficio. Con la beta anterior (1,24) el exceso sería 3,95. Con el RoE ordinario (13,7 % en 9M26, con el fondo de comercio de TSB, Webster y compras anteriores) el exceso es de solo 1,87. Indicadores bancarios del 3T26 [1, 3]: CET1 del 12,7 % tras −147 p.b. de Webster (requisito estimado del 9,9 %; distancia al MDA de 254 p.b.; 12,8-13 % esperado a fin de año), morosidad del 2,90 % con cobertura del 64 %, coste del riesgo del 1,16 % (Brasil 4,25 %, Argentina 10,80 %, México 2,73 %, España 0,43 %), eficiencia del 42,6 %, margen de intereses de 11.903 M en el trimestre (+1,8 %). Sensibilidad a tipos: ≈ 95 % de los ingresos viene de clientes; el BCE volvió a subir en septiembre [15]; en Brasil, −100 p.b. de Selic suben el margen ≈ 70 M € [17].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Depósitos de clientes de 1.222.263 M y crédito a clientes de 1.206.887 M a sep-2026 (+7,8 % y +5,0 % en el trimestre por Webster: ≈ 62.000 M de depósitos y ≈ 50.000 M de crédito) [1]. Crédito neto sobre depósitos del 99 %; LCR del grupo del 145 % (154 % en junio; consolidado del 140 %), datos provisionales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(sin leer la nota vigente de las agencias en este análisis)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Capital a sep-2026: CET1 del 12,7 % (phased-in) y capital total del 17,0 %, tras −147 p.b. de Webster; requisito de CET1 estimado del 9,9 % (desde el 1-oct el Banco de España activa un colchón anticíclico): distancia al MDA de 254 p.b. [1, 3]. El BCE baja el P2R para 2027 del 1,74 % al 1,65 % [12]. El banco mantiene el objetivo de cerrar 2026 en el 12,8-13 % [1]. Morosidad del 2,90 % (2,93 % en junio) con cobertura del 64 %; coste del riesgo del 1,16 % a 12 meses (1,08 % sin Argentina) y fondo de provisiones de 25.124 M [1, 3]. Provisiones adicionales por la financiación de automóviles en el Reino Unido (motor finance) de 245 M brutos en 9M26 (194 M netos), casi todo en el 1T26 [3].</w:t>
      </w:r>
    </w:p>
    <w:p>
      <w:pPr>
        <w:pStyle w:val="Heading1"/>
      </w:pPr>
      <w:r>
        <w:t xml:space="preserve">12. Asignación de capital</w:t>
      </w:r>
    </w:p>
    <w:p>
      <w:pPr>
        <w:pStyle w:val="Confianza"/>
        <w:spacing w:after="100"/>
      </w:pPr>
      <w:r>
        <w:t xml:space="preserve">Confianza: Media</w:t>
      </w:r>
    </w:p>
    <w:p>
      <w:pPr>
        <w:spacing w:after="100"/>
      </w:pPr>
      <w:r>
        <w:t xml:space="preserve">Reparte ≈ 50 % del beneficio ordinario, mitad en efectivo y mitad en recompras, en 2026; desde 2027, ≈ 35 % en efectivo y ≈ 15 % en recompras, y el capital sobrante al final de 2028 [10]. Dividendo de 0,24 € con cargo a 2025 (+14 %) y a cuenta de 2026 de 0,127 € (pago el 2-nov; último día con derecho el 28-oct) [4, 10]. Recompras: 5.030 M terminadas en agosto (462,7 M de acciones, 3,08 % del capital, ya amortizadas) y 1.825 M con cargo al 1S26 terminadas el 28-oct (150,6 M de acciones, ≈ 1,03 %, a amortizar) [6, 8, 9]. Remuneración con cargo al 1S26 de ≈ 3.660 M (+8 %); ≈ 9.000 M de recompras hechas del objetivo de al menos 10.000 M con cargo a 2025-2026 y al capital sobrante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Webster Financial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+ 2,0548 ADS por acción (329,8 M de acciones nuevas)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20-ago-2026: 12.509 M USD (10.724 M €; 65 % en efectivo); −147 p.b. de CET1; TNAV por acción de 6,32 a 5,92 € [1, 5, 33].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TSB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30-abr-2026; −55 p.b. de CET1; ≥ 400 M £ de sinergias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10 % de Santander Brasil (oferta de canje)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nuevas de SAN (hasta el 1,1 % del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Registrada el 21-sep-2026; cierre esperado en el 1S27 [30, 31].</w:t>
            </w:r>
          </w:p>
        </w:tc>
      </w:tr>
    </w:tbl>
    <w:p>
      <w:pPr>
        <w:spacing w:after="160" w:before="0"/>
      </w:pPr>
    </w:p>
    <w:p>
      <w:pPr>
        <w:spacing w:after="100"/>
      </w:pPr>
      <w:r>
        <w:t xml:space="preserve">Asignación activa en 2026: vende Polonia con plusvalía y la mitad del capital liberado a recompras, y compra escala en el Reino Unido y EE. UU., mercados donde su RoTE es bajo (12,8 % y 12,6 % en 9M26; el banco apunta a ≈ 18 % en EE. UU. en 2028 con Webster) [3]. Las recompras a 1,8-1,9 veces el valor tangible crean valor si el RoTE se mantiene por encima del Ke; Webster se pagó a ≈ 1,95 veces su valor tangible con un ROATCE del 16,7 % [11, 33]: con un Ke de EE. UU. de ≈ 10,5 %, crea valor si llegan las sinergias. Las acciones en circulación han bajado un 17 % desde 2021 pese a Webster [6, 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Botín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1989 y presidenta ejecutiva desde 2014; antes, presidenta ejecutiva de Banesto (2002) y consejera delegada de Santander UK; empezó en J.P. Morgan (1980-1988) [18]. En 2025 el banco cerró su cuarto año seguido de beneficio récord (14.101 M €) con un RTA del 132 % [18]. 34,2 M de acciones (2,7 M directas y 31,5 M indirectas) a 24-feb-2026 [18]; sus sociedades vinculadas compraron 600.000 acciones más en mar-2026 y oct-2026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Héctor Grisi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1-ene-2023; antes, presidente ejecutivo y consejero delegado de Santander México (desde 2015) y responsable regional de Norteamérica (2019-2022); 18 años en Credit Suisse [18]. Con él, el RoTE ordinario pasó del 15,06 % (2023) al 17,07 % (2025) y el beneficio ordinario de 11.076 a 14.101 M € [18]. 2,93 M de acciones a 24-feb-2026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García Cantera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2003 (Banesto, consejero delegado en 2006); responsable de Banca Corporativa Global en 2012 y director financiero desde 2015; antes, en Citigroup EMEA [18]. 2,85 M de acciones a 24-feb-2026 [18]. Firma el 6-K del 3T26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Castro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riesgos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1993; consejero delegado de Santander Totta (Portugal) desde 2019 y responsable regional de Europa (2023-2024). Sustituye a Mahesh Aditya desde el 1-mar-2026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María Linares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global de Corporate &amp; Investment Banking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de J.P. Morgan (responsable global de banca corporativa 2011-2017) [18]. CIB cerró 2025 con un RoTE del 19,1 % frente a un objetivo de ≈ 20 % [18]. Vendió 600.000 acciones el 16-sep-2026 (7,66 M €)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Matías Sánchez y Borja Oyarzábal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Responsables globales de Retail y de Commercial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Nombrados el 23-jun-2026 (pendiente de aprobación regulatoria) en sustitución de Daniel Barriuso, que pasa a asesor de la presidenta y del consejero delegado. Sánchez lleva casi 30 años en el grupo (responsable global de Tarjetas desde 2022); Oyarzábal llegó en mar-2025 desde Tresmares Capital [13].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+MSD y costes a la baja en euros constantes (sin M&amp;A); beneficio &gt; 14.100 M €; CET1 12,8-13 % (reiterado el 28-oct-2026); plan 2028: RoTE &gt; 20 %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ingresos +8 %, costes sin M&amp;A a la baja, beneficio ordinario 11.176 M € (+16 %), atribuido 12.405 M € (+20 %), RoTE ordinario 16,0 %, CET1 12,7 % tras −147 p.b. de Webster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 62.000 M €; comisiones +MSD-HSD; costes a la baja en euros; eficiencia ≈ 42 %; coste del riesgo ≈ 1,15 %; CET1 13 %; RoTE ≈ 16,5 % tras AT1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62.400 M €; comisiones +9 %; costes −1 %; eficiencia 41,2 %; coste del riesgo 1,15 %; CET1 13,5 %; RoTE 16,3 % tras AT1; beneficio 14.101 M € (+12 %)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22-25: ingresos ≈ 7-8 %, comisiones ≈ 8-9 %, costes ≈ 4-5 %; coste del riesgo 1,0-1,1 %; CET1 &gt; 12 %; RoTE 15-17 % antes de AT1 en 2025; VCTA + DPA en efectivo de dos cifras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+8 %, comisiones +7 %, costes +4 %; coste del riesgo 1,15 %; CET1 13,5 %; RoTE 17,1 % antes de AT1; VCTA + DPA +14 % TCAC; RoTE de Consumer 8,6 % frente a ≈ 12 %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Botín preside desde 2014 y Grisi es consejero delegado desde 2023, sin cambios en la cúpula en 24 meses. Credibilidad alta en lo financiero: cumplió el objetivo anual de 2025 y casi todo el Investor Day de 2023; fallaron el crecimiento de comisiones (7 % frente a 8-9 %), el coste del riesgo (1,15 % frente a 1,0-1,1 %) y el RoTE de Consumer (8,6 % frente a ≈ 12 %) [18]. A los 9M26 va camino de 2026 (beneficio ordinario +16 %), pero el CET1 (12,7 %) queda por debajo del rango objetivo tras Webster [4]. Hay rotación en la segunda línea: riesgos en mar-2026 y Retail y Commercial en jun-2026 [13, 18]. El plan 2028 (RoTE &gt; 20 %) exige integrar a la vez TSB y Webster [4]. No hay plan público de sucesión de la presidenta ni límite de edad para el cargo [18].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Botín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(presidenta); 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Héctor Grisi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Glenn Hutchins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(presidente); Innovación y tecnología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Antonio Álvarez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Ejecutiva; Supervisión de riesgos, regulación y cumplimiento; 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Carlos Barrabés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Banca responsable, sostenibilidad y cultura; 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Botín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 Daurella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Banca responsable, sostenibilidad y cultura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Henrique de Castro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 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Germán de la Fuente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Supervisión de riesgos, regulación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Gina Díez Barroso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Banca responsable, sostenibilidad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Isasi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(presidente no ejecutivo de Santander España)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Ejecutiva; Retribuciones; Supervisión de riesgos, regulación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Romana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Ejecutiva; Auditoría; Nombramientos (presidenta); Supervisión de riesgos, regulación y cumplimiento; 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Pamela Walkden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Supervisión de riesgos, regulación y cumplimiento (presidenta); Banca responsable, sostenibilidad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Weiss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Deborah Stern Vieitas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 (entró el 12-may-2026; presidenta de Santander Brasil)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Javier Botín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consolidadas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6,09 / ventas 17,81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(por cuenta de terceros; ningún fondo pasa del 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6,875 % → 6,861 % (registro CNMV, 4-jul-2025); sin dato posterior leído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 (con Fundación Botín y acciones sindicadas)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196,9 M de acciones a 24-feb-2026; Javier Botín representa 189,3 M (1,289 %)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Pacto de la familia Botín (sindicato de voto)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parasocial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110,3 M de acciones sindicadas a 31-dic-2025; 80,4 M (0,55 %) con restricciones de venta; vigente hasta 2056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de 5.030 M € (462,7 M de acciones, 3,08 %) terminó el 21-ago-2026 y se amortizó el 1-sep-2026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Inversora Oquendo, S.L. (vinculada a Ana Botín)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José María Linares (CIB)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Gina Díez Barroso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Javier García-Carranza (Wealth &amp; Insurance)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Juan Manuel Cendoya (Comunicación)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Hazell (cumplimiento; ADS en la NYSE, 0,137 M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Inversora Oquendo, S.L. y Bafimar, S.L. (vinculadas a Ana Botín), 5 y 6-mar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Juan Manuel Cendoya (Comunicación)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Nitin Prabhu (alto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Mahesh Aditya (entonces director de riesgos; ADS en la NYSE, 1,015 M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Juan Olaizola (alto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Héctor Grisi (consejero delegado) devengó en 2025 11,43 M €: fijo 3,50 M (salario 3,15 M y dietas 0,35 M), variable no ligado al largo plazo 4,15 M, variable diferido ligado al largo plazo 1,94 M a valor razonable, pensión 1,12 M y otros 0,72 M; Ana Botín, 14,78 M (11,98 M más 2,80 M diferidos) [18]. Ratio variable/fijo: 197 % Botín y 150 % Grisi; el tope es el 200 % [18]. El bonus de 2025 salió al 145,48 % del objetivo: transformación 45 %, capital 25 % (CET1 13,46 % frente a un 13 %) y RoRWA 30 %, más un +3 % cualitativo [18]. El 40 % se difiere y depende del RTA relativo 2025-27 (50 %, nada por debajo de la mediana), del RoTE de 2027 (30 %, nada por debajo del 17 %) y de métricas ESG (20 %). Hay malus y clawback [18]. Sin indemnización más allá de la legal. En 2024 la política tuvo un 25,18 % en contra y la de 2025 subió el peso del RTA y del cobro en acciones [23].</w:t>
      </w:r>
    </w:p>
    <w:p>
      <w:pPr>
        <w:pStyle w:val="Heading2"/>
      </w:pPr>
      <w:r>
        <w:t xml:space="preserve">Operaciones vinculadas, estructura de control y defensas</w:t>
      </w:r>
    </w:p>
    <w:p>
      <w:pPr>
        <w:spacing w:after="100"/>
      </w:pPr>
      <w:r>
        <w:t xml:space="preserve">No hay accionista de control: nadie pasa del 3 % por cuenta propia y BlackRock (6,86 %) gestiona por cuenta de terceros [18]. Cada acción da un voto y no hay límites de voto ni clases de acciones [18]. La familia Botín tiene un sindicato de voto desde 2006 (0,75 % del capital, hasta 2056) que preside Javier Botín, hermano de la presidenta. Con la Fundación Botín, él representa el 1,29 % [18]. La presidencia ha seguido en la familia con ese porcentaje, pero el nombramiento depende del consejo, con un 67 % de independientes y un consejero coordinador (Hutchins) [18]. Los consejeros reciben préstamos pequeños: 223.000 € a 30-sep-2026 [19]. En las juntas de 2024 y 2025 se votaron fuera del orden del día propuestas de cese de todos los consejeros, rechazadas al 100 % [18, 23]. La junta de 2026 autorizó la ampliación de capital para comprar Webster [20].</w:t>
      </w:r>
    </w:p>
    <w:p>
      <w:pPr>
        <w:pStyle w:val="Heading2"/>
      </w:pPr>
      <w:r>
        <w:t xml:space="preserve">Señales de alerta</w:t>
      </w:r>
    </w:p>
    <w:p>
      <w:pPr>
        <w:pStyle w:val="ListParagraph"/>
        <w:numPr>
          <w:ilvl w:val="0"/>
          <w:numId w:val="2"/>
        </w:numPr>
        <w:spacing w:after="60"/>
      </w:pPr>
      <w:r>
        <w:t xml:space="preserve">La política de remuneraciones de 2024 tuvo un 25,18 % de votos en contra (74,82 % a favor). El informe de remuneraciones, un 9,82 % en contra en 2024 y un 6,73 % en 2025 [18, 23].</w:t>
      </w:r>
    </w:p>
    <w:p>
      <w:pPr>
        <w:pStyle w:val="ListParagraph"/>
        <w:numPr>
          <w:ilvl w:val="0"/>
          <w:numId w:val="2"/>
        </w:numPr>
        <w:spacing w:after="60"/>
      </w:pPr>
      <w:r>
        <w:t xml:space="preserve">La presidenta es ejecutiva y pertenece a la familia fundadora, que vota sindicada (0,75 %). Su hermano Javier Botín es consejero desde 2004 [18].</w:t>
      </w:r>
    </w:p>
    <w:p>
      <w:pPr>
        <w:pStyle w:val="ListParagraph"/>
        <w:numPr>
          <w:ilvl w:val="0"/>
          <w:numId w:val="2"/>
        </w:numPr>
        <w:spacing w:after="60"/>
      </w:pPr>
      <w:r>
        <w:t xml:space="preserve">En 12 meses, los directivos vendieron ≈ 17,8 M € en la bolsa española (más ≈ 1,15 M USD en ADS) y las sociedades de Ana Botín compraron 600.000 acciones (≈ 6,0 M €) [24].</w:t>
      </w:r>
    </w:p>
    <w:p>
      <w:pPr>
        <w:pStyle w:val="ListParagraph"/>
        <w:numPr>
          <w:ilvl w:val="0"/>
          <w:numId w:val="2"/>
        </w:numPr>
        <w:spacing w:after="60"/>
      </w:pPr>
      <w:r>
        <w:t xml:space="preserve">Rotación en la segunda línea: director de riesgos (Aditya → Castro, 1-mar-2026) y responsable de Retail &amp; Commercial (Barriuso, 23-jun-2026) [13, 18].</w:t>
      </w:r>
    </w:p>
    <w:p>
      <w:pPr>
        <w:pStyle w:val="ListParagraph"/>
        <w:numPr>
          <w:ilvl w:val="0"/>
          <w:numId w:val="2"/>
        </w:numPr>
        <w:spacing w:after="60"/>
      </w:pPr>
      <w:r>
        <w:t xml:space="preserve">Vínculos cruzados: Ana Botín es consejera de The Coca-Cola Company y Sol Daurella (independiente) preside Coca-Cola Europacific Partners [18].</w:t>
      </w:r>
    </w:p>
    <w:p>
      <w:pPr>
        <w:pStyle w:val="ListParagraph"/>
        <w:numPr>
          <w:ilvl w:val="0"/>
          <w:numId w:val="2"/>
        </w:numPr>
        <w:spacing w:after="60"/>
      </w:pPr>
      <w:r>
        <w:t xml:space="preserve">Luis Isasi figura como «otro externo» porque cobra 1,0 M € como presidente no ejecutivo de Santander España [18].</w:t>
      </w:r>
    </w:p>
    <w:p>
      <w:pPr>
        <w:pStyle w:val="ListParagraph"/>
        <w:numPr>
          <w:ilvl w:val="0"/>
          <w:numId w:val="2"/>
        </w:numPr>
        <w:spacing w:after="60"/>
      </w:pPr>
      <w:r>
        <w:t xml:space="preserve">CET1 del 12,7 % a sep-2026, por debajo del rango objetivo (12,8-13 %) tras Webster [4].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(sin las compras): ingresos +MSD y costes a la baja en euros constantes, beneficio por encima de 14.100 M y CET1 del 12,8-13 % a fin de año; plan de 2028: RoTE &gt; 20 %, beneficio &gt; 20.000 M, eficiencia ≈ 36 %, BPA con crecimiento de doble dígito y reparto del 50 % del beneficio ordinario [3, 4]. El 28-oct, con el 3T26, el banco dijo ir «holgadamente» camino de cumplir todos los objetivos de 2026 y reiteró el plan de 2028 [4]. Próximos resultados (4T26 y año): principios de febrero de 2027 (fecha sin confirmar; el 4T25 se publicó el 3-feb-2026).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16 analistas, 30-oct-2026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18 analistas, 30-oct-2026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11,30 – 15,30</w:t>
            </w:r>
          </w:p>
        </w:tc>
      </w:tr>
    </w:tbl>
    <w:p>
      <w:pPr>
        <w:spacing w:after="160" w:before="0"/>
      </w:pPr>
    </w:p>
    <w:p>
      <w:pPr>
        <w:pStyle w:val="Heading2"/>
      </w:pPr>
      <w:r>
        <w:t xml:space="preserve">Revisiones de estimaciones</w:t>
      </w:r>
    </w:p>
    <w:p>
      <w:pPr>
        <w:spacing w:after="100"/>
      </w:pPr>
      <w:r>
        <w:t xml:space="preserve">El BPA de 2026 del consenso apenas cambia en 90 días (1.04 → 1.04 €) y el de 2027 sube un poco (1.24 → 1.25) [26]. El BPA del 4T26 esperado es de 0.26 € (3 analistas; 0.26 hace 90 días). El 3T26 (0,26 € ordinario) superó el consenso en ≈ 2 céntimos. Recomendaciones: 6 compra fuerte, 10 comprar y 5 mantener; objetivo medio de 13.77 € (21 analistas, 11.3-15.3; 13,85 € el 27-oct) [26]. En el ADS, objetivo medio de 14.56 USD. Tras el 3T26, RBC reiteró «comprar» y AlphaValue/Baader subió a «añadir» [39]; Jefferies mantiene «Mantener» desde su rebaja del 26-oct y Erste rebajó el 30-oct [39].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ganado un 26,3 % anual a 5 años en precio frente al 15,8 % del IBEX 35 y el 20,7 % de la banca europea (EXV1) [25]; en 2025 subió un 125,6 % (de 4,46 a 10,07 €) con el RoTE al 16 % y las recompras, y en 2026 va en +4,4 % (máximo de 13,12 € el 13-ago; −20 % desde entonces) [25]. Beta mensual a 5 años de 1,20 frente al STOXX 600 (1,41 semanal) [25]. Rentabilidades de precio, sin dividendos (el IBEX y el STOXX no los llevan).</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 / -19,5 % / -3,9 % / +15,5 %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 / +15,9 %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beneficio ordinario superó el consenso (3.848 M frente a ≈ 3.750 M), pero los ingresos quedaron ≈ 370 M por debajo de lo esperado y el margen de intereses en 11.830 M estatutarios frente a ≈ 12.000 M previstos; provisiones +22 % por Argentina; Brasil −15 % en euros con un coste del riesgo del 4,25 % (Santander Brasil −28 % en reales); CET1 del 12,7 % tras Webster, por debajo del rango de 12,8-13 % [36, 37, 40]. Fue propio del banco: el EURO STOXX Banks solo cedía un 0,6 %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29-30-oct-2026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29-oct −1,2 %: la acción cotiza sin el dividendo a cuenta de 0,127 € (≈ −1,2 %), así que en la práctica se quedó plana; 30-oct ≈ −3 % a mediodía (10,17 €) (Erste Group rebajó la recomendación; sin otra causa confirmada en la prensa leída [39]) [10,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Reelección de Lula (25-oct): la banca brasileña cayó entre un 13 % y un 31 % en B3 y el real se depreció ≈ 7-9 % frente al euro [35]. Brasil pesa el 14 % del beneficio ordinario: la conversión a euros y una Selic alta más tiempo restan, y la oferta por Santander Brasil sube la exposición.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banca europea antes de los resultados del 3T26 y en la recta final de la campaña de Brasil (sin una causa propia localizada en las fuentes leídas)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bono español a 10 años (3,79 % → 4,17 % en un mes), temor a menos demanda de crédito y la primera vuelta en Brasil del 4-oct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sesiones de −4,8 % y −6,4 % (sin causa propia localizada en las fuentes leídas; caída general de la banca)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2026 (+17,8 % en un mes al 7-jul)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tras marzo y antes de un 2T26 récord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beneficio ordinario récord de 3.848 M (+19 %), RoTE ordinario del 16,8 % en el trimestre, CET1 del 12,7 % tras Webster; objetivos de 2026 y 2028 reiterados [4]. La acción cayó un 5,6 % ese 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1.825 M (150,6 M de acciones, ≈ 1,03 % del capital, a amortizar)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día con derecho al dividendo a cuenta de 0,127 € (ex el 29-oct, pago el 2-nov)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Webster: 329,8 M de acciones nuevas (2,2 %) y ≈ −150 p.b. de CET1 [32,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por el ≈ 10 % de Santander Brasil (hasta el 1,1 % del capital de SAN; registrada el 21-sep; cierre esperado en el 1S27)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Reelección de Lula en Brasil: bono a 10 años en reales del 12,98 % al 15,44 % el 26-oct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14 % en un mes y un 20 % desde el máximo de agosto: bono español al alza, la reelección de Lula (26-oct) y la reacción a un 3T26 con más beneficio pero peor calidad (ingresos y margen de intereses por debajo de lo esperado, Brasil, Argentina y un CET1 del 12,7 %) [15, 17, 35, 36, 37]. Lo de Brasil afecta al 13 % del beneficio y al Ke (la prima de Brasil sube); el informe lo recoge en la sensibilidad del Ke (12,16 % con la prima de Brasil subida como su bono). Ninguna noticia cambia la conclusión, que ya es «no comprar» por calidad; la caída acerca el precio al valor intrínseco, pero no cambia la calidad. Próximos resultados en febrero de 2027.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Cierre de SAN en Madrid (Yahoo) [25]. La historia que decide la regla a 12 meses es la del PER adelantado con el BPA ordinario (precio ÷ BPA del año siguiente): 5,4x (2020), 5,4x (2021), 4,3x (2022), 4,9x (2023), 5,3x (2024) y 10,0x (2025, sobre nuestro 2026e de 1,01). Hoy cotiza a ≈ 9,0x el BPA de 2027e y a 1,78 veces el valor tangible de septiembre: casi el doble de su múltiplo de 2020-2024, cuando la banca europea cotizaba con tipos negativos o cero.</w:t>
      </w:r>
    </w:p>
    <w:p>
      <w:pPr>
        <w:pStyle w:val="Heading1"/>
      </w:pPr>
      <w:r>
        <w:t xml:space="preserve">18. Comparables cotizados</w:t>
      </w:r>
    </w:p>
    <w:p>
      <w:pPr>
        <w:pStyle w:val="Confianza"/>
        <w:spacing w:after="100"/>
      </w:pPr>
      <w:r>
        <w:t xml:space="preserve">Confianza: Media</w:t>
      </w:r>
    </w:p>
    <w:p>
      <w:pPr>
        <w:spacing w:after="100"/>
      </w:pPr>
      <w:r>
        <w:t xml:space="preserve">Bancos cotizados de España, la zona euro y el Reino Unido con datos de Yahoo del 30-oct-2026 [26]. Para bancos solo tienen sentido el PER, el P/VC y el ROE: EV/EBITDA, margen EBITDA, DN/EBITDA y FCF quedan vacíos; el campo «ROIC» lleva el ROE. Los británicos cotizan en peniques: sin capitalización en euros (no se convierte). Mediana del PER adelantado: 9,1x.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Santander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BBVA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CaixaBank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Sabadell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Bankinter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Unicaja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BNP Paribas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UniCredit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Intesa Sanpaolo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HSBC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Lloyds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NatWest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4"/>
        <w:gridCol w:w="1056"/>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 / 9,1x / 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spacing w:after="100"/>
      </w:pPr>
      <w:r>
        <w:t xml:space="preserve">Santander cotiza a 8.1x el BPA adelantado de Yahoo y a 1.45x el valor contable (ROE del 13.1 %) [26]. Está algo por debajo de la mediana de los trece (9,1x) y de los españoles domésticos (BBVA 9.1x, CaixaBank 10.4x, Bankinter 9.6x), que tienen más ROE (16-19 %) y menos América Latina, y por encima de BNP (6.5x) y Barclays (6.6x). Frente a sus pares no está caro para su ROE; frente a su coste del capital con la prima por país (RoTE − Ke ≈ 4,2 en 9M26), sí.</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Webster Financial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10.724</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+ 2,0548 ADS por acción; contraprestación final de 12.509 M USD (10.724 M €; 65 % en efectivo y 35 % en acciones) [1]; ≈ 1,95 veces su valor tangible (38,81 USD); ROATCE de Webster del 16,7 % [10, A11]. −147 p.b. de CET1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TSB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(a Banco Sabadell)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30-abr-2026; −55 p.b. de CET1; ≥ 400 M £ de sinergias de costes [1,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Santander Brasil (≈ 10 %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(canje por acciones propias)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0,4056 acciones SAN por unit; ≈ 1,1 veces el valor contable de la filial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Bank Polska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(venta)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9-ene-2026; plusvalía neta de 1.895 M; ≈ 50 % del capital liberado a recompras (3.200 M) [4].</w:t>
            </w:r>
          </w:p>
        </w:tc>
      </w:tr>
    </w:tbl>
    <w:p>
      <w:pPr>
        <w:spacing w:after="160" w:before="0"/>
      </w:pPr>
    </w:p>
    <w:p>
      <w:pPr>
        <w:spacing w:after="160" w:before="0"/>
      </w:pPr>
    </w:p>
    <w:p>
      <w:pPr>
        <w:spacing w:after="100"/>
      </w:pPr>
      <w:r>
        <w:t xml:space="preserve">Las operaciones del año son del propio Santander: compra bancos con fondo de comercio (Webster a ≈ 1,95 veces su valor tangible) y vende Polonia con plusvalía. No dan un múltiplo de control para valorar al grupo: peso 0 en el valor intrínseco.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crecen como el patrimonio tangible y el balance: 7 % en 2026e-2027e (TSB y Webster entran en el perímetro; crédito +9 % en euros constantes, +5 % sin TSB [4]), 6-6,5 % en 2028e-2029e y bajan al 3 % en 2035e, el terminal nominal en euros. Es la misma senda del modelo de exceso de rentabilidad [54].</w:t>
      </w:r>
    </w:p>
    <w:p>
      <w:pPr>
        <w:keepNext/>
        <w:spacing w:after="100"/>
      </w:pPr>
      <w:r>
        <w:rPr>
          <w:b/>
          <w:bCs/>
        </w:rPr>
        <w:t xml:space="preserve">Márgenes.</w:t>
      </w:r>
    </w:p>
    <w:p>
      <w:pPr>
        <w:spacing w:after="100"/>
      </w:pPr>
      <w:r>
        <w:t xml:space="preserve">«Margen EBITDA» = beneficio antes de impuestos sobre ingresos, calibrado para que el beneficio después de impuestos sea el RoTE del caso base por el patrimonio tangible: RoTE del 16,5 % en el primer año (16,0 % en 9M26 y 16,8 % en el 3T26) que sube al 17,5-18 % con las sinergias de TSB y Webster y la eficiencia (42,6 % → ≈ 36 % de objetivo [3]), sin llegar al &gt; 20 % del plan de 2028, y vuelve al 16,5 % a largo plazo.</w:t>
      </w:r>
    </w:p>
    <w:p>
      <w:pPr>
        <w:keepNext/>
        <w:spacing w:after="100"/>
      </w:pPr>
      <w:r>
        <w:rPr>
          <w:b/>
          <w:bCs/>
        </w:rPr>
        <w:t xml:space="preserve">Inversión y circulante.</w:t>
      </w:r>
    </w:p>
    <w:p>
      <w:pPr>
        <w:spacing w:after="100"/>
      </w:pPr>
      <w:r>
        <w:t xml:space="preserve">«Capex» = retención: lo que el banco guarda para que el capital crezca con los activos ponderados por riesgo y el CET1 se quede en el 12,8-13 %: g × 1,98 ÷ (1 + g) de los ingresos. Amortización y circulante 0. El flujo que queda es lo que puede repartir (dividendo + recompras).</w:t>
      </w:r>
    </w:p>
    <w:p>
      <w:pPr>
        <w:keepNext/>
        <w:spacing w:after="100"/>
      </w:pPr>
      <w:r>
        <w:rPr>
          <w:b/>
          <w:bCs/>
        </w:rPr>
        <w:t xml:space="preserve">Coste del capital.</w:t>
      </w:r>
    </w:p>
    <w:p>
      <w:pPr>
        <w:spacing w:after="100"/>
      </w:pPr>
      <w:r>
        <w:t xml:space="preserve">WACC = Ke en euros: Bund a 10 años del 3,42 % (Bundesbank, 29-oct-2026 [27]) + beta 1,20 (medida: mensual a 5 años frente al STOXX 600 [25]; 1,24 el 27-oct) × 5,5 % + prima por riesgo país de 1,81 puntos, ponderada por el peso de cada país en el beneficio ordinario de 9M26 con las primas por país de Damodaran (España 1,55, Reino Unido 0,78, EE. UU. 0,23, México 2,46, Brasil 3,24, Chile 1,10, Argentina 9,71 [29]) = 11,83 % (12,06 % el 27-oct). Peso de la deuda 0. Sensibilidad: sin prima país, 10,02 %; con la prima de mercado de Damodaran (4,2 % [28]), 10,27 %; con beta 1,0, 10,73 %; con la prima de Brasil subida como su bono el 26-oct, 12,16 % [54].</w:t>
      </w:r>
    </w:p>
    <w:p>
      <w:pPr>
        <w:keepNext/>
        <w:spacing w:after="100"/>
      </w:pPr>
      <w:r>
        <w:rPr>
          <w:b/>
          <w:bCs/>
        </w:rPr>
        <w:t xml:space="preserve">Valor terminal.</w:t>
      </w:r>
    </w:p>
    <w:p>
      <w:pPr>
        <w:spacing w:after="100"/>
      </w:pPr>
      <w:r>
        <w:t xml:space="preserve">Gordon al 3,0 % nominal en euros: inflación objetivo del BCE (2 %) + 1 real. Pesa el 50 % del valor en el DCF adaptado; el RoTE terminal (16,5 %) sigue por encima del Ke, así que el terminal suma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55.750 M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(ROIC 12,2 %)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frente al 5,2 %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(histórico: 31,5 %)</w:t>
            </w:r>
          </w:p>
        </w:tc>
      </w:tr>
    </w:tbl>
    <w:p>
      <w:pPr>
        <w:spacing w:after="160" w:before="0"/>
      </w:pPr>
    </w:p>
    <w:p>
      <w:pPr>
        <w:spacing w:after="100"/>
      </w:pPr>
      <w:r>
        <w:t xml:space="preserve">La proyección reinvierte el 29 % del NOPAT. Con el ROIC del último ejercicio (12,2 %), eso financia un crecimiento del 3,6 % anual, frente al 5,2 % de ingresos proyectado. Supone que el capital nuevo rinde un 16,2 %, frente a un ROIC incremental histórico del 31,5 %.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(crédito +9 % en euros constantes con TSB; +5 % sin TSB [4]); precio +1 % (margen de intereses +7 % con volúmenes y gestión del balance).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Webster (≈ 50.000 M € de crédito y ≈ 62.000 M € de depósitos [1]) un año entero;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+5,5 %: crecimiento orgánico de un dígito medio, como pide el plan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+4,5 %: converge al crecimiento nominal de sus economías en euros.</w:t>
            </w:r>
          </w:p>
        </w:tc>
      </w:tr>
    </w:tbl>
    <w:p>
      <w:pPr>
        <w:spacing w:after="160" w:before="0"/>
      </w:pPr>
    </w:p>
    <w:p>
      <w:pPr>
        <w:spacing w:after="100"/>
      </w:pPr>
      <w:r>
        <w:t xml:space="preserve">El crecimiento del 5-7 % es financiable: con un RoTE del 16-18 % el banco retiene la mitad y reparte la otra mitad, como hace hoy [10]. El motor da «En parte» porque mide con el ROIC NIIF de su cuenta adaptada frente al WACC. La conclusión que importa: con el Ke de hoy (11,83 %), crecer crea poco valor (RoTE − Ke ≈ 4,2 puntos en 9M26), menos del que pide el método para comprar.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43,3 % (base: 43,5 %)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 (WACC: 11,8 %)</w:t>
            </w:r>
          </w:p>
        </w:tc>
      </w:tr>
    </w:tbl>
    <w:p>
      <w:pPr>
        <w:spacing w:after="160" w:before="0"/>
      </w:pPr>
    </w:p>
    <w:p>
      <w:pPr>
        <w:spacing w:after="100"/>
      </w:pPr>
      <w:r>
        <w:t xml:space="preserve">El DCF adaptado (flujo para el accionista) da 10,58 € por acción en el base, un 0,6 % por encima del precio, algo por encima del modelo de exceso de rentabilidad (9,97; ponderado 9,82). El DCF inverso dice que el precio descuenta una rentabilidad anual del 11,9 %, casi igual al Ke (11,83 %), o un crecimiento del 5,1 % anual frente al 5,2 % del base. El modelo bancario pide un Ke del 11,4 % para igualar el precio: el mercado cobra ya casi toda la prima por América Latina; tras la caída de octubre (−20 % desde agosto) el precio está cerca del valor [54]. EV/EBITDA, deuda neta/EBITDA, ROIC, Altman Z y Piotroski no significan nada en un banco y no se usan.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del riesgo sube en Brasil y México tras el 26-oct y en el consumo en EE. UU., Argentina no baja del 10 %, el BCE y el Banco de Inglaterra bajan tipos y la integración de TSB y Webster se retrasa: RoTE del 13-15 % y balance 1,5 puntos más lento.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RoTE ordinario del 16,5 % en el primer año (16,8 % en el 3T26) que sube al 17,5-18 % con las sinergias y la eficiencia, sin llegar al &gt; 20 % del plan; capital tangible por acción +6-7 % que baja al 3 %; CET1 en el 12,8-13 % y reparto del 50 %.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el plan de 2028 (RoTE &gt; 20 %, beneficio &gt; 20.000 M, eficiencia ≈ 36 %) y el RoTE se queda en el 18-20 %.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10,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10,35 EUR (-1,5 %).</w:t>
      </w:r>
    </w:p>
    <w:p>
      <w:pPr>
        <w:spacing w:after="100"/>
      </w:pPr>
      <w:r>
        <w:t xml:space="preserve">Los tres escenarios del DCF adaptado (bajista 6,59, base 10,58 y alcista 13,63 €) cuadran con los del modelo de exceso de rentabilidad (7,46, 9,97 y 11,89) [54]. Solo el alcista (el plan de 2028 cumplido) supera con claridad el precio. La clave es el Ke: sin la prima país, el base vale 12,79 € y el ponderado 12,60, por encima del precio.</w:t>
      </w:r>
    </w:p>
    <w:p>
      <w:pPr>
        <w:pStyle w:val="Heading1"/>
      </w:pPr>
      <w:r>
        <w:t xml:space="preserve">22. Suma de partes</w:t>
      </w:r>
    </w:p>
    <w:p>
      <w:pPr>
        <w:pStyle w:val="Confianza"/>
        <w:spacing w:after="100"/>
      </w:pPr>
      <w:r>
        <w:t xml:space="preserve">Confianza: Media</w:t>
      </w:r>
    </w:p>
    <w:p>
      <w:pPr>
        <w:spacing w:after="100"/>
      </w:pPr>
      <w:r>
        <w:t xml:space="preserve">No es una suma de partes: es el vehículo para que el valor del modelo de exceso de rentabilidad sea el valor intrínseco del motor. Una sola «parte», el banco entero, con valor directo = 9,82 € ponderados × 14.406 M de acciones = 141.467 M (patrimonio, no valor empresa; el puente es 0). Detalle y tablas en valoracion-banco.md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5"/>
        <w:gridCol w:w="164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Banco entero: modelo de exceso de rentabilidad sobre el valor tangible (residual income), ponderado 25/50/25</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por acción × acciones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141.467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 valor contable tangible por acción (5,92 € a 30-sep-2026, publicado, ya con Webster y neto del dividendo a cuenta) + valor actual de (RoTE − Ke) × VTC de los 10 años siguientes + terminal, con Ke del 11,83 % (Bund 3,42 % + 1,2 × 5,5 % + prima país ponderada 1,81 %) y crecimiento terminal del 3 %; llevado al 29-oct. Bajista 7,46, base 9,97 y alcista 11,89 €; ponderado 9,82 € × 14.406 M de acciones = 141.467 M. Es patrimonio, no valor empresa: el puente es 0. Detalle en valoracion-banco.md [54].</w:t>
            </w:r>
          </w:p>
        </w:tc>
      </w:tr>
    </w:tbl>
    <w:p>
      <w:pPr>
        <w:spacing w:after="160" w:before="0"/>
      </w:pPr>
    </w:p>
    <w:p>
      <w:pPr>
        <w:spacing w:after="100"/>
      </w:pPr>
      <w:r>
        <w:rPr>
          <w:b/>
          <w:bCs/>
        </w:rPr>
        <w:t xml:space="preserve">Valor por acción por suma de partes:</w:t>
      </w:r>
      <w:r>
        <w:t xml:space="preserve"> 9,82 (-6,6 %); con ±1x en los múltiplos, 8,35 – 11,29.</w:t>
      </w: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10,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spacing w:after="100"/>
      </w:pPr>
      <w:r>
        <w:rPr>
          <w:b/>
          <w:bCs/>
        </w:rPr>
        <w:t xml:space="preserve">Valor intrínseco ponderado (largo plazo):</w:t>
      </w:r>
      <w:r>
        <w:t xml:space="preserve"> 9,82 EUR (-6,6 % sobre 10,51).</w:t>
      </w:r>
    </w:p>
    <w:p>
      <w:pPr>
        <w:spacing w:after="100"/>
      </w:pPr>
      <w:r>
        <w:t xml:space="preserve">Pesos: modelo de exceso de rentabilidad 100 % (vía suma de partes); DCF adaptado, comparables y transacciones 0. El DCF adaptado solo comprueba el modelo (10,58 frente a 9,97 €). Los comparables por P/VC (bancos europeos de 0,8 a 2,2 veces según ROE; Santander a 1,45 el contable y 1,78 el tangible de septiembre) y por PER (9,1 veces de mediana [26]) entran en la regla a 12 meses, no en el valor intrínseco. El valor intrínseco depende de la prima país: con ella, 9,82 € ponderados; sin ella, 12,60; con la prima de Brasil subida tras el 26-oct, 9,58 (base). El precio pide un Ke del 11,4 % [54].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(9x) ÷ 1.1 (tope: la mediana de 5 años, 5.3x,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spacing w:after="100"/>
      </w:pPr>
      <w:r>
        <w:rPr>
          <w:b/>
          <w:bCs/>
        </w:rPr>
        <w:t xml:space="preserve">Objetivo a 12 meses (ponderado):</w:t>
      </w:r>
      <w:r>
        <w:t xml:space="preserve"> 9,63 EUR · rentabilidad -6,1 % (base +2,2 %) · señal Mantener.</w:t>
      </w:r>
    </w:p>
    <w:p>
      <w:pPr>
        <w:spacing w:after="100"/>
      </w:pPr>
      <w:r>
        <w:t xml:space="preserve">Para comparar, con la regla v2 (historia al cierre, mismo precio): 5,2x / 5,8x / 7,5x, -23,9 % Vender; con el tope anterior del base (×1,3, 14-oct mediodía): -14,1 %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ordinario de 2026e (1,01 €) queda un 3 % por debajo del consenso (1,04) y el de 2027e un 6 % (1,17 frente a 1,25); el consenso apenas se ha movido en 90 días ni tras el 3T26 [26]. El objetivo medio de los analistas (13,77 €, de 11,30 a 15,30, 16 de 21 en comprar) queda un 31 % por encima de nuestro base a 12 meses (10,50): los analistas aplican el PER de los comparables (≈ 9-10 veces) a un BPA mayor; la regla del método tira del PER hacia su historia de 4-5 veces.</w:t>
      </w:r>
    </w:p>
    <w:p>
      <w:pPr>
        <w:keepNext/>
        <w:spacing w:after="100"/>
      </w:pPr>
      <w:r>
        <w:rPr>
          <w:b/>
          <w:bCs/>
        </w:rPr>
        <w:t xml:space="preserve">Del valor intrínseco al objetivo a 12 meses.</w:t>
      </w:r>
    </w:p>
    <w:p>
      <w:pPr>
        <w:spacing w:after="100"/>
      </w:pPr>
      <w:r>
        <w:t xml:space="preserve">La regla a 12 meses (v3) da 9,63 € ponderado, un −6,1 % con el dividendo (+2,2 % en el base): ni Comprar (≥ 15 %) ni el filtro de mantener (ponderada ≥ 10 % y base ≥ 5 %; para quien la tiene, se cumple solo por debajo de 8,97 €); la banda Vender de la regla (ponderada ≤ −10 %) empieza por encima de 10,97 €. El valor intrínseco (9,82 €) está un 6,6 % por debajo del precio. </w:t>
      </w:r>
      <w:r>
        <w:rPr>
          <w:b/>
        </w:rPr>
        <w:t xml:space="preserve">La cifra no es fiable para dar una señal</w:t>
      </w:r>
      <w:r>
        <w:t xml:space="preserve">: la historia de PER adelantado (4,3-5,4 veces en 2020-2024) es la de la banca europea con tipos negativos o cero; el sector se ha revalorizado al doble (mediana de los comparables 9,0 veces) y la regla, sin selector para este caso, lleva el bajista a 4,3 veces (−60 %). Con el bajista en base × 0,80 (sin doble castigo), la ponderada sería −0,4 %: tampoco llegaría al filtro de mantener ni a Comprar. La conclusión que sí es firme no viene de la regla sino de la calidad: con la prima país, el RoTE − Ke (4,2 en 9M26) no llega a 4,5 [54].</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fiscal del nuevo Gobierno de Brasil y Copom de diciembre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real y la Selic (13 % del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(4T26) y propuesta de remuneración con cargo al 2S26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RoTE ordinario del año frente al ≈ 16,3 % que haría pasar la calidad; primer trimestre entero con Webster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para la ampliación y cierre de la oferta de canje por Santander Brasil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 151 M de acciones nuevas (1,05 %); BPA +0,6 %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requisitos SREP: P2R del 1,65 % (1,74 %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más de colchón sobre el MDA (254 p.b.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2028 (RoTE &gt; 20 %, beneficio &gt; 20.000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se cumple, la calidad pasa con holgura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 Latina: Brasil tras la reelección de Lula (Selic alta, real débil, coste del riesgo del 4,25 %; Santander Brasil por debajo del consenso en el 3T26) y Argentina (coste del riesgo del 10,8 %)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del valor por cada 0,3 puntos de Ke; un punto más de coste del riesgo en Brasil ≈ −4 % del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ningún país supera un tercio del beneficio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simultánea de TSB y Webster (sinergias, costes de integración: −666 M en 9M26, fondo de comercio)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el RoTE del Reino Unido y EE. UU. no sube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donde ya opera; ≥ 400 M £ de sinergias de costes de TSB comprometidas; objetivo de RoTE ≈ 18 % en EE. UU. en 2028 [3,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CET1 del 12,7 % tras Webster, por debajo del objetivo de fin de año (12,8-13 %)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si no llega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p.b. de generación orgánica neta por trimestre; distancia al MDA de 254 p.b.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en Europa o impuestos a la banca más altos en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(+9 %) y volúmenes; el BCE subió en septiembre [15].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automóviles en el Reino Unido (remediación de la FCA)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245 M brutos ya provisionados en 9M26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(los bancos digitales y las tecnológicas automatizan crédito, pagos y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común (Gravity) y 194 M de valor de negocio por IA en 9M26 [4].</w:t>
            </w:r>
          </w:p>
        </w:tc>
      </w:tr>
    </w:tbl>
    <w:p>
      <w:pPr>
        <w:spacing w:after="160" w:before="0"/>
      </w:pPr>
    </w:p>
    <w:p>
      <w:pPr>
        <w:pStyle w:val="Heading2"/>
      </w:pPr>
      <w:r>
        <w:t xml:space="preserve">Pre-mortem</w:t>
      </w:r>
    </w:p>
    <w:p>
      <w:pPr>
        <w:spacing w:after="100"/>
      </w:pPr>
      <w:r>
        <w:t xml:space="preserve">Octubre de 2027: Brasil entró en recesión con la Selic por encima del 14 %, el coste del riesgo de la filial pasó del 5 % y el real cayó otro 15 %; Argentina siguió con un coste del riesgo de dos dígitos; el BCE bajó tipos y la integración de Webster costó más de lo previsto. El RoTE se quedó en el 14 %, el mercado volvió a pagar 1,3 veces el valor tangible y la acción bajó a ≈ 8 €.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abarata la atención, el análisis de crédito y los procesos (194 M de valor de negocio en 9M26 según el banco), y Santander la aplica a escala con una plataforma común; también baja la barrera de entrada de bancos digitales y tecnológicas en consumo y pagos. Efecto neto pequeño a 3-5 años.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conducta con clientes (financiación de automóviles en el Reino Unido) y el riesgo de crédito climático; no se ha encontrado una cifra que mueva la valoración [3].</w:t>
      </w:r>
    </w:p>
    <w:p>
      <w:pPr>
        <w:pStyle w:val="Heading2"/>
      </w:pPr>
      <w:r>
        <w:t xml:space="preserve">Controversias</w:t>
      </w:r>
    </w:p>
    <w:p>
      <w:pPr>
        <w:spacing w:after="100"/>
      </w:pPr>
      <w:r>
        <w:t xml:space="preserve">Provisiones por la remediación de la financiación de automóviles en el Reino Unido (245 M brutos en 9M26) [3]; expediente de la CNMC sin cifras en la prensa leída [16].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Webster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fondo de comercio e intangibles dejó Webster en el balance (asignación del precio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bajada del TNAV de 6,32 a 5,92 € y el RoE.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del beneficio del grupo al real y a la Selic da la dirección tras el 26-oct?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13 % del beneficio y sube la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RoTE &gt; 20 % viene de costes, de sinergias y de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capital sobrante prevé repartir al final de 2028 con el CET1 en el 12,8-13 %?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parte de la rentabilidad del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Argentina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baja el coste del riesgo del 10,8 %?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casi toda la subida de dotaciones.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«Banco Santander (SAN)», últimas páginas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y mucha noticia copiada. Del 26 al 30-oct hay ironía sobre Brasil tras ganar Lula y arrepentimiento por haber recomprado acciones casi en máximos. Un forero esperaba la caída tras resultados y la ve normal mientras la acción aguante los 10 € [49,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«Banco Santander (SAN)»,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 la cautela. La acción se ve razonablemente valorada, pero con poco recorrido y menos margen de seguridad en el múltiplo. Preocupan Brasil antes de las elecciones (la rebaja de Jefferies se lee como precio del riesgo brasileño), la presión de la IA y los neobancos sobre comisiones y la cartera de deuda; las recompras se celebran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«Banco Santander (SAN)», julio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constructivo: banca española apoyada en los tipos y la morosidad contenida, rotación de capital desde tecnológicas, recompra vista como señal de confianza y buena acogida de los resultados semestrales. Una voz avisa de que quien entra ahora tiene menos margen de seguridad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$SAN (ADS en la NYSE)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agosto a septiembre dominan los mensajes de máximos de 52 semanas y de «risk on» en la banca europea. Desde el 28-oct aparecen mensajes que dan por acabado el tramo alcista y hablan de «caída libre» de la matriz y de la filial brasileña, frente a algunos alcistas que defienden el beneficio récord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análisis de autores sobre SAN (titulares; comentarios de pago)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agosto, un autor rebaja la recomendación porque ve agotarse la subida; en septiembre, otro la presenta como un gigante de RoTE alto que el mercado no ve. Tras los resultados, la nota del portal titula que la acción baja por deterioros y costes de integración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tras la victoria de Lula: tipos, morosidad y peso en el grupo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la preocupación. En el 3T, Brasil ganó un 15 % menos en euros, con provisiones +23 % y un coste del riesgo del 4,25 %; la filial local cayó un 28 % y quedó por debajo de lo previsto; Citi sitúa a Brasil en ≈15 % del beneficio del grupo [36, 43, 44, 46].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hechas casi en máximos y retribución futura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Santander terminó la recompra de 1.825 M € con una reducción de capital del ≈1,03 % [49]. Con el CET1 en el 12,7 %, por debajo del rango de 12,8-13 % que el banco reafirmó, el margen para nuevas recompras a corto plazo es menor, y el foro intuye eso aunque no lo cuantifica [36,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margen de seguridad después de la subida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prudencia de septiembre se ha cumplido en precio: la acción cede ≈19,5 % en tres meses y ≈21,5 % desde máximos de 52 semanas (datos de bolsa del informe). El foro no ha pasado a capitular.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sobre el margen de intereses (bajada de tipos, IA y neobancos en comisiones)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intereses del 3T (11.830 M €) quedó por debajo del consenso de unos 12.000 M €, aunque las comisiones crecieron un 11 % [36, 43]. La preocupación por el margen tiene base; la de las comisiones, de momento no.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Corrección técnica con soporte en 10 €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cerró el 30-oct en ≈10,2 €, ya sobre el soporte que citaba el foro. Parte de la caída del 29-oct es el descuento del dividendo de 0,127 €, que el foro no menciona.</w:t>
            </w:r>
          </w:p>
        </w:tc>
      </w:tr>
    </w:tbl>
    <w:p>
      <w:pPr>
        <w:spacing w:after="160" w:before="0"/>
      </w:pPr>
    </w:p>
    <w:p>
      <w:pPr>
        <w:spacing w:after="100"/>
      </w:pPr>
      <w:r>
        <w:t xml:space="preserve">El particular español sigue a Santander con poco debate propio, y ese debate ha pasado de la complacencia de julio a una cautela con algo de arrepentimiento. No hay euforia ni capitulación: el foro ve la caída como una corrección mientras la acción aguante los 10 € [49]. Su gran preocupación, Brasil tras la victoria de Lula, es la misma que señalan Citi, JP Morgan y UBS, y los datos del 3T la confirman [36, 42]. Lo que el foro apenas ve es el capital: con el CET1 en el 12,7 %, por debajo del rango objetivo, el ritmo de recompras queda en duda, y fue un motivo central de la reacción del mercado [36, 42]. El sentimiento va algo en contra de la tesis alcista de AlphaValue y RBC, pero no es extremo, así que no da señal contraria.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25 controles correctos y 4 explicados. Fuentes: 54 (27 primarias); citas distintas en el texto: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-1.058 (¿operaciones interrumpidas?). Explicación: En 2023-2025 la diferencia es el resultado de actividades interrumpidas (Polonia, vendida a Erste en enero de 2026): 1.542 M en 2025 [2]. El ESEF de 2025 reexpresa 2023 y 2024 con Polonia fuera del BAI.</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-1.241 (¿operaciones interrumpidas?). Explicación: En 2023-2025 la diferencia es el resultado de actividades interrumpidas (Polonia, vendida a Erste en enero de 2026): 1.542 M en 2025 [2]. El ESEF de 2025 reexpresa 2023 y 2024 con Polonia fuera del BAI.</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0,83 calculado frente a 0,77 publicado (con convertibles, el BPA diluido publicado ajusta el numerador: explícalo si la diferencia viene de ahí). Explicación: El BPA publicado descuenta los cupones de los AT1 (≈ 600-750 M al año) y usa acciones medias, no las de cierre: 0,77 € publicado en 2024 frente a 0,83 con las acciones de cierre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-1.542 (¿operaciones interrumpidas?). Explicación: En 2023-2025 la diferencia es el resultado de actividades interrumpidas (Polonia, vendida a Erste en enero de 2026): 1.542 M en 2025 [2]. El ESEF de 2025 reexpresa 2023 y 2024 con Polonia fuera del BAI.</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16,2 % frente a un ROIC de 12,2 % y un incremental histórico de 31,5 %: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21, 22, 34, 41, 45, 47,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ordinaria trimestral de 2025 (1T25-4T25) reexpresada sin Polonia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del 2T26 (solo 1T26, 2T26, 1S25 y 2025); 2) presentación del 2T26 (gráficos sin tabla); 3) 6-K de reexpresión del 1-abr-2026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ESEF 2021 y 2023 (concepto no etiquetado en esos años); 2) informe anual (no leído);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relevante y su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(cuotas por país sin tamaño total); 2) BCE y bancos centrales (diez países en distintas divisas: no suman); 3) sin ficha de sector de banca en sectores/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(no las da); 2) web de accionistas (bloqueada por Incapsula);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 voto_remuneracion_contra_pct (junta del 27-mar-2026: política 2026-2028 e informe de remuneraciones; reelecciones)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«acuerdos adoptados y votación» en santander.com con descargar.mjs y WebFetch (Incapsula devuelve una página vacía); 2) 6-K de acuerdos de la junta del 27-mar-2026 (certifica los acuerdos, sin porcentajes); 3) prensa (Bolsamanía, 27-mar-2026: aprobados,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juntas de 2024 y 2025 (el peor voto, 25,18 % en contra de la política en 2024, está dentro de las tres últimas juntas)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Deborah Vieitas y cambios en las comisiones tras la salida de Homaira Akbari (27-mar-2026)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del 3T26 (solo el alta del 12-may-2026); 2) informe del 2T26; 3) web de gobierno corporativo (bloqueada)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comisiones a 31-dic-2025 según el 20-F</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participaciones significativas posteriores a 31-dic-2025 y autocartera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participaciones significativas de la CNMV (la página no devuelve la tabla sin navegador); 2) informes del 2T26 y del 3T26 (no mencionan a BlackRock); 3) 20-F 2025 (dato a 31-dic-2025)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dato a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la da para SAN.MC); 2) CNMV posiciones cortas (no consultada por tiempo);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TSB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del 2T26 (no da el precio); 2) nota de prensa; 3) prensa (no buscada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caída del 30-oct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«Santander acción 30 octubre 2026 cae bolsa» (sin crónica del día); 2) WebSearch de cierre del Ibex y de bancos europeos el 30-oct (solo crónicas antiguas); 3) MarketBeat y Estrategias de Inversión (solo la rebaja de Erste Group; Estrategias de Inversión da error)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(Investing.com comentarios, Reddit, Forocoches)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Comentarios de es.investing.com (error del sitio); 2) Reddit r/SpainFIRE (bloqueado); 3) foro de Estrategias de Inversión sobre la caída de Santander (error del sitio)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Artículo «High-ROTE Behemoth» (robots); 2) artículo con rebaja de agosto (robots); 3) transcripción de la conferencia del 3T (robots); solo se usan los titulares del RSS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enero-septiembre 2026 (inglés): datos clave, cuenta ordinaria y estatutaria, segmentos primarios y secundarios, capital, riesgo, TNAV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https://www.sec.gov/Archives/edgar/data/891478/000089147826000093/financieroq326ingles.htm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Informes anuales ESEF 2021-2025 (cuenta, balance y flujos consolidados NIIF;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S.A. (filings.xbrl.org, LEI 5493006QMFDDMYWIAM13)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https://filings.xbrl.org/5493006QMFDDMYWIAM13/2025-12-31/ESEF/ES/0/5493006QMFDDMYWIAM13-2025-12-31-1-es.json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3T26 (por país, capital, liquidez, calidad del crédito, objetivos de 2026 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https://www.sec.gov/Archives/edgar/data/891478/000089147826000095/q32026earningspresentati.htm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enero-septiembre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https://www.sec.gov/Archives/edgar/data/891478/000089147826000091/q32026pr.htm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Conclusión de la compra de Webster y ejecución de la ampliación de capital (329.846.438 acciones nuevas a 10,7896 €)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https://www.sec.gov/Archives/edgar/data/891478/000095010326012672/dp251664_6k.htm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programa de recompra de 5.030 M € (462.683.139 acciones, 3,08 % del capital) y reducción de capital a 14.556.482.801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https://www.sec.gov/Archives/edgar/data/891478/000095010326012763/dp252120_6k.htm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Inscripción de la ampliación de Webster: capital de 15.019.165.940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https://www.sec.gov/Archives/edgar/data/891478/000095010326013308/dp252656_6k.htm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recompra de 1.825 M € con cargo al 1S26 (inicio el 24-ago, fin indicativo el 8-ene-2027)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https://www.sec.gov/Archives/edgar/data/891478/000095010326012104/dp251544_6k.htm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programa de recompra de 1.825 M € (150.595.100 acciones, ≈ 1,03 % del capital, a amortizar)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https://www.sec.gov/Archives/edgar/data/891478/000095010326016289/dp255721_6k.htm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de 2026 de 12,7 céntimos (último día con derecho el 28-oct, pago el 2-nov) y política de remuneración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https://www.sec.gov/Archives/edgar/data/891478/000095010326014666/dp254007_6k.htm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Reports Second Quarter 2026 EPS (TBV por acción 38,81 USD; 162,0 M de acciones; ROATCE 16,7 %)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Financial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https://sec.gov/Archives/edgar/data/801337/000080133726000021/exhibit991earningsrelease2.htm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SREP del BCE para 2027: P2R del 1,65 % (1,74 % en 2026), al menos 0,93 % en CET1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https://www.sec.gov/Archives/edgar/data/891478/000095010326016265/dp255629_6k.htm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enero-junio 2026 (iteración anterior: cuenta ordinaria del 1S26 y del 2T26, segmentos del 1S)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https://www.sec.gov/Archives/edgar/data/891478/000089147826000076/financieroq226ingles.htm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bancos comparables (capitalización, ROE, P/VC, PER adelantado), 30-oct-2026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BBVA y CaixaBank afrontan octubre de 2026 con resultados, dividendos y tipos (BCE +25 p.b. en septiembre, euríbor 3,247 %)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https://es.dailyforex.com/stock-market-today/2026/10/santander-bbva-y-caixabank-afrontan-octubre-2026-con-resultados-dividendos-ytipos/250330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gana un 31,3 % más en el primer semestre por la venta de Polonia y el negocio de TSB (declaraciones de Ana Botín y Héctor Grisi)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https://www.eldebate.com/economia/20260722/santander-gana-313-primer-semestre-venta-polonia-negocio-tsb_442216.html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ante el duelo Lula-Bolsonaro: ¿qué escenario favorece más al banco? (Brasil, 16 % del beneficio de 2025 según Jefferies; sensibilidad a la Selic)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https://www.estrategiasdeinversion.com/actualidad/noticias/bolsa-espana/banco-santander-ante-el-duelo-lula-bolsonaro-que-n-957101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(informe anual 2025: gobierno corporativo, remuneraciones, accionistas, participación de consejeros y directivos a 24-feb-2026)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https://www.sec.gov/Archives/edgar/data/891478/000089147826000030/san-20251231.htm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enero-septiembre 2026: estados intermedios, nota 4 (consejeros) y recompra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https://www.sec.gov/Archives/edgar/data/891478/000089147826000098/financieroq326ingles.htm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del 27-mar-2026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https://www.sec.gov/Archives/edgar/data/891478/000095010326004735/dp244120_6k.htm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aviso de venta de David Hazell (director de cumplimiento), 13-mar-2026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https://www.sec.gov/Archives/edgar/data/891478/000095010326003735/xsl144X01/primary_doc.xml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aviso de venta de Mahesh Aditya (director de riesgos), 3-nov-2025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https://www.sec.gov/Archives/edgar/data/891478/000095010325014157/xsl144X01/primary_doc.xml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2024 (resultados de las votaciones de la junta de 2024 y respuesta a la política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https://www.sec.gov/Archives/edgar/data/891478/000089147825000054/san-20241231.htm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directivos y personas vinculadas de Banco Santander (Reglamento UE 2016/523), 4-nov-2025 a 29-oct-2026: 44 formularios leídos (notas/docs/C_cnmv_01 a 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https://www.cnmv.es/portal/consultas/directivos-resultado.aspx?nif=A39000013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(SAN.MC, ^IBEX, EXV1.DE, ^STOXX) hasta el 29-oct-2026 (bolsa.mjs) y movimiento con la sesión del 30-oct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(precio, consenso, objetivos, P/VC, ROE) de SAN.MC, SAN y comparables, 30-oct-2026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https://finance.yahoo.com/quote/SAN.MC/analysis/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del Estado alemán a 10 años (serie BBSIS D.I.ZST.ZI.EUR.S1311.B.A604.R10XX.R.A.A._Z._Z.A): 3,42 % el 29-oct-2026 (3,40 % el 30-oct)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actualización de 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anuncia su intención de lanzar una oferta de canje por las acciones de Santander Brasil (prima del 15 %, hasta 1.908 M €, hasta el 1,1 % del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https://www.sec.gov/Archives/edgar/data/891478/000095010326011481/dp250874_6k.htm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Fato relevante: registro de las ofertas en la CVM, B3 y SEC (F-4)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https://www.sec.gov/Archives/edgar/data/891478/000095010326014284/dp253665_425.htm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Aprobaciones y cierre previsto de la compra de Webster (OCC 12-jun, BCE 21-jul, Fed 4-ago; cierre el 20-ago)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https://www.sec.gov/Archives/edgar/data/891478/000095010326011921/dp250447_6k.htm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 Banco Santander: términos de la compra (75,59 USD por acción: 48,75 USD en efectivo + 2,0548 ADS; ≈ 12.300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Financial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https://www.sec.gov/Archives/edgar/data/801337/000119312526035891/d101831dex991.htm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resultados del 3T2026 (Santander el 28-oct)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https://www.estrategiasdeinversion.com/actualidad/noticias/bolsa-espana/calendario-de-resultados-del-3t2026-de-todas-las-n-959313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Santander Brasil del 27-oct-2026 (precio de SANB11, valor de canje, reacción del 26-oct)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(informes/santander-brasil-2026-10-27/)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repunte de los beneficios de Santander en el tercer trimestre se ve empañado por la debilidad de Brasil (traducción de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GBM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https://gbm.com/media/noticia/noticia-en-vivo-cion-3-el-repunte-de-los-beneficios-de-santander-en-el-tercer-trimestre-se-ve-empanado-por-la-debilidad-de-brasil/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Stock (SAN) Moved Down by 4.17% on Oct 28: Key Drivers Unveiled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https://www.mitrade.com/insights/news/live-news/article-0-2204471-20261028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Eurozona: si muove sotto la parità l'EURO STOXX Banks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https://www.borsaitaliana.it/borsa/notizie/teleborsa/finanza/eurozona-si-muove-sotto-la-parita-l-euro-stoxx-banks-79_2026-10-28_TLB-1LINER.html?lang=it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(SAN) news: cambios de recomendación y titulares 26-30 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https://www.marketbeat.com/stocks/NYSE/SAN/news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 News and Analysis (RSS: «Non-GAAP EPS of €0.26 beats by €0.02, revenue of €15.89B misses by €370M»; «Santander trades lower as Q3 profit comes in lower on impairments, integration costs»; análisis de autores de agosto y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https://seekingalpha.com/api/sa/combined/SAN.xml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falls almost 4% on the stock market despite earning 11,176 million through September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https://www.democrata.es/en/economy/santander-falls-almost-4-on-the-stock-market-despite-earning-11-176-million-through-september-16-more/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Santander's profit beat was powered by Britain and the 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Finimize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https://finimize.com/content/santanders-profit-beat-was-powered-by-britain-and-the-us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Lucro do Santander Brasil cai 28% no 3º tri; resultado global recua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&amp; Consumo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https://mercadoeconsumo.com.br/28/10/2026/noticias/lucro-do-santander-brasil-cai-28-no-3o-tri-resultado-global-recua-2/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Brasil Q3 2026 profit falls 28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Rio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https://www.riotimesonline.com/santander-brasil-q3-2026-profit-falls-28-percent/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reporta ganancias en línea con lo esperado tras incorporar a Webster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Línea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https://www.bloomberglinea.com/negocios/santander-reporta-ganancias-en-linea-con-lo-esperado-tras-incorporar-a-webster-en-eeuu/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Santander caen tras las elecciones en Brasil (traducción de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GBM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https://gbm.com/media/noticia/las-acciones-de-santander-caen-tras-las-elecciones-en-brasil/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Santander-Aktie: Lula verunsichert Anleger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Trading-Treff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https://trading-treff.de/wirtschaft/santander-aktie-lula-verunsichert-anleger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$SAN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https://api.stocktwits.com/api/2/streams/symbol/SAN.json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Banco Santander (SAN), página 3222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https://www.rankia.com/foros/bolsa/temas/1844976-banco-santander-san?page=3222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Banco Santander (SAN), página 3221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https://www.rankia.com/foros/bolsa/temas/1844976-banco-santander-san?page=3221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Banco Santander (SAN), página 3219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https://www.rankia.com/foros/bolsa/temas/1844976-banco-santander-san?page=3219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Banco Santander (SAN), página 3216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https://www.rankia.com/foros/bolsa/temas/1844976-banco-santander-san?page=3216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UK Group Holdings plc — Quarterly Management Statement 9M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UK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https://www.investegate.co.uk/announcement/rns/santander-uk-plc--sanb/3rd-quarter-results/9845385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 bancaria de Banco Santander tras el 3T26: exceso de rentabilidad sobre el valor tangible, P/VTC justificado, Ke en euros con prima por país ponderada, oferta por Santander Brasil y sensibilidades (valoracion-banco.md, generado por notas/valoracion-banco.mjs)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ninguna</w:t>
      </w:r>
      <w:r>
        <w:t xml:space="preserve"> · Generado el 30 oct 2026.</w:t>
      </w:r>
    </w:p>
    <w:p>
      <w:pPr>
        <w:pStyle w:val="Nota"/>
        <w:spacing w:after="100"/>
      </w:pPr>
      <w:r>
        <w:t xml:space="preserve">ES UN BANCO y el motor no tiene modelo de bancos: EBITDA, ROIC, valor empresa, deuda neta, circulante, Altman Z y Piotroski no significan nada aquí. Adaptaciones, las mismas que en Itaú, BTG y Santander Brasil del 27-oct: (1) la calidad se mide con RoTE ordinario − Ke (y con RoE, que incluye el fondo de comercio) en lugar de ROIC − WACC, con la misma regla de nunca menos de 4,5 puntos; (2) el valor intrínseco sale de un modelo de exceso de rentabilidad sobre el valor contable tangible por acción (residual income) con P/VTC justificado de contraste (valoracion-banco.md [54]), que entra al 100 % como «suma de partes» con valor directo; (3) el DCF del motor es un flujo para el accionista (beneficio − retención para crecer con el CET1, deuda 0) y solo es comprobación (peso 0). Bases contables: la serie histórica del informe es NIIF del ESEF 2021-2025 [2] (2023 y 2024 reexpresados sin Polonia); el BPA, el RoTE, la regla a 12 meses y el modelo bancario usan la cuenta ordinaria («underlying») del Informe Financiero del 3T26 (28-oct-2026) [1]. Millones de EUR. Línea de compra: SAN en Madrid, 10,512 € al cierre del 29-oct-2026, ya sin el dividendo a cuenta de 0,127 € (ex el 29-oct) [25]; la sesión del 30-oct sigue abierta (≈ 10,2 €). ADS SAN en la NYSE (1 ADS = 1 acción). Último trimestre publicado: 3T26 (el primero con Webster). El VTC de partida es el publicado a 30-sep-2026 (5,92 €), ya con Webster: la iteración anterior lo estimaba en 6,08 € [54].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30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Banco Santander, S.A. (SAN.MC)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(8,63 – 13,12)</c:v>
                </c:pt>
                <c:pt idx="1">
                  <c:v>Precio objetivo de los analistas (11,30 – 15,30)</c:v>
                </c:pt>
                <c:pt idx="2">
                  <c:v>Comparables: PER NTM (9,59 – 11,66)</c:v>
                </c:pt>
                <c:pt idx="3">
                  <c:v>DCF (WACC y g ± 0,5) (9,72 – 11,65)</c:v>
                </c:pt>
                <c:pt idx="4">
                  <c:v>Escenarios (bajista – alcista) (6,59 – 13,63)</c:v>
                </c:pt>
                <c:pt idx="5">
                  <c:v>Suma de partes (8,35 – 11,29)</c:v>
                </c:pt>
                <c:pt idx="6">
                  <c:v>DCF con la prima implícita del mercado (4,2 %)</c:v>
                </c:pt>
                <c:pt idx="7">
                  <c:v>Precio actual (10,51)</c:v>
                </c:pt>
              </c:strCache>
            </c:strRef>
          </c:cat>
          <c:val>
            <c:numRef>
              <c:f>Hoja1!$B$2:$B$9</c:f>
              <c:numCache>
                <c:formatCode>#,##0.0</c:formatCode>
                <c:ptCount val="8"/>
                <c:pt idx="0">
                  <c:v>8.63</c:v>
                </c:pt>
                <c:pt idx="1">
                  <c:v>11.3</c:v>
                </c:pt>
                <c:pt idx="2">
                  <c:v>9.59</c:v>
                </c:pt>
                <c:pt idx="3">
                  <c:v>9.72</c:v>
                </c:pt>
                <c:pt idx="4">
                  <c:v>6.59</c:v>
                </c:pt>
                <c:pt idx="5">
                  <c:v>8.35</c:v>
                </c:pt>
                <c:pt idx="6">
                  <c:v>12.09</c:v>
                </c:pt>
                <c:pt idx="7">
                  <c:v>10.46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(8,63 – 13,12)</c:v>
                </c:pt>
                <c:pt idx="1">
                  <c:v>Precio objetivo de los analistas (11,30 – 15,30)</c:v>
                </c:pt>
                <c:pt idx="2">
                  <c:v>Comparables: PER NTM (9,59 – 11,66)</c:v>
                </c:pt>
                <c:pt idx="3">
                  <c:v>DCF (WACC y g ± 0,5) (9,72 – 11,65)</c:v>
                </c:pt>
                <c:pt idx="4">
                  <c:v>Escenarios (bajista – alcista) (6,59 – 13,63)</c:v>
                </c:pt>
                <c:pt idx="5">
                  <c:v>Suma de partes (8,35 – 11,29)</c:v>
                </c:pt>
                <c:pt idx="6">
                  <c:v>DCF con la prima implícita del mercado (4,2 %)</c:v>
                </c:pt>
                <c:pt idx="7">
                  <c:v>Precio actual (10,51)</c:v>
                </c:pt>
              </c:strCache>
            </c:strRef>
          </c:cat>
          <c:val>
            <c:numRef>
              <c:f>Hoja1!$C$2:$C$9</c:f>
              <c:numCache>
                <c:formatCode>#,##0.0</c:formatCode>
                <c:ptCount val="8"/>
                <c:pt idx="0">
                  <c:v>4.489999999999998</c:v>
                </c:pt>
                <c:pt idx="1">
                  <c:v>4</c:v>
                </c:pt>
                <c:pt idx="2">
                  <c:v>2.0700000000000003</c:v>
                </c:pt>
                <c:pt idx="3">
                  <c:v>1.9299999999999997</c:v>
                </c:pt>
                <c:pt idx="4">
                  <c:v>7.040000000000001</c:v>
                </c:pt>
                <c:pt idx="5">
                  <c:v>2.9399999999999995</c:v>
                </c:pt>
                <c:pt idx="6">
                  <c:v>1.8599999999999994</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Retail &amp; Commercial Banking</c:v>
                </c:pt>
              </c:strCache>
            </c:strRef>
          </c:tx>
          <c:spPr>
            <a:solidFill>
              <a:srgbClr val="2A78D6"/>
            </a:solidFill>
            <a:ln w="12700">
              <a:solidFill>
                <a:srgbClr val="FFFFFF"/>
              </a:solidFill>
            </a:ln>
          </c:spPr>
          <c:invertIfNegative val="0"/>
          <c:cat>
            <c:strRef>
              <c:f>Hoja1!$A$2:$A$3</c:f>
              <c:strCache>
                <c:ptCount val="2"/>
                <c:pt idx="0">
                  <c:v>9M25</c:v>
                </c:pt>
                <c:pt idx="1">
                  <c:v>9M26</c:v>
                </c:pt>
              </c:strCache>
            </c:strRef>
          </c:cat>
          <c:val>
            <c:numRef>
              <c:f>Hoja1!$B$2:$B$3</c:f>
              <c:numCache>
                <c:formatCode>#,##0</c:formatCode>
                <c:ptCount val="2"/>
                <c:pt idx="0">
                  <c:v>24179</c:v>
                </c:pt>
                <c:pt idx="1">
                  <c:v>26277</c:v>
                </c:pt>
              </c:numCache>
            </c:numRef>
          </c:val>
        </c:ser>
        <c:ser>
          <c:idx val="1"/>
          <c:order val="1"/>
          <c:tx>
            <c:strRef>
              <c:f>Hoja1!$C$1</c:f>
              <c:strCache>
                <c:ptCount val="1"/>
                <c:pt idx="0">
                  <c:v>Openbank (antes Digital Consumer Bank)</c:v>
                </c:pt>
              </c:strCache>
            </c:strRef>
          </c:tx>
          <c:spPr>
            <a:solidFill>
              <a:srgbClr val="EB6834"/>
            </a:solidFill>
            <a:ln w="12700">
              <a:solidFill>
                <a:srgbClr val="FFFFFF"/>
              </a:solidFill>
            </a:ln>
          </c:spPr>
          <c:invertIfNegative val="0"/>
          <c:cat>
            <c:strRef>
              <c:f>Hoja1!$A$2:$A$3</c:f>
              <c:strCache>
                <c:ptCount val="2"/>
                <c:pt idx="0">
                  <c:v>9M25</c:v>
                </c:pt>
                <c:pt idx="1">
                  <c:v>9M26</c:v>
                </c:pt>
              </c:strCache>
            </c:strRef>
          </c:cat>
          <c:val>
            <c:numRef>
              <c:f>Hoja1!$C$2:$C$3</c:f>
              <c:numCache>
                <c:formatCode>#,##0</c:formatCode>
                <c:ptCount val="2"/>
                <c:pt idx="0">
                  <c:v>9667</c:v>
                </c:pt>
                <c:pt idx="1">
                  <c:v>10062</c:v>
                </c:pt>
              </c:numCache>
            </c:numRef>
          </c:val>
        </c:ser>
        <c:ser>
          <c:idx val="2"/>
          <c:order val="2"/>
          <c:tx>
            <c:strRef>
              <c:f>Hoja1!$D$1</c:f>
              <c:strCache>
                <c:ptCount val="1"/>
                <c:pt idx="0">
                  <c:v>Corporate &amp; Investment Banking</c:v>
                </c:pt>
              </c:strCache>
            </c:strRef>
          </c:tx>
          <c:spPr>
            <a:solidFill>
              <a:srgbClr val="1BAF7A"/>
            </a:solidFill>
            <a:ln w="12700">
              <a:solidFill>
                <a:srgbClr val="FFFFFF"/>
              </a:solidFill>
            </a:ln>
          </c:spPr>
          <c:invertIfNegative val="0"/>
          <c:cat>
            <c:strRef>
              <c:f>Hoja1!$A$2:$A$3</c:f>
              <c:strCache>
                <c:ptCount val="2"/>
                <c:pt idx="0">
                  <c:v>9M25</c:v>
                </c:pt>
                <c:pt idx="1">
                  <c:v>9M26</c:v>
                </c:pt>
              </c:strCache>
            </c:strRef>
          </c:cat>
          <c:val>
            <c:numRef>
              <c:f>Hoja1!$D$2:$D$3</c:f>
              <c:numCache>
                <c:formatCode>#,##0</c:formatCode>
                <c:ptCount val="2"/>
                <c:pt idx="0">
                  <c:v>6027</c:v>
                </c:pt>
                <c:pt idx="1">
                  <c:v>6936</c:v>
                </c:pt>
              </c:numCache>
            </c:numRef>
          </c:val>
        </c:ser>
        <c:ser>
          <c:idx val="3"/>
          <c:order val="3"/>
          <c:tx>
            <c:strRef>
              <c:f>Hoja1!$E$1</c:f>
              <c:strCache>
                <c:ptCount val="1"/>
                <c:pt idx="0">
                  <c:v>Wealth Management &amp; Insurance</c:v>
                </c:pt>
              </c:strCache>
            </c:strRef>
          </c:tx>
          <c:spPr>
            <a:solidFill>
              <a:srgbClr val="EDA100"/>
            </a:solidFill>
            <a:ln w="12700">
              <a:solidFill>
                <a:srgbClr val="FFFFFF"/>
              </a:solidFill>
            </a:ln>
          </c:spPr>
          <c:invertIfNegative val="0"/>
          <c:cat>
            <c:strRef>
              <c:f>Hoja1!$A$2:$A$3</c:f>
              <c:strCache>
                <c:ptCount val="2"/>
                <c:pt idx="0">
                  <c:v>9M25</c:v>
                </c:pt>
                <c:pt idx="1">
                  <c:v>9M26</c:v>
                </c:pt>
              </c:strCache>
            </c:strRef>
          </c:cat>
          <c:val>
            <c:numRef>
              <c:f>Hoja1!$E$2:$E$3</c:f>
              <c:numCache>
                <c:formatCode>#,##0</c:formatCode>
                <c:ptCount val="2"/>
                <c:pt idx="0">
                  <c:v>2895</c:v>
                </c:pt>
                <c:pt idx="1">
                  <c:v>3198</c:v>
                </c:pt>
              </c:numCache>
            </c:numRef>
          </c:val>
        </c:ser>
        <c:ser>
          <c:idx val="4"/>
          <c:order val="4"/>
          <c:tx>
            <c:strRef>
              <c:f>Hoja1!$F$1</c:f>
              <c:strCache>
                <c:ptCount val="1"/>
                <c:pt idx="0">
                  <c:v>Payments</c:v>
                </c:pt>
              </c:strCache>
            </c:strRef>
          </c:tx>
          <c:spPr>
            <a:solidFill>
              <a:srgbClr val="E87BA4"/>
            </a:solidFill>
            <a:ln w="12700">
              <a:solidFill>
                <a:srgbClr val="FFFFFF"/>
              </a:solidFill>
            </a:ln>
          </c:spPr>
          <c:invertIfNegative val="0"/>
          <c:cat>
            <c:strRef>
              <c:f>Hoja1!$A$2:$A$3</c:f>
              <c:strCache>
                <c:ptCount val="2"/>
                <c:pt idx="0">
                  <c:v>9M25</c:v>
                </c:pt>
                <c:pt idx="1">
                  <c:v>9M26</c:v>
                </c:pt>
              </c:strCache>
            </c:strRef>
          </c:cat>
          <c:val>
            <c:numRef>
              <c:f>Hoja1!$F$2:$F$3</c:f>
              <c:numCache>
                <c:formatCode>#,##0</c:formatCode>
                <c:ptCount val="2"/>
                <c:pt idx="0">
                  <c:v>994</c:v>
                </c:pt>
                <c:pt idx="1">
                  <c:v>1175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(9M26)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Retail &amp; Commercial Banking</c:v>
                </c:pt>
                <c:pt idx="1">
                  <c:v>Openbank (antes Digital Consumer Bank)</c:v>
                </c:pt>
                <c:pt idx="2">
                  <c:v>Corporate &amp; Investment Banking</c:v>
                </c:pt>
                <c:pt idx="3">
                  <c:v>Wealth Management &amp; Insurance</c:v>
                </c:pt>
                <c:pt idx="4">
                  <c:v>Payments</c:v>
                </c:pt>
              </c:strCache>
            </c:strRef>
          </c:cat>
          <c:val>
            <c:numRef>
              <c:f>Hoja1!$B$2:$B$6</c:f>
              <c:numCache>
                <c:formatCode>General</c:formatCode>
                <c:ptCount val="5"/>
                <c:pt idx="0">
                  <c:v>55.1</c:v>
                </c:pt>
                <c:pt idx="1">
                  <c:v>21.1</c:v>
                </c:pt>
                <c:pt idx="2">
                  <c:v>14.6</c:v>
                </c:pt>
                <c:pt idx="3">
                  <c:v>6.7</c:v>
                </c:pt>
                <c:pt idx="4">
                  <c:v>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beneficio ordinario de 9M26 por segmento secundario, sin el centro corporativo (−865 M) [1]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España</c:v>
                </c:pt>
                <c:pt idx="1">
                  <c:v>Brasil</c:v>
                </c:pt>
                <c:pt idx="2">
                  <c:v>Estados Unidos</c:v>
                </c:pt>
                <c:pt idx="3">
                  <c:v>México</c:v>
                </c:pt>
                <c:pt idx="4">
                  <c:v>Reino Unido</c:v>
                </c:pt>
                <c:pt idx="5">
                  <c:v>Portugal</c:v>
                </c:pt>
                <c:pt idx="6">
                  <c:v>Chile</c:v>
                </c:pt>
                <c:pt idx="7">
                  <c:v>Openbank Europa</c:v>
                </c:pt>
                <c:pt idx="8">
                  <c:v>Argentina</c:v>
                </c:pt>
                <c:pt idx="9">
                  <c:v>Resto</c:v>
                </c:pt>
              </c:strCache>
            </c:strRef>
          </c:cat>
          <c:val>
            <c:numRef>
              <c:f>Hoja1!$B$2:$B$11</c:f>
              <c:numCache>
                <c:formatCode>0"%"</c:formatCode>
                <c:ptCount val="10"/>
                <c:pt idx="0">
                  <c:v>30.7</c:v>
                </c:pt>
                <c:pt idx="1">
                  <c:v>13.3</c:v>
                </c:pt>
                <c:pt idx="2">
                  <c:v>12.6</c:v>
                </c:pt>
                <c:pt idx="3">
                  <c:v>11.6</c:v>
                </c:pt>
                <c:pt idx="4">
                  <c:v>10.6</c:v>
                </c:pt>
                <c:pt idx="5">
                  <c:v>5.9</c:v>
                </c:pt>
                <c:pt idx="6">
                  <c:v>5.4</c:v>
                </c:pt>
                <c:pt idx="7">
                  <c:v>4.3</c:v>
                </c:pt>
                <c:pt idx="8">
                  <c:v>2.8</c:v>
                </c:pt>
                <c:pt idx="9">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Banco Santander</c:v>
                </c:pt>
                <c:pt idx="1">
                  <c:v>BBVA</c:v>
                </c:pt>
                <c:pt idx="2">
                  <c:v>CaixaBank</c:v>
                </c:pt>
                <c:pt idx="3">
                  <c:v>BNP Paribas</c:v>
                </c:pt>
                <c:pt idx="4">
                  <c:v>UniCredit</c:v>
                </c:pt>
                <c:pt idx="5">
                  <c:v>ING</c:v>
                </c:pt>
                <c:pt idx="6">
                  <c:v>HSBC</c:v>
                </c:pt>
                <c:pt idx="7">
                  <c:v>Itaú Unibanco</c:v>
                </c:pt>
              </c:strCache>
            </c:strRef>
          </c:cat>
          <c:val>
            <c:numRef>
              <c:f>Hoja1!$B$2:$B$9</c:f>
              <c:numCache>
                <c:formatCode>0.0"%"</c:formatCode>
                <c:ptCount val="8"/>
                <c:pt idx="0">
                  <c:v>42.2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35530</c:v>
                </c:pt>
                <c:pt idx="1">
                  <c:v>38451</c:v>
                </c:pt>
                <c:pt idx="2">
                  <c:v>39046</c:v>
                </c:pt>
                <c:pt idx="3">
                  <c:v>41809</c:v>
                </c:pt>
                <c:pt idx="4">
                  <c:v>42727</c:v>
                </c:pt>
                <c:pt idx="5">
                  <c:v>45718</c:v>
                </c:pt>
                <c:pt idx="6">
                  <c:v>48918</c:v>
                </c:pt>
                <c:pt idx="7">
                  <c:v>52098</c:v>
                </c:pt>
                <c:pt idx="8">
                  <c:v>55224</c:v>
                </c:pt>
                <c:pt idx="9">
                  <c:v>58261</c:v>
                </c:pt>
                <c:pt idx="10">
                  <c:v>61174</c:v>
                </c:pt>
                <c:pt idx="11">
                  <c:v>63927</c:v>
                </c:pt>
                <c:pt idx="12">
                  <c:v>66484</c:v>
                </c:pt>
                <c:pt idx="13">
                  <c:v>68811</c:v>
                </c:pt>
                <c:pt idx="14">
                  <c:v>70875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14115</c:v>
                </c:pt>
                <c:pt idx="1">
                  <c:v>14548</c:v>
                </c:pt>
                <c:pt idx="2">
                  <c:v>14414</c:v>
                </c:pt>
                <c:pt idx="3">
                  <c:v>16660</c:v>
                </c:pt>
                <c:pt idx="4">
                  <c:v>18016</c:v>
                </c:pt>
                <c:pt idx="5">
                  <c:v>19110</c:v>
                </c:pt>
                <c:pt idx="6">
                  <c:v>21084</c:v>
                </c:pt>
                <c:pt idx="7">
                  <c:v>23236</c:v>
                </c:pt>
                <c:pt idx="8">
                  <c:v>25458</c:v>
                </c:pt>
                <c:pt idx="9">
                  <c:v>26975</c:v>
                </c:pt>
                <c:pt idx="10">
                  <c:v>27651</c:v>
                </c:pt>
                <c:pt idx="11">
                  <c:v>28192</c:v>
                </c:pt>
                <c:pt idx="12">
                  <c:v>29452</c:v>
                </c:pt>
                <c:pt idx="13">
                  <c:v>29726</c:v>
                </c:pt>
                <c:pt idx="14">
                  <c:v>30831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39.7</c:v>
                </c:pt>
                <c:pt idx="1">
                  <c:v>37.8</c:v>
                </c:pt>
                <c:pt idx="2">
                  <c:v>36.9</c:v>
                </c:pt>
                <c:pt idx="3">
                  <c:v>39.8</c:v>
                </c:pt>
                <c:pt idx="4">
                  <c:v>42.2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39.7</c:v>
                </c:pt>
                <c:pt idx="1">
                  <c:v>37.8</c:v>
                </c:pt>
                <c:pt idx="2">
                  <c:v>36.9</c:v>
                </c:pt>
                <c:pt idx="3">
                  <c:v>39.8</c:v>
                </c:pt>
                <c:pt idx="4">
                  <c:v>42.2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22.9</c:v>
                </c:pt>
                <c:pt idx="1">
                  <c:v>25</c:v>
                </c:pt>
                <c:pt idx="2">
                  <c:v>28.4</c:v>
                </c:pt>
                <c:pt idx="3">
                  <c:v>30.1</c:v>
                </c:pt>
                <c:pt idx="4">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1T26</c:v>
                </c:pt>
                <c:pt idx="1">
                  <c:v>2T26</c:v>
                </c:pt>
                <c:pt idx="2">
                  <c:v>3T26</c:v>
                </c:pt>
              </c:strCache>
            </c:strRef>
          </c:cat>
          <c:val>
            <c:numRef>
              <c:f>Hoja1!$B$2:$B$4</c:f>
              <c:numCache>
                <c:formatCode>0.0"%"</c:formatCode>
                <c:ptCount val="3"/>
                <c:pt idx="1">
                  <c:v>9</c:v>
                </c:pt>
                <c:pt idx="2">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1T26</c:v>
                </c:pt>
                <c:pt idx="1">
                  <c:v>2T26</c:v>
                </c:pt>
                <c:pt idx="2">
                  <c:v>3T26</c:v>
                </c:pt>
              </c:strCache>
            </c:strRef>
          </c:cat>
          <c:val>
            <c:numRef>
              <c:f>Hoja1!$C$2:$C$4</c:f>
              <c:numCache>
                <c:formatCode>0.0"%"</c:formatCode>
                <c:ptCount val="3"/>
                <c:pt idx="1">
                  <c:v>6</c:v>
                </c:pt>
                <c:pt idx="2">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8124</c:v>
                </c:pt>
                <c:pt idx="1">
                  <c:v>9605</c:v>
                </c:pt>
                <c:pt idx="2">
                  <c:v>11076</c:v>
                </c:pt>
                <c:pt idx="3">
                  <c:v>12574</c:v>
                </c:pt>
                <c:pt idx="4">
                  <c:v>14101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8124</c:v>
                </c:pt>
                <c:pt idx="1">
                  <c:v>9605</c:v>
                </c:pt>
                <c:pt idx="2">
                  <c:v>11076</c:v>
                </c:pt>
                <c:pt idx="3">
                  <c:v>12574</c:v>
                </c:pt>
                <c:pt idx="4">
                  <c:v>14101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9.7</c:v>
                </c:pt>
                <c:pt idx="1">
                  <c:v>10.6</c:v>
                </c:pt>
                <c:pt idx="2">
                  <c:v>10.6</c:v>
                </c:pt>
                <c:pt idx="3">
                  <c:v>11.4</c:v>
                </c:pt>
                <c:pt idx="4">
                  <c:v>12.2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11.8</c:v>
                </c:pt>
                <c:pt idx="1">
                  <c:v>11.8</c:v>
                </c:pt>
                <c:pt idx="2">
                  <c:v>11.8</c:v>
                </c:pt>
                <c:pt idx="3">
                  <c:v>11.8</c:v>
                </c:pt>
                <c:pt idx="4">
                  <c:v>11.8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9.3</c:v>
                </c:pt>
                <c:pt idx="1">
                  <c:v>10.9</c:v>
                </c:pt>
                <c:pt idx="2">
                  <c:v>12</c:v>
                </c:pt>
                <c:pt idx="3">
                  <c:v>13</c:v>
                </c:pt>
                <c:pt idx="4">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1313</c:v>
                </c:pt>
                <c:pt idx="1">
                  <c:v>1848</c:v>
                </c:pt>
                <c:pt idx="2">
                  <c:v>2261</c:v>
                </c:pt>
                <c:pt idx="3">
                  <c:v>3017</c:v>
                </c:pt>
                <c:pt idx="4">
                  <c:v>3341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2">
                  <c:v>3109</c:v>
                </c:pt>
                <c:pt idx="3">
                  <c:v>4038</c:v>
                </c:pt>
                <c:pt idx="4">
                  <c:v>4081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2</c:v>
                </c:pt>
                <c:pt idx="1">
                  <c:v>10</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Consejo de administración (con Fundación Botín y acciones sindicadas)</c:v>
                </c:pt>
                <c:pt idx="2">
                  <c:v>Pacto de la familia Botín (sindicato de voto)</c:v>
                </c:pt>
                <c:pt idx="3">
                  <c:v>Autocartera</c:v>
                </c:pt>
              </c:strCache>
            </c:strRef>
          </c:cat>
          <c:val>
            <c:numRef>
              <c:f>Hoja1!$B$2:$B$5</c:f>
              <c:numCache>
                <c:formatCode>0.0"%"</c:formatCode>
                <c:ptCount val="4"/>
                <c:pt idx="0">
                  <c:v>6.861</c:v>
                </c:pt>
                <c:pt idx="1">
                  <c:v>1.34</c:v>
                </c:pt>
                <c:pt idx="2">
                  <c:v>0.75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12.3</c:v>
                </c:pt>
                <c:pt idx="2">
                  <c:v>-27.5</c:v>
                </c:pt>
                <c:pt idx="3">
                  <c:v>-6.1</c:v>
                </c:pt>
                <c:pt idx="4">
                  <c:v>-29</c:v>
                </c:pt>
                <c:pt idx="5">
                  <c:v>15.9</c:v>
                </c:pt>
                <c:pt idx="6">
                  <c:v>-4.7</c:v>
                </c:pt>
                <c:pt idx="7">
                  <c:v>34.9</c:v>
                </c:pt>
                <c:pt idx="8">
                  <c:v>18.1</c:v>
                </c:pt>
                <c:pt idx="9">
                  <c:v>125.6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4.3</c:v>
                </c:pt>
                <c:pt idx="1">
                  <c:v>3.8</c:v>
                </c:pt>
                <c:pt idx="2">
                  <c:v>4.9</c:v>
                </c:pt>
                <c:pt idx="3">
                  <c:v>4.6</c:v>
                </c:pt>
                <c:pt idx="4">
                  <c:v>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4.6</c:v>
                </c:pt>
                <c:pt idx="1">
                  <c:v>4.6</c:v>
                </c:pt>
                <c:pt idx="2">
                  <c:v>4.6</c:v>
                </c:pt>
                <c:pt idx="3">
                  <c:v>4.6</c:v>
                </c:pt>
                <c:pt idx="4">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8007</c:v>
                </c:pt>
                <c:pt idx="1">
                  <c:v>9032</c:v>
                </c:pt>
                <c:pt idx="2">
                  <c:v>10658</c:v>
                </c:pt>
                <c:pt idx="3">
                  <c:v>12399</c:v>
                </c:pt>
                <c:pt idx="4">
                  <c:v>13691</c:v>
                </c:pt>
                <c:pt idx="5">
                  <c:v>14435</c:v>
                </c:pt>
                <c:pt idx="6">
                  <c:v>15146</c:v>
                </c:pt>
                <c:pt idx="7">
                  <c:v>16447</c:v>
                </c:pt>
                <c:pt idx="8">
                  <c:v>17090</c:v>
                </c:pt>
                <c:pt idx="9">
                  <c:v>18396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75437</c:v>
                </c:pt>
                <c:pt idx="1">
                  <c:v>76976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c:v>
                </c:pt>
                <c:pt idx="1">
                  <c:v>10.58</c:v>
                </c:pt>
                <c:pt idx="2">
                  <c:v>13.63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(8,63 – 13,12)</c:v>
                </c:pt>
                <c:pt idx="1">
                  <c:v>Precio objetivo de los analistas (11,30 – 15,30)</c:v>
                </c:pt>
                <c:pt idx="2">
                  <c:v>Comparables: PER NTM (9,59 – 11,66)</c:v>
                </c:pt>
                <c:pt idx="3">
                  <c:v>DCF (WACC y g ± 0,5) (9,72 – 11,65)</c:v>
                </c:pt>
                <c:pt idx="4">
                  <c:v>Escenarios (bajista – alcista) (6,59 – 13,63)</c:v>
                </c:pt>
                <c:pt idx="5">
                  <c:v>Suma de partes (8,35 – 11,29)</c:v>
                </c:pt>
                <c:pt idx="6">
                  <c:v>DCF con la prima implícita del mercado (4,2 %)</c:v>
                </c:pt>
                <c:pt idx="7">
                  <c:v>Precio actual (10,51)</c:v>
                </c:pt>
              </c:strCache>
            </c:strRef>
          </c:cat>
          <c:val>
            <c:numRef>
              <c:f>Hoja1!$B$2:$B$9</c:f>
              <c:numCache>
                <c:formatCode>#,##0.0</c:formatCode>
                <c:ptCount val="8"/>
                <c:pt idx="0">
                  <c:v>8.63</c:v>
                </c:pt>
                <c:pt idx="1">
                  <c:v>11.3</c:v>
                </c:pt>
                <c:pt idx="2">
                  <c:v>9.59</c:v>
                </c:pt>
                <c:pt idx="3">
                  <c:v>9.72</c:v>
                </c:pt>
                <c:pt idx="4">
                  <c:v>6.59</c:v>
                </c:pt>
                <c:pt idx="5">
                  <c:v>8.35</c:v>
                </c:pt>
                <c:pt idx="6">
                  <c:v>12.09</c:v>
                </c:pt>
                <c:pt idx="7">
                  <c:v>10.46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(8,63 – 13,12)</c:v>
                </c:pt>
                <c:pt idx="1">
                  <c:v>Precio objetivo de los analistas (11,30 – 15,30)</c:v>
                </c:pt>
                <c:pt idx="2">
                  <c:v>Comparables: PER NTM (9,59 – 11,66)</c:v>
                </c:pt>
                <c:pt idx="3">
                  <c:v>DCF (WACC y g ± 0,5) (9,72 – 11,65)</c:v>
                </c:pt>
                <c:pt idx="4">
                  <c:v>Escenarios (bajista – alcista) (6,59 – 13,63)</c:v>
                </c:pt>
                <c:pt idx="5">
                  <c:v>Suma de partes (8,35 – 11,29)</c:v>
                </c:pt>
                <c:pt idx="6">
                  <c:v>DCF con la prima implícita del mercado (4,2 %)</c:v>
                </c:pt>
                <c:pt idx="7">
                  <c:v>Precio actual (10,51)</c:v>
                </c:pt>
              </c:strCache>
            </c:strRef>
          </c:cat>
          <c:val>
            <c:numRef>
              <c:f>Hoja1!$C$2:$C$9</c:f>
              <c:numCache>
                <c:formatCode>#,##0.0</c:formatCode>
                <c:ptCount val="8"/>
                <c:pt idx="0">
                  <c:v>4.489999999999998</c:v>
                </c:pt>
                <c:pt idx="1">
                  <c:v>4</c:v>
                </c:pt>
                <c:pt idx="2">
                  <c:v>2.0700000000000003</c:v>
                </c:pt>
                <c:pt idx="3">
                  <c:v>1.9299999999999997</c:v>
                </c:pt>
                <c:pt idx="4">
                  <c:v>7.040000000000001</c:v>
                </c:pt>
                <c:pt idx="5">
                  <c:v>2.9399999999999995</c:v>
                </c:pt>
                <c:pt idx="6">
                  <c:v>1.8599999999999994</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