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Colgate-Palmolive Company</w:t>
      </w:r>
    </w:p>
    <w:p>
      <w:pPr>
        <w:spacing w:after="60"/>
        <w:rPr>
          <w:color w:val="52514E"/>
          <w:sz w:val="22"/>
          <w:szCs w:val="22"/>
        </w:rPr>
      </w:pPr>
      <w:r>
        <w:rPr>
          <w:color w:val="52514E"/>
          <w:sz w:val="22"/>
          <w:szCs w:val="22"/>
        </w:rPr>
        <w:t xml:space="preserve">CL · New York Stock Exchange · ISIN US1941621039 · Consumo básico</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92,78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96,05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+5,8 % (base +10,7 %)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70,51 USD · mercado 77,47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74.187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1,5x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Colgate-Palmolive Company</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CL / US1941621039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básico / Productos para el hogar y personales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Nueva York · 1806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www.colgatepalmolive.com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92,78 (14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74,55 – 99,33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799,6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74.187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84.705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421 M USD/día (3 meses) [D1]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96,05 USD</w:t>
      </w:r>
      <w:r>
        <w:t xml:space="preserve"> frente a 92,78 · Rentabilidad a 12 meses </w:t>
      </w:r>
      <w:r>
        <w:rPr>
          <w:b/>
          <w:bCs/>
        </w:rPr>
        <w:t xml:space="preserve">+5,8 % (base +10,7 %)</w:t>
      </w:r>
      <w:r>
        <w:t xml:space="preserve"> · Valor intrínseco 70,51 USD · con la prima implícita del mercado: 77,47 (-16,5 %) · Alcista / bajista -13,8 % / -38,4 %</w:t>
      </w:r>
    </w:p>
    <w:p>
      <w:pPr>
        <w:spacing w:after="100"/>
      </w:pPr>
      <w:r>
        <w:rPr>
          <w:b/>
        </w:rPr>
        <w:t xml:space="preserve">La recomendación y por qué.</w:t>
      </w:r>
      <w:r>
        <w:t xml:space="preserve"> Mantener, con convicción media. El objetivo a 12 meses es 96,05 USD (PER de 23,5 veces nuestro BPA base 2028e de 4,28 en el caso base), una rentabilidad ponderada del 5,8 % y del 10,7 % en el base, con dividendo; el valor intrínseco es 70,51 USD, un 24,0 % por debajo de los 92,78 del cierre del 14-oct, y el objetivo medio de los analistas (98,25) cae dentro de nuestro rango (72,00-111,02). La razón en una frase: es un negocio excelente que el mercado paga a un múltiplo justo para su historia pero caro para un bono al 5,21 %. La convicción es media porque las dos reglas coinciden y la rentabilidad está lejos de los umbrales; subiría a Comprar por debajo de 70,51 o si el bono bajara del 4,5 % con el BPA base de 2027 por encima de 4,25, y pasaría a Vender por encima de 109,05.</w:t>
      </w:r>
    </w:p>
    <w:p>
      <w:pPr>
        <w:spacing w:after="100"/>
      </w:pPr>
      <w:r>
        <w:rPr>
          <w:b/>
        </w:rPr>
        <w:t xml:space="preserve">El negocio.</w:t>
      </w:r>
      <w:r>
        <w:t xml:space="preserve"> Colgate tiene el 41,3 % del mercado mundial de pasta de dientes, un margen bruto del 60 % y un ROIC del 44,4 % frente a un WACC del 8,19 %: calidad Sí, con 36 puntos de diferencia. El ROIC se mide sobre deuda más patrimonio menos caja porque el patrimonio contable es casi nulo (54 M) por 28.931 M de recompras; sobre el capital operativo bruto sigue en ≈30 %. Hill's (23 % de las ventas) es el motor de crecimiento: +10,6 % anual en 2019-2025, frenado ahora por la salida de la marca blanca [1, 6]. La calidad sostiene el crecimiento que proyectamos (veredicto Sí): 3,5 % anual, por debajo de su orgánico histórico, sin capital nuevo y con poder de precios probado en 2022-2023.</w:t>
      </w:r>
    </w:p>
    <w:p>
      <w:pPr>
        <w:spacing w:after="100"/>
      </w:pPr>
      <w:r>
        <w:rPr>
          <w:b/>
        </w:rPr>
        <w:t xml:space="preserve">Finanzas.</w:t>
      </w:r>
      <w:r>
        <w:t xml:space="preserve"> Caja libre de 3.634 M en 2025, deuda neta ajustada de 7.475 M (1,5 veces el EBITDA) y contabilidad sencilla; el lunar son 2.211 M de deterioros de skin health (Filorga) en 2021-2025, que llevan el BPA publicado de 2025 a 2,63 frente a 3,69 base [1, 2]. En el 1S26 el BPA base crece un 8 % y la guía sube a un dígito medio [12].</w:t>
      </w:r>
    </w:p>
    <w:p>
      <w:pPr>
        <w:spacing w:after="100"/>
      </w:pPr>
      <w:r>
        <w:rPr>
          <w:b/>
        </w:rPr>
        <w:t xml:space="preserve">Equipo y gobierno.</w:t>
      </w:r>
      <w:r>
        <w:t xml:space="preserve"> Resta poco: consejo independiente sin accionista de control, pero presidente y primer ejecutivo coinciden y la cúpula ha vendido 57,1 M en 12 meses sin comprar [21, 25].</w:t>
      </w:r>
    </w:p>
    <w:p>
      <w:pPr>
        <w:spacing w:after="100"/>
      </w:pPr>
      <w:r>
        <w:rPr>
          <w:b/>
        </w:rPr>
        <w:t xml:space="preserve">Valoración.</w:t>
      </w:r>
      <w:r>
        <w:t xml:space="preserve"> El DCF da 72,50 y el precio descuenta un crecimiento del 8,0 % anual en 2027-2032 frente al 3,3 % del base: una rentabilidad implícita del 7,2 %, por debajo del WACC y del 7,7 % que pide el mercado. Nuestras cifras coinciden con el consenso (BPA 2027e de 4,08 frente a 4,09); la diferencia es de tasa. A 12 meses cotiza a 22,7 veces, bajo su mediana de 24,4, y por eso la rentabilidad a un año es positiva aunque el valor intrínseco quede por debajo.</w:t>
      </w:r>
    </w:p>
    <w:p>
      <w:pPr>
        <w:spacing w:after="100"/>
      </w:pPr>
      <w:r>
        <w:rPr>
          <w:b/>
        </w:rPr>
        <w:t xml:space="preserve">Riesgos y catalizadores.</w:t>
      </w:r>
      <w:r>
        <w:t xml:space="preserve"> Los mayores son unos tipos largos altos durante más tiempo y la marca blanca en Norteamérica, donde el volumen cae un 3,9 % [6]; el bajista a 12 meses (72,00) supone un −22 %. El riesgo de que la IA se coma el negocio es bajo: nadie sustituye la pasta de dientes, aunque los agentes de compra pueden empujar el precio. Catalizadores: el 3T26 (estimado el 30-oct) y la posible venta de Softsoap, Irish Spring y Speed Stick por más de 1.000 M [20]. Los foros están divididos entre «defensivo de calidad» y «caro con tipos altos», la misma tensión del informe.</w:t>
      </w:r>
    </w:p>
    <w:p>
      <w:pPr>
        <w:spacing w:after="100"/>
      </w:pPr>
      <w:r>
        <w:rPr>
          <w:b/>
        </w:rPr>
        <w:t xml:space="preserve">Qué cambiaría la decisión.</w:t>
      </w:r>
      <w:r>
        <w:t xml:space="preserve"> Comprar por debajo de 70,51 USD y vender por encima de 109,05. Bajaríamos a Vender si el volumen de Norteamérica sigue por debajo de −3 % y el margen bruto base cae del 60 %; subiríamos si el BPA base de 2027 supera 4,25 con el bono por debajo del 4,5 %.</w:t>
      </w:r>
    </w:p>
    <w:p>
      <w:r>
        <w:br w:type="page"/>
      </w:r>
    </w:p>
    <w:p>
      <w:pPr>
        <w:pStyle w:val="Heading1"/>
      </w:pPr>
      <w:r>
        <w:t xml:space="preserve">Resumen ejecutivo</w:t>
      </w:r>
    </w:p>
    <w:p>
      <w:pPr>
        <w:pStyle w:val="Confianza"/>
        <w:spacing w:after="100"/>
      </w:pPr>
      <w:r>
        <w:t xml:space="preserve">Confianza: Alta</w:t>
      </w:r>
    </w:p>
    <w:p>
      <w:pPr>
        <w:spacing w:after="100"/>
      </w:pPr>
      <w:r>
        <w:rPr>
          <w:b/>
          <w:bCs/>
        </w:rPr>
        <w:t xml:space="preserve">Recomendación: Mantener</w:t>
      </w:r>
      <w:r>
        <w:t xml:space="preserve"> · Convicción: Media · Horizonte: 12 meses · Objetivo a 12 meses: </w:t>
      </w:r>
      <w:r>
        <w:rPr>
          <w:b/>
          <w:bCs/>
        </w:rPr>
        <w:t xml:space="preserve">96,05 USD</w:t>
      </w:r>
      <w:r>
        <w:t xml:space="preserve"> (rentabilidad +5,8 % (base +10,7 %)) · Valor intrínseco: 70,51 USD (-24,0 % sobre 92,78) · con la prima implícita del mercado: 77,47 (-16,5 %)</w:t>
      </w:r>
    </w:p>
    <w:p>
      <w:pPr>
        <w:spacing w:after="100"/>
      </w:pPr>
      <w:r>
        <w:t xml:space="preserve">Colgate es el líder mundial de la pasta de dientes (41,3 % de cuota) y dueño de Hill's, la nutrición veterinaria para mascotas; vende productos de compra diaria en más de 200 países con un margen bruto del 60 % y un ROIC del 44,4 %, y devuelve casi toda su caja libre (3.634 M en 2025) en dividendos y recompras [1].</w:t>
      </w:r>
    </w:p>
    <w:p>
      <w:pPr>
        <w:spacing w:after="100"/>
      </w:pPr>
      <w:r>
        <w:t xml:space="preserve">El precio (92,78 USD, 22,7 veces nuestro BPA base de 2027) descuenta, según el DCF inverso, un crecimiento de las ventas del 8,0 % anual o, lo que es lo mismo, acepta una rentabilidad del 7,2 % anual, por debajo del 8,19 % de WACC con el bono al 5,21 % [28]. Frente a su propia historia no está cara (mediana del PER adelantado 24,4) y frente a los comparables lleva una prima del 39 % (mediana 16,5).</w:t>
      </w:r>
    </w:p>
    <w:p>
      <w:pPr>
        <w:spacing w:after="100"/>
      </w:pPr>
      <w:r>
        <w:t xml:space="preserve">El mercado acierta en la calidad y paga por la estabilidad, pero con tipos al 5 % esa estabilidad vale menos de lo que cuesta: para invertir hay que creer que los tipos largos bajarán o que el orgánico volverá al 5 %. Sin eso, la rentabilidad esperada es la del dividendo más un crecimiento del BPA del 5-6 %, con riesgo de que el múltiplo baje hacia el de los comparables.</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96,05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 × 3,83 = 72,00 · 23,5x × 4,28 = 100,58 · 24,4x × 4,55 = 111,02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 / 10,7 %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98,25 (nuestro base +2,4 %)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 / -38,4 %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 frente a 8,2 % y 7,7 %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77,47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(2027e-2032e)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 frente a 5,5 %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(3,5 %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70,51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70,51 y 109,05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109,05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70,51 USD: pasa a Comprar (precio ≤ valor intrínseco y rentabilidad a 12 meses ≥ 15 %).</w:t>
      </w:r>
    </w:p>
    <w:p>
      <w:pPr>
        <w:pStyle w:val="ListParagraph"/>
        <w:numPr>
          <w:ilvl w:val="0"/>
          <w:numId w:val="2"/>
        </w:numPr>
        <w:spacing w:after="60"/>
      </w:pPr>
      <w:r>
        <w:t xml:space="preserve">Precio por encima de 109,05 USD: Vender (rentabilidad ponderada a 12 meses ≤ −10 %).</w:t>
      </w:r>
    </w:p>
    <w:p>
      <w:pPr>
        <w:pStyle w:val="ListParagraph"/>
        <w:numPr>
          <w:ilvl w:val="0"/>
          <w:numId w:val="2"/>
        </w:numPr>
        <w:spacing w:after="60"/>
      </w:pPr>
      <w:r>
        <w:t xml:space="preserve">Volumen de Norteamérica por debajo de −3 % en el 3T26 y el 4T26 con margen bruto base por debajo del 60 %: revisaríamos el BPA un 10 % a la baja y pasaríamos a Vender.</w:t>
      </w:r>
    </w:p>
    <w:p>
      <w:pPr>
        <w:pStyle w:val="ListParagraph"/>
        <w:numPr>
          <w:ilvl w:val="0"/>
          <w:numId w:val="2"/>
        </w:numPr>
        <w:spacing w:after="60"/>
      </w:pPr>
      <w:r>
        <w:t xml:space="preserve">Bono a 10 años por debajo del 4,5 % con el BPA base 2027 por encima de 4,25: el DCF subiría ≈20 % y revisaríamos al alza.</w:t>
      </w:r>
    </w:p>
    <w:p>
      <w:pPr>
        <w:pStyle w:val="ListParagraph"/>
        <w:numPr>
          <w:ilvl w:val="0"/>
          <w:numId w:val="2"/>
        </w:numPr>
        <w:spacing w:after="60"/>
      </w:pPr>
      <w:r>
        <w:t xml:space="preserve">Venta de las marcas de cuidado personal a más de 3 veces ventas con el dinero a recompras: mejoraría el BPA y la mezcla.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Colgate es un refugio de calidad que merece 22-23 veces el beneficio por su estabilidad, su dividendo creciente y la vuelta del volumen en emergentes; los analistas esperan un BPA de 4,09 en 2027 y un precio de 98,25.</w:t>
      </w:r>
    </w:p>
    <w:p>
      <w:pPr>
        <w:keepNext/>
        <w:spacing w:after="100"/>
      </w:pPr>
      <w:r>
        <w:rPr>
          <w:b/>
          <w:bCs/>
        </w:rPr>
        <w:t xml:space="preserve">Lo que creemos nosotros.</w:t>
      </w:r>
    </w:p>
    <w:p>
      <w:pPr>
        <w:spacing w:after="100"/>
      </w:pPr>
      <w:r>
        <w:t xml:space="preserve">Coincidimos en el beneficio (4,08 en 2027) y en la calidad, y discrepamos en el precio que merece: con el bono al 5,21 % y un crecimiento del 3-3,5 %, los flujos descontados valen 70,51 USD por acción. El múltiplo histórico sostiene el precio a 12 meses (96,05), no el valor.</w:t>
      </w:r>
    </w:p>
    <w:p>
      <w:pPr>
        <w:keepNext/>
        <w:spacing w:after="100"/>
      </w:pPr>
      <w:r>
        <w:rPr>
          <w:b/>
          <w:bCs/>
        </w:rPr>
        <w:t xml:space="preserve">Por qué podemos tener razón.</w:t>
      </w:r>
    </w:p>
    <w:p>
      <w:pPr>
        <w:spacing w:after="100"/>
      </w:pPr>
      <w:r>
        <w:t xml:space="preserve">La prima de Colgate se formó con tipos del 1,5-4 %; con tipos del 5 % los comparables de calidad parecida (Unilever, Haleon) cotizan a 16-17 veces. Si los tipos no bajan, el múltiplo tenderá a converger, y nada en el negocio (orgánico 1-4 %) justifica una prima de crecimiento.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92,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ROIC del 44,4 %</w:t>
      </w:r>
      <w:r>
        <w:t xml:space="preserve"> frente a un WACC del 8,19 %: crece sin necesitar capital.</w:t>
      </w:r>
    </w:p>
    <w:p>
      <w:pPr>
        <w:pStyle w:val="ListParagraph"/>
        <w:numPr>
          <w:ilvl w:val="0"/>
          <w:numId w:val="2"/>
        </w:numPr>
        <w:spacing w:after="60"/>
      </w:pPr>
      <w:r>
        <w:rPr>
          <w:b/>
        </w:rPr>
        <w:t xml:space="preserve">Liderazgo mundial en pasta de dientes</w:t>
      </w:r>
      <w:r>
        <w:t xml:space="preserve">: 41,3 % de cuota sostenida y margen bruto del 60 %.</w:t>
      </w:r>
    </w:p>
    <w:p>
      <w:pPr>
        <w:pStyle w:val="ListParagraph"/>
        <w:numPr>
          <w:ilvl w:val="0"/>
          <w:numId w:val="2"/>
        </w:numPr>
        <w:spacing w:after="60"/>
      </w:pPr>
      <w:r>
        <w:rPr>
          <w:b/>
        </w:rPr>
        <w:t xml:space="preserve">Hill's</w:t>
      </w:r>
      <w:r>
        <w:t xml:space="preserve">: de 2.525 M a 4.613 M de ventas en seis años, con margen operativo del 23 %.</w:t>
      </w:r>
    </w:p>
    <w:p>
      <w:pPr>
        <w:pStyle w:val="ListParagraph"/>
        <w:numPr>
          <w:ilvl w:val="0"/>
          <w:numId w:val="2"/>
        </w:numPr>
        <w:spacing w:after="60"/>
      </w:pPr>
      <w:r>
        <w:rPr>
          <w:b/>
        </w:rPr>
        <w:t xml:space="preserve">Caja y retribución</w:t>
      </w:r>
      <w:r>
        <w:t xml:space="preserve">: caja libre de 3.634 M en 2025 y 21.382 M devueltos en 2019-2025.</w:t>
      </w:r>
    </w:p>
    <w:p>
      <w:pPr>
        <w:pStyle w:val="ListParagraph"/>
        <w:numPr>
          <w:ilvl w:val="0"/>
          <w:numId w:val="2"/>
        </w:numPr>
        <w:spacing w:after="60"/>
      </w:pPr>
      <w:r>
        <w:rPr>
          <w:b/>
        </w:rPr>
        <w:t xml:space="preserve">BPA base +8 % en el 1S26</w:t>
      </w:r>
      <w:r>
        <w:t xml:space="preserve"> y guía subida a crecimiento de un dígito medio.</w:t>
      </w:r>
    </w:p>
    <w:p>
      <w:pPr>
        <w:pStyle w:val="Heading2"/>
      </w:pPr>
      <w:r>
        <w:t xml:space="preserve">En contra</w:t>
      </w:r>
    </w:p>
    <w:p>
      <w:pPr>
        <w:pStyle w:val="ListParagraph"/>
        <w:numPr>
          <w:ilvl w:val="0"/>
          <w:numId w:val="2"/>
        </w:numPr>
        <w:spacing w:after="60"/>
      </w:pPr>
      <w:r>
        <w:rPr>
          <w:b/>
        </w:rPr>
        <w:t xml:space="preserve">Valor intrínseco de 70,51 USD</w:t>
      </w:r>
      <w:r>
        <w:t xml:space="preserve">, un 24,0 % bajo el precio con el bono al 5,21 %.</w:t>
      </w:r>
    </w:p>
    <w:p>
      <w:pPr>
        <w:pStyle w:val="ListParagraph"/>
        <w:numPr>
          <w:ilvl w:val="0"/>
          <w:numId w:val="2"/>
        </w:numPr>
        <w:spacing w:after="60"/>
      </w:pPr>
      <w:r>
        <w:rPr>
          <w:b/>
        </w:rPr>
        <w:t xml:space="preserve">Crecimiento orgánico moderado</w:t>
      </w:r>
      <w:r>
        <w:t xml:space="preserve">: +1,4 % en 2025 y +2,6 % en el 1S26.</w:t>
      </w:r>
    </w:p>
    <w:p>
      <w:pPr>
        <w:pStyle w:val="ListParagraph"/>
        <w:numPr>
          <w:ilvl w:val="0"/>
          <w:numId w:val="2"/>
        </w:numPr>
        <w:spacing w:after="60"/>
      </w:pPr>
      <w:r>
        <w:rPr>
          <w:b/>
        </w:rPr>
        <w:t xml:space="preserve">Norteamérica en caída</w:t>
      </w:r>
      <w:r>
        <w:t xml:space="preserve">: volumen −3,9 % en el 2T26 por marca blanca y competencia.</w:t>
      </w:r>
    </w:p>
    <w:p>
      <w:pPr>
        <w:pStyle w:val="ListParagraph"/>
        <w:numPr>
          <w:ilvl w:val="0"/>
          <w:numId w:val="2"/>
        </w:numPr>
        <w:spacing w:after="60"/>
      </w:pPr>
      <w:r>
        <w:rPr>
          <w:b/>
        </w:rPr>
        <w:t xml:space="preserve">Mala asignación en compras</w:t>
      </w:r>
      <w:r>
        <w:t xml:space="preserve">: 2.211 M de deterioros en skin health tras pagar 1.712 M por Filorga.</w:t>
      </w:r>
    </w:p>
    <w:p>
      <w:pPr>
        <w:pStyle w:val="ListParagraph"/>
        <w:numPr>
          <w:ilvl w:val="0"/>
          <w:numId w:val="2"/>
        </w:numPr>
        <w:spacing w:after="60"/>
      </w:pPr>
      <w:r>
        <w:rPr>
          <w:b/>
        </w:rPr>
        <w:t xml:space="preserve">Prima del 39 %</w:t>
      </w:r>
      <w:r>
        <w:t xml:space="preserve"> sobre la mediana del PER de los comparables (22,9 frente a 16,5).</w:t>
      </w:r>
    </w:p>
    <w:p>
      <w:pPr>
        <w:pStyle w:val="Heading2"/>
      </w:pPr>
      <w:r>
        <w:t xml:space="preserve">Qué tiene que pasar para que la tesis funcione</w:t>
      </w:r>
    </w:p>
    <w:p>
      <w:pPr>
        <w:spacing w:after="100"/>
      </w:pPr>
      <w:r>
        <w:t xml:space="preserve">La tesis de Mantener depende de que el BPA base siga creciendo al 5-6 % (3,92 en 2026 y 4,08 en 2027) mientras el múltiplo aguanta cerca de 22-23 veces. La señal de que no se cumple es un volumen de Norteamérica negativo dos trimestres más con el margen bruto base por debajo del 60 %, o el bono a 10 años por encima del 5,5 %, que llevaría el PER hacia 20 veces (mínimo de cinco años).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1 %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crecimiento del DCF (3,5 %)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Norteamérica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Negativo dos trimestres más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Señal de marca blanca y pérdida de cuota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base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60 %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y aranceles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Hill's sin marca blanca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 (1S26: 2,1 % + 2,3 puntos)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Motor del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Bono del Tesoro a 10 años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5,21 %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encima del 5,5 % o por debajo del 4,5 %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el valor intrínseco y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16,6x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36,5x / 22,9x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 · 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Colgate nace en 1806 como fabricante de jabón y velas en Nueva York y vende su primera pasta de dientes en 1873. La fusión con Palmolive-Peet (1928) le da el negocio de jabones y la compra de Hill's (1976) el de comida veterinaria para mascotas, que hoy es su segmento de más crecimiento: de 2.525 M en 2019 a 4.613 M en 2025 [1, 3]. Su gran error reciente es la entrada en dermocosmética premium en 2019 (Filorga, PCA Skin, EltaMD): 1.712 M solo por Filorga y 2.211 M de deterioros en 2021-2025 [1, 2, 3]. Noel Wallace dirige desde 2019 con la estrategia 2030 y un programa de productividad que se amplió en abril de 2026 [6]. En 2026 reorganizó Europa, África y skin health en una división EMEA y estudia vender marcas de cuidado personal (Softsoap, Irish Spring, Speed Stick) por más de 1.000 M [14,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William Colgate funda en Nueva York un negocio de jabones y velas</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1873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pasta de dientes Colgate, en tarro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con Palmolive-Peet: nace Colgate-Palmolive</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Hill's Pet Products, hoy su segmento de más crecimiento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Tom's of Maine (cuidado bucal natural)</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Filorga, PCA Skin y EltaMD: entrada en dermocosmética; Noel Wallace, primer ejecutivo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Deterioros de 2.211 M en skin health (sobre todo Filorga) [A1, A2]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tres plantas de comida húmeda para Hill's (700 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2030, Strategic Growth and Productivity Program y compra de Prime100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Nueva división EMEA; estudia vender Softsoap, Irish Spring y Speed Stick [B8]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Dos segmentos de producto. </w:t>
      </w:r>
      <w:r>
        <w:rPr>
          <w:b/>
        </w:rPr>
        <w:t xml:space="preserve">Bucal, personal y hogar</w:t>
      </w:r>
      <w:r>
        <w:t xml:space="preserve"> (15.769 M en 2025, el 77 % de las ventas): pasta y cepillos Colgate (41,3 % de cuota mundial en pasta y 32,4 % en cepillos manuales), jabones y geles (Palmolive, Softsoap, Irish Spring), desodorantes (Speed Stick), limpieza (Ajax, Suavitel) y skin health (Filorga, EltaMD, PCA Skin) [1]. Se gestiona por regiones: Norteamérica, Latinoamérica, EMEA y Asia-Pacífico desde 2026 [14]. </w:t>
      </w:r>
      <w:r>
        <w:rPr>
          <w:b/>
        </w:rPr>
        <w:t xml:space="preserve">Hill's Pet Nutrition</w:t>
      </w:r>
      <w:r>
        <w:t xml:space="preserve"> (4.613 M, el 23 %): comida de prescripción veterinaria y de bienestar para perros y gatos, vendida en clínicas, tiendas especializadas y comercio electrónico [1]. Dos tercios de las ventas salen de fuera de EE. UU. y ≈45 % de mercados emergentes [6]. Clientes: grandes distribuidores, mayoristas, dentistas y veterinarios; también venta directa [6].</w:t>
      </w:r>
    </w:p>
    <w:p>
      <w:pPr>
        <w:pStyle w:val="Heading2"/>
      </w:pPr>
      <w:r>
        <w:t xml:space="preserve">Cómo gana dinero</w:t>
      </w:r>
    </w:p>
    <w:p>
      <w:pPr>
        <w:spacing w:after="100"/>
      </w:pPr>
      <w:r>
        <w:t xml:space="preserve">Margen bruto del 60 % gracias a la marca y a la escala: el producto cuesta poco frente a lo que se cobra, y el coste está en publicidad (13,3 % de las ventas en 2025) y en distribución [1]. El margen operativo base es del 21,3 % [1]. La venta es recurrente (consumo diario), sin estacionalidad apreciable. El beneficio depende de tres palancas: precio (Latinoamérica sube precios con la inflación), coste de materias primas (restó 420 pb de margen bruto en 2025, compensados con 260 pb de ahorro) y divisa: el 65 % de las ventas está en otras monedas y las de emergentes se deprecian, por eso las ventas en dólares crecen 3,3 % al año en 2016-2025 aunque el orgánico sea mayor [1, 13]. Hill's tiene margen operativo del 23 % (2025), por encima de bucal, personal y hogar sin corporativo (25 %, antes de 1.717 M de gastos centrales y deterioros)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Oral, Personal and Home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Hill's Pet Nutrition</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Oral, Personal and Home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14.254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15.167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15.618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Hill's Pet Nutrition</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Sin concentración publicada por cliente en el 10-K: ningún cliente supera el umbral que obliga a desglosarlo. El riesgo es de poder de negociación: la empresa reconoce que depende cada vez más de distribuidores clave que tienen datos propios de consumo y marca blanca [6]. </w:t>
      </w:r>
      <w:r>
        <w:rPr>
          <w:b/>
        </w:rPr>
        <w:t xml:space="preserve">Poder de precios demostrado</w:t>
      </w:r>
      <w:r>
        <w:t xml:space="preserve">: en 2022-2023, con la inflación, subió precios ≈10 % al año y recuperó el margen bruto de 2021 (60,6 % en 2024) sin perder cuota mundial en pasta [1, 2]. En 2025 el precio aportó +2,1 % y el volumen −0,4 %; en el 1S26 el volumen vuelve (+1,0 %) con precio +1,9 % [1, 6]. Hill's sube precios por encima de la inflación (+3,9 % en el 1S26) mientras pierde volumen de marca blanca, de la que se está saliendo (−2,3 puntos de orgánico en el 1S26)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mundial en pasta de dientes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 (2025; 41,3 %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Pierde en Norteamérica, Latinoamérica y África/Eurasia; gana en Europa [A1, A12]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mundial en cepillos manuales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 (2025; 32,7 % en el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[A1, A12]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del grupo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 (2024, estimación con la conciliación del 10-K)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 (2025); +2,6 %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+2,1 % y volumen −0,4 % en 2025 [A1, A6]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Orgánico de Hill's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(2025); +2,1 %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Desacelera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marca blanca: −3,2 p. en 2025 y −2,3 p. en el 1S26 [A1, A6]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Publicidad sobre ventas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 (2025); +15 % en dólares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Sube en 2026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[A1, A12]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bruto (base)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 (2025); 61,0 %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pb y +60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Materias primas −420 pb en 2025, ahorro +260 pb [A1, A6]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Dos mercados mundiales: </w:t>
      </w:r>
      <w:r>
        <w:rPr>
          <w:b/>
        </w:rPr>
        <w:t xml:space="preserve">cuidado bucal</w:t>
      </w:r>
      <w:r>
        <w:t xml:space="preserve"> (pasta, cepillos, enjuagues e hilo), donde está ≈45 % de las ventas de Colgate, y </w:t>
      </w:r>
      <w:r>
        <w:rPr>
          <w:b/>
        </w:rPr>
        <w:t xml:space="preserve">comida para mascotas</w:t>
      </w:r>
      <w:r>
        <w:t xml:space="preserve">, donde compite Hill's en la gama veterinaria y premium. Usamos para el bucal el tamaño de MarketsandMarkets (37.210 M USD en 2025, 53.290 M en 2030, TCAC 6,4 %) y lo contrastamos con Fortune Business Insights (34.800 M en 2025, TCAC 4,6 % hasta 2034) [15, 16]; para mascotas, 132.400-132.900 M en 2025 con un crecimiento del 5,5-6,5 % (Future Market Insights y Fortune Business Insights) [17, 18]. Son estudios de pago citados por sus notas de prensa: sirven de orden de magnitud. Cuidado personal y hogar son mercados mayores y más fragmentados, donde Colgate es un actor secundario.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Cuidado bucal: ≈34.800-37.200 M USD en 2025 [B3, B4]; comida para mascotas: ≈132.400-132.900 M USD en 2025 [B5, B6]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cuidado bucal, MarketsandMarke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en mercados emergentes con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+10 % en 2023 y +2,1 % en 2025; el orgánico de Latinoamérica sigue en +5,3 % en el 2T26 [B1, B2]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y premiumización en emergentes (≈45 % de las ventas)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Asia-Pacífico +5,2 % orgánico y volumen +4,1 % en el 2T26 (India, China, Filipinas) [B2]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Humanización de las mascotas y nutrición veterinaria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Hill's pasa de 2.525 M en 2019 a 4.613 M en 2025 (+10,6 % anual) [B1, B9]</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Paso a marca blanca y a formatos baratos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espera que los consumidores pasen a marca blanca en el 2S26; Norteamérica −3,9 % de volumen en el 2T26 [B2]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materias primas (petróleo, resinas, grasas)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restan 420 pb al margen bruto en 2025 y 290 pb en el 1S26 [B1, B2]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Divisas de emergentes (Argentina, Nigeria, Turquía)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ventas en dólares crecen 3,3 % al año en 2016-2025 frente a un orgánico mayor; divisa −5,2 p. en bucal, personal y hogar en 2024 [A1, B1]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con P&amp;G, Haleon, Unilever y Kenvue en bucal; Mars y Nestlé Purina en mascotas. Competencia sobre todo en publicidad y promoción (13,3 % de las ventas) [B1]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Grandes distribuidores con datos propios y marca blanca; el 10-Q habla de mayor dependencia de minoristas clave [B2]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básicas con muchos proveedores; el riesgo es de precio, no de suministro [B1]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Marcas digitales y venta directa entran por comercio social, pero la distribución mundial y la recomendación de dentistas y veterinarios frenan la escala [B2]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Lavarse los dientes y alimentar a la mascota no tienen sustituto; el sustituto es la marca blanca, ya contada en rivalidad [B1]</w:t>
            </w:r>
          </w:p>
        </w:tc>
      </w:tr>
    </w:tbl>
    <w:p>
      <w:pPr>
        <w:spacing w:after="160" w:before="0"/>
      </w:pPr>
    </w:p>
    <w:p>
      <w:pPr>
        <w:pStyle w:val="Heading2"/>
      </w:pPr>
      <w:r>
        <w:t xml:space="preserve">Ciclo</w:t>
      </w:r>
    </w:p>
    <w:p>
      <w:pPr>
        <w:spacing w:after="100"/>
      </w:pPr>
      <w:r>
        <w:t xml:space="preserve">Consumo básico de compra diaria: el volumen apenas se mueve con la economía y lo cíclico es el precio y la divisa. En 2008-09 y en 2020 las ventas aguantaron (2020: +5,0 % en dólares) [3]; en 2022-23 la inflación de materias primas hundió el margen bruto y la empresa lo recuperó con subidas de precio del ≈10 % [2]. Hoy el ciclo está en una fase de normalización: el precio se modera (+1,6 % en el 2T26), el volumen vuelve en emergentes y cae en Norteamérica (−3,9 %), y la empresa espera debilidad de las categorías en el 2S26 con paso a marca blanca [6].</w:t>
      </w:r>
    </w:p>
    <w:p>
      <w:pPr>
        <w:pStyle w:val="Heading2"/>
      </w:pPr>
      <w:r>
        <w:t xml:space="preserve">Regulación</w:t>
      </w:r>
    </w:p>
    <w:p>
      <w:pPr>
        <w:spacing w:after="100"/>
      </w:pPr>
      <w:r>
        <w:t xml:space="preserve">Regulación de producto (FDA en EE. UU. y equivalentes; flúor y alegaciones de salud), de alimentos para mascotas (AAFCO) y de envases (responsabilidad ampliada del productor en la UE). Lo que mueve cifras ahora son los aranceles de EE. UU. y la renegociación del T-MEC (México es un centro de producción para Norteamérica), que la empresa cita como presión sobre costes en el 2S26 [6]. En impuestos, el mínimo global del 15 % (Pilar II) no tiene efecto material según la empresa y el tipo base estimado de 2026 es el 23,6 % [6].</w:t>
      </w:r>
    </w:p>
    <w:p>
      <w:pPr>
        <w:pStyle w:val="Heading2"/>
      </w:pPr>
      <w:r>
        <w:t xml:space="preserve">Tendencias y disrupción</w:t>
      </w:r>
    </w:p>
    <w:p>
      <w:pPr>
        <w:spacing w:after="100"/>
      </w:pPr>
      <w:r>
        <w:t xml:space="preserve">Tres tendencias: (1) </w:t>
      </w:r>
      <w:r>
        <w:rPr>
          <w:b/>
        </w:rPr>
        <w:t xml:space="preserve">premiumización</w:t>
      </w:r>
      <w:r>
        <w:t xml:space="preserve"> en bucal (blanqueamiento, sensibilidad), donde Haleon con Sensodyne gana terreno en el segmento terapéutico; (2) </w:t>
      </w:r>
      <w:r>
        <w:rPr>
          <w:b/>
        </w:rPr>
        <w:t xml:space="preserve">comercio electrónico, comercio social e IA</w:t>
      </w:r>
      <w:r>
        <w:t xml:space="preserve"> como canal: el 10-Q añade que la IA y las redes sociales facilitan la entrada de marcas nuevas con venta directa [6]; (3) </w:t>
      </w:r>
      <w:r>
        <w:rPr>
          <w:b/>
        </w:rPr>
        <w:t xml:space="preserve">humanización de las mascotas</w:t>
      </w:r>
      <w:r>
        <w:t xml:space="preserve">: más gasto por animal y dietas veterinarias, que favorece a Hill's, aunque la comida fresca (Prime100) y la marca blanca compiten por el mismo consumidor [6]. Colgate gana con la primera y la tercera; con la segunda, pierde poder de negociación en la distribución.</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pasta de dientes (41,3 %) y en cepillos manuales (32,4 %); Hill's, uno de los líderes en nutrición veterinaria para mascotas (cuota no publicada)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PG</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87.032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Crest y Oral-B; mayor escala en EE. UU. y en cepillos eléctricos; ejercicio a junio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ULVR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56.477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Signal, Pepsodent y Close-up en emergentes; jabones y desodorantes (Dove, Rexona) frente a Palmolive y Speed Stick</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Haleon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Sensodyne y parodontax: lidera la pasta terapéutica y gana cuota en el segmento premium</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Kenvue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KVUE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Listerine en enjuague; en proceso de compra por Kimberly-Clark</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Church &amp; Dwight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CHD</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Arm &amp; Hammer (pasta y arena para gatos), Waterpik y TheraBreath</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Mars Petcare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Royal Canin compite de frente con Hill's en dietas veterinarias;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Nestlé Purina PetCare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NESN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 Plan Veterinary Diets; líder mundial en comida para mascotas; división de Nestlé</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productos de consumo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en bucal; más altos en Hill's de prescripción, donde el veterinario fija la dieta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Colgate es la marca más presente en hogares del mundo; 41 % de cuota en pasta sostenida durante décadas y margen bruto del 60 % [B1]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de ahorro que aportan ≈260 pb de margen bruto al año [A1]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Fábricas y distribución en más de 200 países; en muchos emergentes es el único con red hasta la tienda pequeña [B1]</w:t>
            </w:r>
          </w:p>
        </w:tc>
      </w:tr>
    </w:tbl>
    <w:p>
      <w:pPr>
        <w:spacing w:after="160" w:before="0"/>
      </w:pPr>
    </w:p>
    <w:p>
      <w:pPr>
        <w:pStyle w:val="Heading2"/>
      </w:pPr>
      <w:r>
        <w:t xml:space="preserve">Amenazas</w:t>
      </w:r>
    </w:p>
    <w:p>
      <w:pPr>
        <w:spacing w:after="100"/>
      </w:pPr>
      <w:r>
        <w:t xml:space="preserve">Las amenazas reales son tres. </w:t>
      </w:r>
      <w:r>
        <w:rPr>
          <w:b/>
        </w:rPr>
        <w:t xml:space="preserve">Marca blanca</w:t>
      </w:r>
      <w:r>
        <w:t xml:space="preserve"> en Norteamérica y Europa si el consumidor se aprieta: la empresa lo espera para el 2S26 [6]; probabilidad media, impacto en volumen de uno o dos puntos. </w:t>
      </w:r>
      <w:r>
        <w:rPr>
          <w:b/>
        </w:rPr>
        <w:t xml:space="preserve">Haleon y P&amp;G</w:t>
      </w:r>
      <w:r>
        <w:t xml:space="preserve"> en el segmento premium de pasta (sensibilidad, blanqueamiento): Colgate perdió 0,4 puntos de cuota mundial en 2025, sobre todo en Norteamérica y Latinoamérica [1]; probabilidad media. </w:t>
      </w:r>
      <w:r>
        <w:rPr>
          <w:b/>
        </w:rPr>
        <w:t xml:space="preserve">Royal Canin (Mars) y Purina</w:t>
      </w:r>
      <w:r>
        <w:t xml:space="preserve"> en dietas veterinarias, con más inversión en clínicas; probabilidad baja-media. La IA no sustituye el producto, pero puede hacer más eficaz la publicidad de los entrantes y llevar la compra a agentes que eligen por precio; probabilidad baja a cinco años.</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20.382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2019-2025: ingresos </w:t>
      </w:r>
      <w:r>
        <w:rPr>
          <w:b/>
          <w:bCs/>
        </w:rPr>
        <w:t xml:space="preserve">4,5 %</w:t>
      </w:r>
      <w:r>
        <w:t xml:space="preserve">, EBITDA </w:t>
      </w:r>
      <w:r>
        <w:rPr>
          <w:b/>
          <w:bCs/>
        </w:rPr>
        <w:t xml:space="preserve">2,9 %</w:t>
      </w:r>
      <w:r>
        <w:t xml:space="preserve">, BPA </w:t>
      </w:r>
      <w:r>
        <w:rPr>
          <w:b/>
          <w:bCs/>
        </w:rPr>
        <w:t xml:space="preserve">-0,7 %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Ventas de 15.693 M (2019) a 20.382 M (2025), +4,4 % anual en dólares, con un orgánico mayor (2023: +8,0 %) frenado por la divisa de emergentes [1, 2]. El margen operativo base pasó del 23,5 % de 2019 a un mínimo en 2022 (inflación de materias primas) y volvió al 21,7 % en 2024 y 21,3 % en 2025 [1]. El beneficio publicado es mucho más volátil que el real por los deterioros de skin health: 2021 (571 M), 2022 (721 M) y 2025 (919 M), que llevan el BPA publicado de 2025 a 2,63 frente a 3,69 de BPA base [1, 2]. En el 1S26, ventas +6,6 % (orgánico +2,6 %, divisa +3,8 %), margen bruto base 61,0 % (+60 pb) y BPA base 1,97 (+8 %), con 305 M de costes del programa de productividad [6].</w:t>
      </w:r>
    </w:p>
    <w:p>
      <w:pPr>
        <w:pStyle w:val="Heading2"/>
      </w:pPr>
      <w:r>
        <w:t xml:space="preserve">Ajustes y partidas no recurrentes</w:t>
      </w:r>
    </w:p>
    <w:p>
      <w:pPr>
        <w:spacing w:after="100"/>
      </w:pPr>
      <w:r>
        <w:t xml:space="preserve">Usamos las cifras publicadas y el motor suma al EBITDA las partidas no recurrentes dentro del beneficio operativo, tomadas de las conciliaciones no GAAP: 2019 126 M (programa de eficiencia), 2020 −10 M, 2021 545 M (deterioro 571 M menos IVA de Brasil), 2022 803 M (deterioro 721 M, productividad 110 M, compras 19 M y plusvalía de suelo −47 M), 2023 52 M (productividad y retirada de producto; el cargo ERISA de 267 M está debajo del beneficio operativo), 2024 85 M y 2025 1.040 M (deterioros 919 M, ERISA 99 M, reestructuración 13 M y compras 9 M) [1, 2, 3, 4]. Las reestructuraciones se repiten casi todos los años (programas de 2012-2019, 2022 y 2025-2028), así que no son del todo extraordinarias: por eso el margen del DCF va 0,2-0,3 puntos por debajo del base.</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0,95</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0,98</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el 2T26 (31-jul-2026) la dirección repitió la guía de ventas (+2-6 %, orgánico 1-4 %) y subió la de BPA base a «un dígito medio» (antes «bajo a medio») porque el margen bruto aguanta (61,5 % en el trimestre, +140 pb) [12]. El mensaje cambia respecto al 1T26: entonces el margen bruto iba a bajar en el año; ahora queda plano pese a más materias primas y aranceles en el 2S26 [12]. Lo que preocupó al mercado fue Norteamérica: ventas −3,0 % con volumen −3,9 % en pasta, jabón y gel, mientras Latinoamérica (+5,3 % orgánico) y Asia (+5,2 %) tiran [6]. La publicidad subió un 15 % y seguirá alta en el 2S26 [12]. No hemos leído la transcripción completa: los titulares de la conferencia apuntan a que el margen bruto plano depende de precios y ahorro con petróleo y resinas al alza [36]. La dirección no ha dado cifras de la posible venta de marcas de cuidado personal [20]. Los seis trimestres de la tabla salen de los 10-Q y de las notas de resultados [7, 8, 9, 10, 11].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15.034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7.343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15.040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15.731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16.393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7.273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16.046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7.949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16.330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7.988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(2019: Compra de Filorga (sep-2019, 1.712 M) y de PCA Skin y EltaMD: entran en balance a lo largo del año).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apenas se mueve (7.343 M en 2020, 7.857 M a jun-2026) y la deuda neta es 1,3 veces el EBITDA: la empresa usa toda la caja libre en dividendos y recompras, no en reducir deuda [6]. El papel comercial (1.149 M a jun-2026) refinancia los vencimientos y está respaldado por 3.641 M de líneas no dispuestas [1, 6]. El circulante comercial es negativo en sentido amplio (−5,9 % de las ventas con todos los pasivos corrientes) y el comercial estricto (existencias + clientes − proveedores) ronda el 8 % de las ventas [6]. El patrimonio es casi nulo (54 M a dic-2025, 236 M a jun-2026) porque las acciones propias acumuladas cuestan 28.931 M: no es un problema de solvencia sino de contabilidad de las recompras.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20.946</w:t>
      </w:r>
      <w:r>
        <w:t xml:space="preserve">, conversión </w:t>
      </w:r>
      <w:r>
        <w:rPr>
          <w:b/>
          <w:bCs/>
        </w:rPr>
        <w:t xml:space="preserve">128 %</w:t>
      </w:r>
      <w:r>
        <w:t xml:space="preserve"> del beneficio neto; adquisiciones 3.166, dividendos 11.999, recompras 9.383.</w:t>
      </w:r>
    </w:p>
    <w:p>
      <w:pPr>
        <w:spacing w:after="100"/>
      </w:pPr>
      <w:r>
        <w:t xml:space="preserve">Conversión alta y estable: flujo operativo de 3.133 M (2019) a 4.198 M (2025, récord) con capex del 2,1-3,9 % de las ventas; caja libre de 3.634 M en 2025, un 170 % del beneficio publicado y un 121 % del beneficio base [1, 13]. El año malo fue 2022 (flujo operativo 2.556 M) por el aumento de existencias con la inflación [2]. En el 1S26 el flujo operativo sube un 17 % (1.742 M) [6]. La empresa espera un capex del 3,0 % de las ventas en 2026; estimación propia: ≈2 puntos son mantenimiento (la amortización del inmovilizado es ≈2,7 % de las ventas) y el resto capacidad de Hill's y automatización [6]. Uso de la caja 2019-2025: dividendos 11.999 M, recompras 9.383 M y compras 3.166 M [13].</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Cuentas sencillas y conservadoras: no capitaliza I+D ni publicidad, los pagos en acciones son el 0,8 % de las ventas (155 M en 2025) y PwC firma sin salvedades desde 2002 [1, 13]. Lo que hay que vigilar son los deterioros recurrentes de skin health (2.211 M en tres ejercicios), que dicen más de la asignación de capital que de la contabilidad, y el uso del BPA «base», que excluye reestructuraciones casi anuales. Diferencia entre resultado contable y fiscal: el tipo efectivo publicado de 2025 (26,1 %) sube por los deterioros no deducibles; el base es el 23,1 % [1]. Los indicadores del motor: Altman Z 7,11 (sin riesgo; el patrimonio casi nulo baja el término de patrimonio, pero la rentabilidad del activo lo compensa), Piotroski F 5 (neutral, castigado por el beneficio publicado de 2025) y Beneish M −3,01 (sin señal de manipulación).</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del mismo negocio (skin health)</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571 M (2021), 721 M (2022) y 919 M (2025); la marca Filorga queda casi a cero [1, 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Reestructuraciones excluidas del BPA base casi todos los años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Programas en 2012-2019, 2022 y 2025-2028; el DCF descuenta ≈0,2-0,3 puntos de margen por ellas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Patrimonio contable casi nulo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28.931 M de acciones propias; ROE sin sentido (el motor da más del 1.000 %) [6]</w:t>
            </w:r>
          </w:p>
        </w:tc>
      </w:tr>
    </w:tbl>
    <w:p>
      <w:pPr>
        <w:spacing w:after="160" w:before="0"/>
      </w:pPr>
    </w:p>
    <w:p>
      <w:pPr>
        <w:pStyle w:val="Heading1"/>
      </w:pPr>
      <w:r>
        <w:t xml:space="preserve">10. Rentabilidad sobre 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2.023,1 %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7.231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8,2 %.</w:t>
      </w:r>
    </w:p>
    <w:p>
      <w:pPr>
        <w:spacing w:after="100"/>
      </w:pPr>
      <w:r>
        <w:rPr>
          <w:b/>
        </w:rPr>
        <w:t xml:space="preserve">Crea valor con mucho margen.</w:t>
      </w:r>
      <w:r>
        <w:t xml:space="preserve"> El ROIC del motor es del 44,4 % en 2025 frente a un WACC del 8,19 %: 36 puntos de diferencia. Se calcula sobre el capital invertido financiero (deuda + patrimonio con minoritarios − caja ≈ 7.065 M), porque el patrimonio contable es casi nulo (54 M) por 28.931 M de recompras acumuladas; el ROE (más del 1.000 %) no significa nada. Medido sobre el capital operativo bruto (inmovilizado, fondo de comercio, intangibles y circulante comercial: 10.936 M a dic-2025) el ROIC base es ≈30 %, y sin fondo de comercio ≈43 %: con cualquier medida supera al WACC en más de 20 puntos [1]. El ROIC se mueve por margen (el mínimo, 33,9 % en 2022, coincide con la inflación de costes) más que por rotación. El ROIC incremental no es útil porque el capital invertido apenas cambia y lo distorsionan los deterioros. Frente a los competidores, P&amp;G ronda el 19 % y Kimberly-Clark el 20 % con la misma medida de Yahoo [19].</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7.475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1.370 M (30-jun-2026) + líneas de crédito no dispuestas de 3.641 M (31-dic-2025; incluye la línea sindicada de 3.000 M) [A1, A6]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figura en el 10-K ni en el 10-Q; no verificado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Pensiones y salud de jubilados con un déficit de 1.283 M a dic-2025 (441 M en EE. UU., 179 M fuera y 663 M de salud de jubilados sin activos), que llevamos al puente neto de impuestos (988 M) [1]. El litigio ERISA por la enmienda de 2005 del plan de pensiones costó 267 M en 2023 y 65 M más en 2025, ya con acuerdo aprobado [1]. Arrendamientos operativos de 566 M fuera de la deuda (US GAAP). Covenants de la deuda bancaria cumplidos con holgura según la empresa [6]. Sin factoring relevante declarado. Programa de reestructuración con 350-550 M de costes totales hasta 2028, de los que 318 M ya se han cargado (13 M en 2025 y 305 M en el 1S26) [1, 6].</w:t>
      </w:r>
    </w:p>
    <w:p>
      <w:pPr>
        <w:pStyle w:val="Heading1"/>
      </w:pPr>
      <w:r>
        <w:t xml:space="preserve">12. Asignación de capital</w:t>
      </w:r>
    </w:p>
    <w:p>
      <w:pPr>
        <w:pStyle w:val="Confianza"/>
        <w:spacing w:after="100"/>
      </w:pPr>
      <w:r>
        <w:t xml:space="preserve">Confianza: Alta</w:t>
      </w:r>
    </w:p>
    <w:p>
      <w:pPr>
        <w:spacing w:after="100"/>
      </w:pPr>
      <w:r>
        <w:t xml:space="preserve">Dividendo trimestral de 0,53 USD (2,12 anual), subido en marzo de cada año desde hace más de seis décadas; se paga ≈58 % del beneficio base [6, 36]. Recompras con el programa de 5.000 M aprobado en marzo de 2025: 1.210 M en 2025 y 597 M en el 1S26 [6, 13]. Prioridades declaradas: invertir en crecimiento (capex del ≈3 % y publicidad), compras selectivas en segmentos de crecimiento alto (bucal, cuidado personal y mascotas), dividendo y recompras [6]. La deuda se mantiene estable y el papel comercial cubre los vencimientos.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859,3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811,1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Prime100 (comida fresca para mascotas, Australia)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(471 M AUD)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Aporta 1,3 puntos de volumen a Hill's en el 1S26; pronto para juzgar</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comida húmeda para mascotas de Red Collar Pet Foods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para Hill's; el margen de Hill's cayó de 23 % a 19 % en 2022-2023 y volvió a 23 % en 2025 [A1, A2]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Hello Products (cuidado bucal natural, EE. UU.) y Nigeria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datos separados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Filorga (cosmética facial premium, Francia)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(papel comercial y 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deterioros de 571 M (2021), 721 M (2022) y 919 M (2025, skin health); marca y relaciones con clientes de Filorga casi a cero a dic-2025 [A1, A2, A3]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PCA Skin y EltaMD (dermocosmética profesional, EE. UU.)</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Integradas en skin health; el negocio pasa a EMEA en 2026 [A6]</w:t>
            </w:r>
          </w:p>
        </w:tc>
      </w:tr>
    </w:tbl>
    <w:p>
      <w:pPr>
        <w:spacing w:after="160" w:before="0"/>
      </w:pPr>
    </w:p>
    <w:p>
      <w:pPr>
        <w:spacing w:after="100"/>
      </w:pPr>
      <w:r>
        <w:t xml:space="preserve">Buena con la caja recurrente y mala con las compras grandes. De 2019 a 2025 devolvió 21.382 M (dividendos y recompras), más que su beneficio, y redujo las acciones diluidas de 861 M a 811 M (−0,9 % al año) [13]. Pero las dos apuestas fuera del núcleo fallaron: skin health (Filorga, 1.712 M, deteriorada casi entera) y, en menor medida, la capacidad de comida húmeda de Hill's (700 M en 2022), que coincidió con dos años de margen bajo en el segmento [1, 2]. Prime100 es pequeña (301 M). La posible venta de Softsoap, Irish Spring y Speed Stick (más de 1.000 M) sería la primera poda relevante de cartera en años [20]: si se hace a buen precio, concentra el grupo en bucal y mascotas, sus negocios de más margen.</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Noel Wallace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1987; primer ejecutivo desde 2019 y presidente desde 2020. Con él el BPA base pasó de 2,83 (2019) a 3,69 USD (2025), pero firmó la compra de Filorga, hoy deteriorada casi entera [C6, A1].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Stanley J. Sutula III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Antes director financiero de Pitney Bowes y directivo financiero de IBM. Responsable del programa de productividad y de la estructura de deuda (papel comercial y bonos en euros) [C6].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Panagiotis Tsourapas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(Europa, Asia-Pacífico, África/Eurasia, skin health)</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Lleva la nueva EMEA, donde está el negocio de skin health que acumuló los deterioros [C6].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Shane Grant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(Américas)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Fichado en junio de 2025 desde fuera; lleva Norteamérica, donde el volumen cae (−3,9 % en el 2T26) [C1, C6].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Lorrie M. Norrington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coordinadora independiente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Exdirectiva de eBay y General Electric [C1].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2-4 % y BPA base con crecimiento de un dígito bajo a medio (feb-2025)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+1,4 %; BPA base +3 % (3,69)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3-5 % y BPA base de un dígito medio-alto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base +11 % (3,60); orgánico por encima del rango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3-5 % y BPA base de un dígito medio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+8,0 %; BPA base +9 % (3,23)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 (en curso)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+2-6 %, orgánico 1-4 %, BPA base de un dígito medio (sube en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1S26: ventas +6,6 %, orgánico +2,6 %, BPA base +8 %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estable y de la casa: Wallace lleva 39 años en Colgate y siete como primer ejecutivo; el director financiero, seis [1]. Cumple la guía de BPA casi siempre (2023 y 2024 por encima, 2025 en la parte baja) y en 2026 la ha subido [12]. Dos puntos en contra: la compra de Filorga es suya y no ha tenido consecuencias visibles en la remuneración, y la cúpula vende acciones sin comprar (57,1 M en 12 meses, 29,7 M del primer ejecutivo en agosto de 2026) [25]. Sucesión: sin plan público; Wallace tiene 61 años y la propuesta de separar presidente y primer ejecutivo sacó un 28,7 % [22]. Relevo ordenado de la directora jurídica en junio de 2026 [24]. En el consejo entra en marzo de 2026 el primer ejecutivo de Bristol Myers Squibb y sale el nuevo primer ejecutivo de Kraft Heinz [23].</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Noel Wallace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Lorrie M. Norrington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coordinadora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(NGCR)</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P. Bilbrey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Finanzas, Personal y Organización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Christopher S. Boerner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T. Cahill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Lisa M. Edwards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 Martin Harris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(presidente), Personal y Organización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Martina Hund-Mejean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Finanzas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 A. Nelson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Personal y Organización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Brian O. Newman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Personal y Organización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52,08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relevante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relevante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State Street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 (13G/A)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 relevante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 (668,5 M de 1.465,7 M emitidas)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 acciones recompradas en el 1S26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Wallace Noel R. (Chairman,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ago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Wallace Noel R. (Chairman,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161.021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SUTULA STANLEY J III (Chief Financial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97.843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Wallace Noel R. (Chairman, President &amp; CEO)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45.568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Tsourapas Panagiotis (COO, Eur., APac, Afr Eur, Skin)</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Daniels Jennifer (CLO and Secretary)</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Hazlin John (Chief Growth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20.989</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Massey Sally (Chief Human Resources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15.851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16,48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11,58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primer ejecutivo cobró 16,48 M en 2025: 1,5 M de fijo, 2,46 M de variable anual y 11,58 M en acciones y opciones (70 % del total) [21]. El variable a largo plazo (unidades por rendimiento a tres años) depende del crecimiento orgánico y del beneficio base frente a un grupo de comparación, de la productividad de la caja libre y de la rentabilidad total para el accionista relativa como modificador: premia crecer y convertir en caja, no el ROIC, aunque con un ROIC del 44 % el riesgo de crecer destruyendo valor es bajo [21]. La retribución es 276 veces la del empleado mediano [21]. Voto consultivo de 2026: 92,7 % a favor y 6,7 % en contra [22]. Hay cláusula de recuperación (obligatoria en EE. UU. desde 2023).</w:t>
      </w:r>
    </w:p>
    <w:p>
      <w:pPr>
        <w:pStyle w:val="Heading2"/>
      </w:pPr>
      <w:r>
        <w:t xml:space="preserve">Operaciones vinculadas, estructura de control y defensas</w:t>
      </w:r>
    </w:p>
    <w:p>
      <w:pPr>
        <w:spacing w:after="100"/>
      </w:pPr>
      <w:r>
        <w:t xml:space="preserve">Sin accionista de control: los tres mayores son fondos indexados (Vanguard 10,3 %, BlackRock 8,2 %, State Street 6,0 %) [21]. Una acción, un voto; consejo de diez con nueve independientes, comisión de auditoría independiente presidida por John Cahill (en el consejo desde 2005, el que más votos en contra recibió en 2026: 8,7 %) y consejera coordinadora independiente [21, 22]. La debilidad formal es que presidente y primer ejecutivo coinciden. Sin operaciones vinculadas relevantes. Colgate no es candidata realista a una compra: 74.187 M de capitalización y ningún comprador del sector con balance para ella.</w:t>
      </w:r>
    </w:p>
    <w:p>
      <w:pPr>
        <w:pStyle w:val="Heading2"/>
      </w:pPr>
      <w:r>
        <w:t xml:space="preserve">Señales de alerta</w:t>
      </w:r>
    </w:p>
    <w:p>
      <w:pPr>
        <w:pStyle w:val="ListParagraph"/>
        <w:numPr>
          <w:ilvl w:val="0"/>
          <w:numId w:val="2"/>
        </w:numPr>
        <w:spacing w:after="60"/>
      </w:pPr>
      <w:r>
        <w:t xml:space="preserve">Presidente y primer ejecutivo en la misma persona; la propuesta de separar los cargos obtuvo un 28,7 % de los votos emitidos en la junta de 2026 [C2].</w:t>
      </w:r>
    </w:p>
    <w:p>
      <w:pPr>
        <w:pStyle w:val="ListParagraph"/>
        <w:numPr>
          <w:ilvl w:val="0"/>
          <w:numId w:val="2"/>
        </w:numPr>
        <w:spacing w:after="60"/>
      </w:pPr>
      <w:r>
        <w:t xml:space="preserve">Ventas de directivos por 57,1 M USD en 12 meses sin ninguna compra; 29,7 M del primer ejecutivo en agosto de 2026, ninguna con plan 10b5-1 declarado [C5].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confirmada el 31-jul-2026: ventas +2-6 % con divisa positiva de un dígito bajo, orgánico 1-4 % (incluye la salida de la marca blanca de mascotas), margen bruto plano, más publicidad y BPA base con crecimiento de un dígito medio (antes, bajo a medio); BPA publicado con crecimiento de dos dígitos [12]. Programa de productividad: 200-300 M de ahorro anual antes de impuestos cuando esté completo, con 350-550 M de costes hasta 2028 [6]. A medio plazo, la estrategia 2030 promete crecimiento compuesto y constante del BPA sin cifra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45"/>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Yahoo Finance, 20 analistas [D2]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20 analistas [D2]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19"/>
        <w:gridCol w:w="1505"/>
        <w:gridCol w:w="1505"/>
        <w:gridCol w:w="1204"/>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22.002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 / 8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98,25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87,00 – 110,00</w:t>
            </w:r>
          </w:p>
        </w:tc>
      </w:tr>
    </w:tbl>
    <w:p>
      <w:pPr>
        <w:spacing w:after="160" w:before="0"/>
      </w:pPr>
    </w:p>
    <w:p>
      <w:pPr>
        <w:pStyle w:val="Heading2"/>
      </w:pPr>
      <w:r>
        <w:t xml:space="preserve">Revisiones de estimaciones</w:t>
      </w:r>
    </w:p>
    <w:p>
      <w:pPr>
        <w:spacing w:after="100"/>
      </w:pPr>
      <w:r>
        <w:t xml:space="preserve">Estimaciones estables: el BPA 2026 del consenso pasó de 3,82 hace 90 días a 3,87 (+1,4 %) tras subir la guía, y el de 2027 de 4,06 a 4,09; en los últimos 30 días hay más revisiones a la baja que al alza (1 y 4) [27]. Los objetivos se recortan levemente en septiembre-octubre (Wells Fargo 95→90, Piper Sandler 98→95) por el coste del petróleo y la debilidad de Norteamérica, tras subidas en julio-agosto (UBS 106→109, Citi 105→110) [27]. Solo hay un proveedor gratuito con estimaciones completas; los objetivos y las recomendaciones (13 comprar, 8 mantener) son del mismo.</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de precio (sin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w:t>
            </w:r>
          </w:p>
        </w:tc>
      </w:tr>
    </w:tbl>
    <w:p>
      <w:pPr>
        <w:spacing w:after="160" w:before="0"/>
      </w:pPr>
    </w:p>
    <w:p>
      <w:pPr>
        <w:spacing w:after="100"/>
      </w:pPr>
      <w:r>
        <w:t xml:space="preserve">La acción sube un 17,4 % en el año frente al 12,8 % del S&amp;P 500, pero a cinco años solo un 3,9 % anual frente al 11,7 % del índice [26]. La caída máxima fue del −29 % entre sep-2024 y nov-2025, cuando el orgánico se frenó (+1,4 % en 2025) y el mercado salió de los defensivos con el bono a más del 5 % [1, 26]. La recuperación de 2026 viene de la vuelta del volumen en emergentes y de la subida de la guía de BPA [12]. Beta baja (0,33 mensual a cinco años; 0,55 ajustada) y volatilidad del 22,6 %. Posición corta del 3,4 % del capital libre (Yahoo; no es registro oficial).</w:t>
      </w:r>
    </w:p>
    <w:p>
      <w:pPr>
        <w:pStyle w:val="Heading1"/>
      </w:pPr>
      <w:r>
        <w:t xml:space="preserve">17. Múltiplos frente a su historia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Con el BPA base, el PER adelantado al cierre de cada año fue de 20,2 a 28,7 veces en 2021-2025 (mediana 24,4), y hoy es de 22,7 veces nuestro BPA 2027e: cotiza un 7 % por debajo de su mediana de cinco años y cerca de su media larga (23,8) [1, 26]. El descuento se explica por los tipos: el bono a 10 años está en el 5,21 % frente al 1,5-4 % de 2020-2023 [28], y por un crecimiento orgánico que se ha moderado del 7-8 % de 2023-2024 al 1-3 %. No vemos un cambio estructural del negocio que justifique volver a 28 veces con el bono al 5 %.</w:t>
      </w:r>
    </w:p>
    <w:p>
      <w:pPr>
        <w:pStyle w:val="Heading1"/>
      </w:pPr>
      <w:r>
        <w:t xml:space="preserve">18. Comparables cotizados</w:t>
      </w:r>
    </w:p>
    <w:p>
      <w:pPr>
        <w:pStyle w:val="Confianza"/>
        <w:spacing w:after="100"/>
      </w:pPr>
      <w:r>
        <w:t xml:space="preserve">Confianza: Media</w:t>
      </w:r>
    </w:p>
    <w:p>
      <w:pPr>
        <w:spacing w:after="100"/>
      </w:pPr>
      <w:r>
        <w:t xml:space="preserve">Diez grandes de consumo de marca en higiene personal y del hogar con presencia mundial, todas a 14-oct-2026 con cifras de Yahoo Finance (capitalización, series de 12 meses y consenso de BPA ajustado, la misma base que el BPA base de Colgate) [19]: P&amp;G, Unilever, Haleon, Church &amp; Dwight, Kimberly-Clark, Beiersdorf, Reckitt, Henkel, Clorox y L'Oréal. Kenvue queda fuera porque su precio está atado a la oferta de Kimberly-Clark (3,50 USD + 0,14625 acciones). Faltan comparables puros de comida para mascotas: Nestlé y General Mills mezclan alimentación humana. El PER de los próximos 12 meses combina los dos ejercicios según los meses que quedan; el crecimiento de Clorox y Henkel incluye compras.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2"/>
        <w:gridCol w:w="504"/>
        <w:gridCol w:w="908"/>
        <w:gridCol w:w="706"/>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Colgate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Procter &amp; Gamble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363.568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Unilever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137.174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Haleon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42.009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Church &amp; Dwight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Kimberly-Clark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Beiersdorf</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19.708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Reckitt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44.831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Henkel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34.889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Clorox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L'Oréal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234.264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 / 12,9x / 15,4x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84,84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 / 16,5x / 21,6x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21.047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 / 2,9x / 4,0x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47,12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63,57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r>
    </w:tbl>
    <w:p>
      <w:pPr>
        <w:spacing w:after="160" w:before="0"/>
      </w:pPr>
    </w:p>
    <w:p>
      <w:pPr>
        <w:spacing w:after="100"/>
      </w:pPr>
      <w:r>
        <w:t xml:space="preserve">Colgate cotiza a 22,9 veces el PER de los próximos 12 meses frente a una mediana de 16,5: es de las más caras, con P&amp;G (22,0), Church &amp; Dwight (25,8) y L'Oréal (26,9). La prima tiene base: margen EBITDA del 18,2 % publicado (24,2 % sin no recurrentes) y ROIC muy superior a la mediana. Pero su crecimiento esperado (≈3 %) es el de la mediana, no superior, así que la prima es por calidad y estabilidad, no por crecimiento [19]. El análisis de Unilever del repositorio (14-oct) daba un PER de 17 veces para un negocio parecido con más alimentación. Usaríamos el PER, con la mediana como suelo de valor: 66,51 USD por acción. Los múltiplos de EV/EBITDA de Yahoo para los comparables no son ajustados y no se usan para concluir.</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Kenvue (Listerine, Neutrogena, Tylenol)</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Kimberly-Clark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14,3 veces el EBITDA ajustado de 12 meses; 8,8 veces con 2.100 M de sinergias. EV/ventas con ventas de 2025 de ≈15.100 M (estimación propia) [D7, D3]</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Touchland (geles hidroalcohólicos)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Church &amp; Dwight</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700 M más hasta 180 M variables; marca de crecimiento alto, por eso el múltiplo de ventas [D8, D9]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Filorga (cosmética facial premium)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Colgate-Palmolive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Pagada a 6,8 veces ventas de ≈250 M; deteriorada casi entera en 2021-2025: ejemplo de sobreprecio, no de valor [D10, A1]</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Prime100 (comida fresca para mascotas)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301</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471 M AUD; múltiplos no publicados [A6]</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2" name="Gráfico 22"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t xml:space="preserve">Las referencias del sector son pocas y caras: Kimberly-Clark paga por Kenvue 14,3 veces el EBITDA ajustado (8,8 con sinergias) y Church &amp; Dwight 12,7 veces por Touchland, una marca de crecimiento alto [31, 32, 33]. La propia Colgate pagó 6,8 veces ventas por Filorga y lo perdió casi todo [34]. Aplicadas a Colgate (16,6 veces el EBITDA de 12 meses hoy) no dicen que esté barata. La posible venta de Softsoap, Irish Spring y Speed Stick (más de 1.000 M según Reuters) dará un precio de referencia para el cuidado personal maduro [20]. Las transacciones no pesan en la valoración.</w:t>
      </w:r>
    </w:p>
    <w:p>
      <w:pPr>
        <w:pStyle w:val="Heading1"/>
      </w:pPr>
      <w:r>
        <w:t xml:space="preserve">20. Descuento de flujos de caja (DCF)</w:t>
      </w:r>
    </w:p>
    <w:p>
      <w:pPr>
        <w:pStyle w:val="Confianza"/>
        <w:spacing w:after="100"/>
      </w:pPr>
      <w:r>
        <w:t xml:space="preserve">Confianza: Alta</w:t>
      </w:r>
    </w:p>
    <w:p>
      <w:pPr>
        <w:pStyle w:val="Heading2"/>
      </w:pPr>
      <w:r>
        <w:t xml:space="preserve">Supuestos y su justificación</w:t>
      </w:r>
    </w:p>
    <w:p>
      <w:pPr>
        <w:keepNext/>
        <w:spacing w:after="100"/>
      </w:pPr>
      <w:r>
        <w:rPr>
          <w:b/>
          <w:bCs/>
        </w:rPr>
        <w:t xml:space="preserve">Crecimiento de ingresos.</w:t>
      </w:r>
    </w:p>
    <w:p>
      <w:pPr>
        <w:spacing w:after="100"/>
      </w:pPr>
      <w:r>
        <w:t xml:space="preserve">2026e +4,5 % (fijo): la guía es +2-6 % y el 1S26 lleva +6,6 % con divisa +3,8 %; el 2S26 tiene menos ayuda de la divisa y la salida de la marca blanca de Hill's [6, 12]. 2027e +3,3 % (consenso +3,1 %) y 3,5 % en 2028-2030, que bajan al 3,0 % en 2032: es un orgánico del 3,5 % (volumen 1,5 % y precio 2 %) sin divisa, por debajo del 4-5 % de su historia antes de la inflación y del 5,5 % que se espera para sus mercados [15, 17]. Las ventas en dólares crecieron 3,3 % al año en 2016-2025 y 4,4 % en 2019-2025 [13].</w:t>
      </w:r>
    </w:p>
    <w:p>
      <w:pPr>
        <w:keepNext/>
        <w:spacing w:after="100"/>
      </w:pPr>
      <w:r>
        <w:rPr>
          <w:b/>
          <w:bCs/>
        </w:rPr>
        <w:t xml:space="preserve">Márgenes.</w:t>
      </w:r>
    </w:p>
    <w:p>
      <w:pPr>
        <w:spacing w:after="100"/>
      </w:pPr>
      <w:r>
        <w:t xml:space="preserve">Margen EBITDA del 23,0 % en 2026e (incluye ≈1,3 puntos de costes del programa de productividad) y 23,9-24,2 % después, frente al 24,4 % base de 2025 y al 24,2 % del 1S26 [1, 6]. Descontamos 0,2-0,3 puntos de reestructuración casi recurrente. El ahorro del programa (200-300 M, 1-1,5 puntos de ventas) no lo sumamos al margen porque la empresa lo reinvierte en publicidad (+15 % en el 2T26) [6, 12]. El margen máximo histórico del EBITDA base es ≈26 % (2019-2020).</w:t>
      </w:r>
    </w:p>
    <w:p>
      <w:pPr>
        <w:keepNext/>
        <w:spacing w:after="100"/>
      </w:pPr>
      <w:r>
        <w:rPr>
          <w:b/>
          <w:bCs/>
        </w:rPr>
        <w:t xml:space="preserve">Inversión y circulante.</w:t>
      </w:r>
    </w:p>
    <w:p>
      <w:pPr>
        <w:spacing w:after="100"/>
      </w:pPr>
      <w:r>
        <w:t xml:space="preserve">Capex del 3,0 % de las ventas (guía 2026) y 3,1 % al final, por encima de la amortización (3,0 %) en el último año [6]. Circulante comercial (existencias + clientes − proveedores) del 8,0 % de las ventas, el de 2025 (1.618 M sobre 20.382 M) [1]. Tipo impositivo del 23,5 %, el base de 2025-2026 (23,1-23,6 %) [1, 6]. La reinversión neta es pequeña: crecer apenas pide capital.</w:t>
      </w:r>
    </w:p>
    <w:p>
      <w:pPr>
        <w:keepNext/>
        <w:spacing w:after="100"/>
      </w:pPr>
      <w:r>
        <w:rPr>
          <w:b/>
          <w:bCs/>
        </w:rPr>
        <w:t xml:space="preserve">Coste del capital.</w:t>
      </w:r>
    </w:p>
    <w:p>
      <w:pPr>
        <w:spacing w:after="100"/>
      </w:pPr>
      <w:r>
        <w:t xml:space="preserve">Tasa libre: bono del Tesoro a 10 años al 5,21 % (13-oct-2026) [28]. Beta 0,68: media entre la regresión ajustada frente al S&amp;P 500 (0,55; la mensual sin ajustar es 0,33) y la del sector de productos para el hogar de Damodaran reapalancada con la deuda de Colgate a precios de mercado (0,74 desapalancada corregida por caja → 0,80) [26, 30]. Prima de mercado del 5,0 %; la implícita de hoy (4,20 %) va en la regla relativa [29]. Sin prima adicional: la exposición a emergentes ya pesa en el crecimiento en dólares. Coste de la deuda antes de impuestos del 5,6 % (marginal; el medio de la cartera es 2,9 %) y peso de la deuda del 9,6 % a precios de mercado. WACC 8,19 %.</w:t>
      </w:r>
    </w:p>
    <w:p>
      <w:pPr>
        <w:keepNext/>
        <w:spacing w:after="100"/>
      </w:pPr>
      <w:r>
        <w:rPr>
          <w:b/>
          <w:bCs/>
        </w:rPr>
        <w:t xml:space="preserve">Valor terminal.</w:t>
      </w:r>
    </w:p>
    <w:p>
      <w:pPr>
        <w:spacing w:after="100"/>
      </w:pPr>
      <w:r>
        <w:t xml:space="preserve">Gordon con un crecimiento del 3,0 %: 1-1,5 % real más ≈2 % de inflación en dólares, coherente con una tasa libre del 5,21 % (por debajo de 4,7 %). Con la exposición a emergentes, el crecimiento nominal en dólares a largo plazo ha sido algo mayor, pero la divisa lo come. El múltiplo de salida de 16 veces el EBITDA es la referencia de los comparables y de Kenvue (14,3) [19, 31]. El valor terminal es el 73 % del DCF.</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0,68</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7,70 %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2.626</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81.670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100.401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101,69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68,98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85,14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482 M (2 % del NOPAT)</w:t>
            </w:r>
          </w:p>
        </w:tc>
      </w:tr>
    </w:tbl>
    <w:p>
      <w:pPr>
        <w:spacing w:after="160" w:before="0"/>
      </w:pPr>
    </w:p>
    <w:p>
      <w:pPr>
        <w:spacing w:after="100"/>
      </w:pPr>
      <w:r>
        <w:t xml:space="preserve">La proyección apenas necesita inversión neta de la amortización (reinversión acumulada de 482 M, el 2 % del NOPAT, con un capex bruto medio del 3,0 % de las ventas). En un negocio de activos ligeros, el crecimiento medio del 3,5 %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ventas +2-6 % con divisa positiva y orgánico 1-4 %; 1S26 con volumen +1,0 %, precio +1,9 % y divisa +3,8 % [6,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emergentes y fin del efecto de la salida de la marca blanca de Hill's; precio en línea con la inflación; divisa neutra por hipótesis.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3,5 %: volumen +1,5 % (penetración en emergentes, Hill's) y precio +2 % (mezcla premium).</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2028e; sin compras.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Igual que 2028e; el crecimiento converge al terminal a partir de 2031.</w:t>
            </w:r>
          </w:p>
        </w:tc>
      </w:tr>
    </w:tbl>
    <w:p>
      <w:pPr>
        <w:spacing w:after="160" w:before="0"/>
      </w:pPr>
    </w:p>
    <w:p>
      <w:pPr>
        <w:spacing w:after="100"/>
      </w:pPr>
      <w:r>
        <w:t xml:space="preserve">Sí. El crecimiento medio proyectado (3,5 % en dólares) está por debajo del orgánico histórico y del crecimiento esperado de sus mercados (4,6-6,5 %) [15, 16, 17], y no necesita capital: la reinversión acumulada es el 2 % del NOPAT porque el ROIC es del 44,4 %. Como la prueba de reinversión no aplica a un negocio sin inversión neta, la hacemos con el poder de precios y la cuota: subió precios ≈10 % al año en 2022-2023 sin perder la cuota mundial en pasta (41,3 %), y no proyectamos ganar cuota [1, 2]. El riesgo es el volumen en Norteamérica (−3,9 % en el 2T26), que pesa el 17 % de las ventas.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(2027e-2032e)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(base: 3,3 %)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29,2 % (base: 24,2 %)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7,2 % (WACC: 8,2 %)</w:t>
            </w:r>
          </w:p>
        </w:tc>
      </w:tr>
    </w:tbl>
    <w:p>
      <w:pPr>
        <w:spacing w:after="160" w:before="0"/>
      </w:pPr>
    </w:p>
    <w:p>
      <w:pPr>
        <w:spacing w:after="100"/>
      </w:pPr>
      <w:r>
        <w:t xml:space="preserve">El DCF da 72,50 USD por acción (−21,9 % frente a 92,78), con el valor terminal en el 73 % del total y un WACC del 8,19 %. El DCF inverso dice que el precio descuenta un crecimiento anual de las ventas del 8,0 % en 2027-2032 con nuestros márgenes, frente al 3,3 % de nuestro caso base, o, dicho de otra forma, una rentabilidad anual implícita del 7,2 %, por debajo del 8,19 % de WACC y del 7,7 % que pide hoy el mercado con su prima implícita. Es exigente: Colgate no ha crecido al 8 % en dólares de forma sostenida desde hace más de una década (+3,3 % anual en 2016-2025). La distancia no viene de las cifras, que coinciden con el consenso (BPA 2027e de 4,08 frente a 4,09), sino de la tasa: con el bono al 5,21 %, una caja libre del 4,6 % del valor empresa y un crecimiento del 3 % no llegan al coste del capital. Con la prima del mercado el valor sube a 77,47.</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blanca y Haleon le quitan volumen en Norteamérica y Europa, las materias primas (petróleo por encima de 100 USD) no se trasladan a precio y la divisa de emergentes resta: crecimiento 1,5 puntos menor y margen 1,5 puntos por debajo, como en 2022.</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3-3,5 %, margen EBITDA del 24 % y caja libre de ≈3.700-4.000 M al año, con el programa de productividad compensando la inflación de costes.</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79,98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Hill's vuelve a crecer cerca del 7-8 % sin la marca blanca, la venta de las marcas de cuidado personal mejora la mezcla y el ahorro del programa sube el margen: crecimiento 1 punto mayor y margen 0,8 puntos por encima.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Valor por acción por escenario (USD) · precio actual 92,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spacing w:after="100"/>
      </w:pPr>
      <w:r>
        <w:rPr>
          <w:b/>
          <w:bCs/>
        </w:rPr>
        <w:t xml:space="preserve">Valor ponderado por probabilidad:</w:t>
      </w:r>
      <w:r>
        <w:t xml:space="preserve"> 70,53 USD (-24,0 %).</w:t>
      </w:r>
    </w:p>
    <w:p>
      <w:pPr>
        <w:spacing w:after="100"/>
      </w:pPr>
      <w:r>
        <w:t xml:space="preserve">La asimetría del valor intrínseco es mala: el alcista (79,98) queda un 13,8 % por debajo del precio y el bajista (57,12) un 38,4 %; la asimetría es −0,36 veces. No compensa comprar por valor intrínseco a este precio. A 12 meses la lectura es otra: el mercado paga a Colgate por su estabilidad y el PER de 22,7 veces está por debajo de su historia, de modo que la rentabilidad esperada a 12 meses es positiva (5,8 % ponderada) pero baja. El bajista es verosímil: en 2022 el margen operativo base cayó ≈2 puntos y la acción perdió un 25 % desde máximos.</w:t>
      </w:r>
    </w:p>
    <w:p>
      <w:pPr>
        <w:pStyle w:val="Heading1"/>
      </w:pPr>
      <w:r>
        <w:t xml:space="preserve">22. Suma de partes</w:t>
      </w:r>
    </w:p>
    <w:p>
      <w:pPr>
        <w:pStyle w:val="Confianza"/>
        <w:spacing w:after="100"/>
      </w:pPr>
      <w:r>
        <w:t xml:space="preserve">Confianza: Media</w:t>
      </w:r>
    </w:p>
    <w:p>
      <w:pPr>
        <w:spacing w:after="100"/>
      </w:pPr>
      <w:r>
        <w:t xml:space="preserve">No aplica en la valoración: Hill's (23 % de las ventas y 21 % del beneficio operativo de los segmentos) merecería un múltiplo algo mayor, pero comparte gestión, distribución en emergentes y estructura de capital con el resto, y no hay comparables cotizados puros de nutrición veterinaria. Si se vendieran las marcas de cuidado personal, se revisaría.</w:t>
      </w:r>
    </w:p>
    <w:p>
      <w:pPr>
        <w:spacing w:after="160" w:before="0"/>
      </w:pPr>
    </w:p>
    <w:p>
      <w:pPr>
        <w:pStyle w:val="Heading1"/>
      </w:pPr>
      <w:r>
        <w:t xml:space="preserve">23. Síntesis de valoración</w:t>
      </w:r>
    </w:p>
    <w:p>
      <w:pPr>
        <w:pStyle w:val="Confianza"/>
        <w:spacing w:after="100"/>
      </w:pPr>
      <w:r>
        <w:t xml:space="preserve">Confianza: Alta</w:t>
      </w:r>
    </w:p>
    <w:p>
      <w:pPr>
        <w:keepNext w:val="false"/>
        <w:spacing w:after="160" w:before="120"/>
        <w:jc w:val="center"/>
      </w:pPr>
      <w:r>
        <w:drawing>
          <wp:inline xmlns:wp="http://schemas.openxmlformats.org/drawingml/2006/wordprocessingDrawing" distT="0" distB="0" distL="0" distR="0">
            <wp:extent cx="5760000" cy="2880000"/>
            <wp:effectExtent l="0" t="0" r="0" b="0"/>
            <wp:docPr id="1026" name="Gráfico 26" descr="Valor por acción según cada método (USD) · precio actual 92,78"/>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70,51 USD (-24,0 % sobre 92,78).</w:t>
      </w:r>
    </w:p>
    <w:p>
      <w:pPr>
        <w:spacing w:after="100"/>
      </w:pPr>
      <w:r>
        <w:t xml:space="preserve">Pesos: DCF 40, escenarios 40 y comparables 20. El DCF es el método más fiable para un negocio estable, sin ciclo y con caja predecible; los comparables tienen un sesgo a la baja (la mediana incluye a Kimberly-Clark, Henkel y Clorox, de menor calidad) y por eso pesan menos. Las transacciones no pesan: hay pocas y con primas de control. La dispersión entre métodos es moderada (comparables 66,51, DCF 72,50, escenarios ponderados ≈70) y todos quedan por debajo del precio: el valor objetivo es 70,51 (−24,0 %). Con la prima de riesgo que hoy pide el mercado (4,20 %) el valor sube a 77,47, todavía un 16,5 % por debajo. Lo que sostiene el precio es el múltiplo histórico, no los flujos descontados al tipo de hoy.</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(22.7x) a mitad de camino hacia la mediana de 5 años (24.4x)</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100,58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mediana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+21,9 %</w:t>
            </w:r>
          </w:p>
        </w:tc>
      </w:tr>
    </w:tbl>
    <w:p>
      <w:pPr>
        <w:spacing w:after="160" w:before="0"/>
      </w:pPr>
    </w:p>
    <w:p>
      <w:pPr>
        <w:spacing w:after="100"/>
      </w:pPr>
      <w:r>
        <w:rPr>
          <w:b/>
          <w:bCs/>
        </w:rPr>
        <w:t xml:space="preserve">Objetivo a 12 meses (ponderado):</w:t>
      </w:r>
      <w:r>
        <w:t xml:space="preserve"> 96,05 USD · rentabilidad +5,8 % (base +10,7 %) · señal Mantener.</w:t>
      </w:r>
    </w:p>
    <w:p>
      <w:pPr>
        <w:spacing w:after="100"/>
      </w:pPr>
      <w:r>
        <w:t xml:space="preserve">Para comparar, con la regla v2 (historia al cierre, mismo precio): 21,4x / 22,7x / 24,6x, 6,9 % Mantener.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No hay diferencia de beneficio: nuestro BPA 2026e (3,92) va un 1,3 % sobre el consenso (3,87) y el 2027e (4,08) coincide (4,09). El precio base a 12 meses (100,58) queda un 2,4 % sobre el objetivo medio de los analistas (98,25) y dentro de su rango (87-110). La tendencia de los objetivos es de leves recortes en septiembre-octubre.</w:t>
      </w:r>
    </w:p>
    <w:p>
      <w:pPr>
        <w:keepNext/>
        <w:spacing w:after="100"/>
      </w:pPr>
      <w:r>
        <w:rPr>
          <w:b/>
          <w:bCs/>
        </w:rPr>
        <w:t xml:space="preserve">Del valor intrínseco al objetivo a 12 meses.</w:t>
      </w:r>
    </w:p>
    <w:p>
      <w:pPr>
        <w:spacing w:after="100"/>
      </w:pPr>
      <w:r>
        <w:t xml:space="preserve">El objetivo a 12 meses (96,05 USD) queda un 36 % por encima del valor intrínseco (70,51). La distancia es de tasa de descuento, no de beneficio: el mercado paga 22,7 veces el BPA de 2027 por un negocio estable con un ROIC del 44 %, y nuestro DCF, con el bono al 5,21 %, solo justifica ≈17 veces. Para cerrarla haría falta que bajaran los tipos largos (cada punto menos de WACC sube el DCF ≈20 %) o que el crecimiento orgánico volviera al 5 %. Ninguna de las dos cosas tiene fecha: la tesis de valor no es a 12 meses y el horizonte de la rentabilidad a 12 meses es el del múltiplo.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30-oct-2026 (estimado; último viernes de octubre)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(en 2025 fueron el 31-oct) [35]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Norteamérica y margen bruto con petróleo caro; confirmación de la guía de BPA base (+un dígito medio)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Posible venta de Softsoap, Irish Spring y Speed Stick (más de 1.000 M, asesor Goldman Sachs)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Mejora la mezcla y da caja para recompras; precio de referencia para el cuidado personal</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Finales de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sin el efecto de la marca blanca de Hill's; ahorro del programa de productividad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 anual del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 señal de confianza, sin efecto en valor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Kenvue por Kimberly-Clark</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Competidor más grande en salud del consumidor (Listerine frente a Colgate)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Programa de productividad ampliado (200-300 M de ahorro anual)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Sostiene el margen frente a materias primas y aranceles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largos altos durante más tiempo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Un punto más de WACC baja el DCF ≈15-20 %; el PER de 20 veces (mínimo de 5 años) da 72 en el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estable con caja creciente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Bono a 10 años por encima del 5,5 %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 blanca y debilidad del consumo en Norteamérica y Europa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en el BPA bajista (3,83 frente a 4,28)</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en varios niveles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Norteamérica por debajo de −3 % dos trimestres más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 (petróleo, resinas, grasas) y aranceles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 BPA por cada 100 pb de margen bruto no compensados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Ahorro de 260 pb al año y subidas de precio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base por debajo del 60 %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de emergentes (≈45 % de las ventas: Argentina, Turquía, Nigeria, Brasil, México)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−3-5 % de ventas en dólares en un año malo (2024: −5,2 puntos en bucal, personal y hogar)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en hiperinflación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Dólar al alza frente a emergentes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Hill's: competencia de Royal Canin y Purina en dietas veterinarias y de la comida fresca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del valor si Hill's crece al 2 % en vez de al 5-7 %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 veterinaria, Prime100</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 Hill's sin marca blanca por debajo del 3 %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 otra compra cara fuera del núcleo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Filorga costó ≈2 USD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Foco declarado en bucal y mascotas; posible venta de marcas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más de 2.000 M a más de 5 veces ventas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IA: compra por agentes que eligen por precio y entrada de marcas digitales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Tecnología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 a 5 años: el producto no se sustituye; presión en precio y publicidad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Marca más presente en hogares del mundo; inversión en datos e IA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Pérdida de cuota en comercio electrónico en EE. UU.</w:t>
            </w:r>
          </w:p>
        </w:tc>
      </w:tr>
    </w:tbl>
    <w:p>
      <w:pPr>
        <w:spacing w:after="160" w:before="0"/>
      </w:pPr>
    </w:p>
    <w:p>
      <w:pPr>
        <w:pStyle w:val="Heading2"/>
      </w:pPr>
      <w:r>
        <w:t xml:space="preserve">Pre-mortem</w:t>
      </w:r>
    </w:p>
    <w:p>
      <w:pPr>
        <w:spacing w:after="100"/>
      </w:pPr>
      <w:r>
        <w:t xml:space="preserve">Octubre de 2029: Colgate ha perdido un 40 % y cotiza a ≈56 USD. La historia más probable empieza en 2027: el bono a 10 años sigue por encima del 5 % y los inversores dejan de pagar 23 veces por un crecimiento del 3 %. A la vez, el consumidor de Norteamérica y Europa, presionado por la inflación de la energía, pasa a la marca blanca en jabón, gel y pasta básica; el volumen de Norteamérica cae tres años seguidos. El petróleo caro sube resinas y envases y el ahorro del programa de productividad no compensa: el margen bruto vuelve al 58 % como en 2022. Hill's, sin la marca blanca, crece al 2 % porque Royal Canin y la comida fresca le quitan cuota en clínicas. El dólar fuerte resta cinco puntos de ventas en emergentes. El BPA base se estanca en 3,9 y el PER baja a 15 veces, el de los comparables. Indicadores que lo habrían anticipado: volumen de Norteamérica negativo dos trimestres seguidos, margen bruto base por debajo del 60 %, orgánico de Hill's sin marca blanca por debajo del 3 % y el bono a 10 años por encima del 5,5 %.</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con efecto en cifras: (1) </w:t>
      </w:r>
      <w:r>
        <w:rPr>
          <w:b/>
        </w:rPr>
        <w:t xml:space="preserve">envases de plástico</w:t>
      </w:r>
      <w:r>
        <w:t xml:space="preserve">: tubos y botellas, con impuestos y responsabilidad ampliada del productor en la UE; la empresa desarrolló un tubo de pasta reciclable y lo ha liberado al sector [1]; (2) </w:t>
      </w:r>
      <w:r>
        <w:rPr>
          <w:b/>
        </w:rPr>
        <w:t xml:space="preserve">coste y origen de materias primas</w:t>
      </w:r>
      <w:r>
        <w:t xml:space="preserve"> (aceite de palma, grasas, resinas), que restó 420 pb de margen bruto en 2025 [1]; (3) </w:t>
      </w:r>
      <w:r>
        <w:rPr>
          <w:b/>
        </w:rPr>
        <w:t xml:space="preserve">salud y seguridad del producto</w:t>
      </w:r>
      <w:r>
        <w:t xml:space="preserve">: retirada de producto en 2023 (25 M) [2]. Sin calificaciones verificadas de agencias en las fuentes leídas.</w:t>
      </w:r>
    </w:p>
    <w:p>
      <w:pPr>
        <w:pStyle w:val="Heading2"/>
      </w:pPr>
      <w:r>
        <w:t xml:space="preserve">Controversias</w:t>
      </w:r>
    </w:p>
    <w:p>
      <w:pPr>
        <w:spacing w:after="100"/>
      </w:pPr>
      <w:r>
        <w:t xml:space="preserve">Litigio ERISA por la enmienda de 2005 del plan de pensiones: 267 M de cargo en 2023 y 65 M en 2025, con acuerdo aprobado en 2025 [1]. Retirada de producto en 2023 (25 M) [2]. Acuerdo de 2,9 M por la publicidad de una pasta de Tom's of Maine, con audiencia de aprobación final en septiembre de 2026 (comentado en foros; importe inmaterial) [37]. Sin sanciones relevantes de competencia en los últimos tres años en los documentos leídos.</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 de marcas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y margen tienen Softsoap, Irish Spring y Speed Stick, y a qué destinaría el dinero (recompras, deuda,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1.000 M según Reuters; cambia la mezcla y el BPA [20]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Norteamérica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−3,9 % de volumen del 2T26 es marca blanca, cuánto pérdida de cuota frente a Crest y Sensodyne y cuánto reducción de inventario de los distribuidores?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riesgo principal del bajista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Hill's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termina la salida de la marca blanca y cuál es el orgánico subyacente de Hill's sin ella?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Restó 3,2 puntos en 2025 y 2,3 en el 1S26; decide el alcista [1,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Programa de productividad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200-300 M de ahorro llegará al margen y qué parte se reinvierte en publicidad?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sumamos el ahorro al margen; si llega la mitad, el BPA sube ≈5 %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Skin health</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plantea vender Filorga y el resto de skin health tras dejar la marca casi a cero?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con deterioros de 2.211 M y orgánico negativo [1, 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Materias primas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cobertura de costes tiene para 2027 con el petróleo por encima de 100 USD?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margen bruto plano de 2026 depende de precio y ahorro [12]</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plan de sucesión del primer ejecutivo y por qué no se separan los cargos?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28,7 % de votos a favor de separar los cargos en 2026 [22]</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(análisis)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artículos se reparten entre «se recupera bien» y «rey del dividendo resistente» y «demasiado cara para ser defensiva» o «sigo sin comprar tras el 2T»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(noticias y conferencias)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Atención a la debilidad de Norteamérica tras el 2T26, al margen bruto plano con materias primas al alza y a la posible venta de marcas de cuidado personal [36].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($CL)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mensajes sobre la empresa (el símbolo se mezcla con el petróleo): entusiasmo por la rotación a defensivos en octubre, compra de opciones a 2028 y debate sobre la venta de marcas; algún mensaje de venta tras la noticia del 11-sep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sectorial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venta de Softsoap, Irish Spring y Speed Stick se lee como poda de marcas maduras para concentrarse en bucal y mascotas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cara para un defensivo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Coincide con el DCF: a 22,7 veces y con el bono al 5,21 %, el valor intrínseco (70,51) queda un 24 % por debajo del precio; frente a su historia (mediana 24,4) no está cara.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Rey del dividendo y refugio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dividendo creciente durante décadas y rentabilidad del 2,3 %; no compensa la tasa de descuento actual.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Debilidad de Norteamérica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real: volumen −3,9 % en el 2T26 en una región del 17 % de las ventas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Venta de marcas de cuidado personal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confirmar por la empresa; positivo para la mezcla si el precio es bueno [20].</w:t>
            </w:r>
          </w:p>
        </w:tc>
      </w:tr>
    </w:tbl>
    <w:p>
      <w:pPr>
        <w:spacing w:after="160" w:before="0"/>
      </w:pPr>
    </w:p>
    <w:p>
      <w:pPr>
        <w:spacing w:after="100"/>
      </w:pPr>
      <w:r>
        <w:t xml:space="preserve">El sentimiento no es extremo: la opinión se parte entre quienes ven un defensivo de calidad que recupera volumen y quienes lo ven caro con tipos altos, que es exactamente la tensión del informe (múltiplo histórico frente a DCF). Va algo más templado que los analistas (13 de 21 recomiendan comprar). No señala un riesgo que el informe no recoja; la debilidad de Norteamérica y el coste del petróleo ya están en riesgos. Ninguna cifra del informe sale de los foros.</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18 controles correctos. Fuentes: 38 (23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8,0 % frente a 7,9 % real: genera una variación de circulante de 86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73 %.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38 fuentes (23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resultados trimestrales: no publican EBITDA; 2) 10-Q: amortización solo acumulada; 3) derivarlo mezclaría bases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6 del 10-K 2025: solo vencimientos; 2) 10-Q 2T26: no la da; 3) cálculo con 4.495 M sin desglose después de 2030: no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y proxy: no las publican; 2) informe de sostenibilidad: no descargado por tiempo; 3) agencias (MSCI, Sustainalytics) con acceso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solo la cuota propia; 2) estudios de mercado: detrás de pago; 3) suma de cuotas de competidores: no publicadas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tabla de participaciones del proxy: en acciones, sin porcentaje legible en el texto extraído; 2) Form 4: saldo tras cada operación, no total; 3) estimación: todos por debajo del 0,1 %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estimaciones 2028e y 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Yahoo: solo dos ejercicios y sin EBITDA; 2) MarketScreener: no consultado por tiempo; 3) StockAnalysis: no consultado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tercera operación con EV/EBITDA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Prime100 y plantas de Red Collar: sin múltiplo publicado; 2) Filorga: solo ventas; 3) Kenvue y Touchland sí: dos con EV/EBITDA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2025 (cuentas 2023-2025, segmentos, deuda, pensiones, no recurrentes y BPA base)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https://www.sec.gov/Archives/edgar/data/21665/000002166526000006/cl-20251231.htm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2023 (cuentas 2021-2023, BPA base 2022-2023, deterioros de skin health)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https://www.sec.gov/Archives/edgar/data/21665/000002166524000003/cl-20231231.htm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2021 (cuentas 2019-2021, BPA base 2020-2021)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https://www.sec.gov/Archives/edgar/data/21665/000002166522000003/cl-20211231.htm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2019 (BPA base 2018-2019, compra de Filorga)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https://www.sec.gov/Archives/edgar/data/21665/000002166520000004/cl-12312019x10k.htm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2017 (BPA base 2016-2017)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feb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https://www.sec.gov/Archives/edgar/data/21665/000002166518000003/cl-12312017x10k.htm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(balance a 30-jun-2026, deuda, papel comercial, programa de productividad, perspectivas)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https://www.sec.gov/Archives/edgar/data/21665/000002166526000042/cl-20260630.htm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 (ventas y crecimiento orgánico del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https://www.sec.gov/Archives/edgar/data/21665/000002166526000023/cl-20260331.htm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3T25 (ventas, orgánico y BPA del 3T25)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https://www.sec.gov/Archives/edgar/data/21665/000002166525000053/cl-20250930.htm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2T25 (ventas y orgánico del 2T25)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https://www.sec.gov/Archives/edgar/data/21665/000002166525000041/cl-20250630.htm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1T25 (ventas y orgánico del 1T25)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https://www.sec.gov/Archives/edgar/data/21665/000002166525000020/cl-20250331.htm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Announces 4th Quarter and Full Year 2025 Results (8-K, ex. 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https://www.sec.gov/Archives/edgar/data/21665/000002166526000003/a4q2025pressreleasetables.htm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 Announces 2nd Quarter 2026 Results (8-K, ex. 99; guía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https://www.sec.gov/Archives/edgar/data/21665/000002166526000041/q22026pressreleasetables.htm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Hechos XBRL de Colgate-Palmolive (companyfacts): cuenta, balance y flujos 2019-2025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https://data.sec.gov/api/xbrl/companyfacts/CIK0000021665.json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Segment recast (8-K de 17-mar-2026): nueva división EMEA desde el 1T26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https://www.sec.gov/Archives/edgar/data/21665/000002166526000010/segmentrecast.htm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Oral Care Market: 37.210 M USD en 2025, 53.290 M en 2030 (TCAC 6,4 %) (MarketsandMarkets,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MarketsandMarkets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https://norfolkdailynews.com/online_features/press_releases/global-oral-care-market-projected-to-hit-53-29-billion-by-2030/article_e9395475-8610-5f41-9073-16c50472e994.html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Oral Care Market: 34.800 M USD en 2025, 51.590 M en 2034 (TCAC 4,6 %) (Fortune Business Insights,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https://hackmd.io/@anvitoshniwal09/ryUsaQOLMg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pet food market projected to reach 247.700 M USD by 2035 (132.400 M en 2025, TCAC 6,5 %; Future Market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Food Institute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https://members.petfoodinstitute.org/news/721188/Global-pet-food-market-projected-to-reach-247.7B-by-2035.htm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 Food Market: 132.920 M USD en 2025, 193.650 M en 2032 (TCAC 5,5 %; Fortune Business Insights, reproducido)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https://jhoonsmith2468.substack.com/p/pet-food-market-size-share-future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operativo de los últimos 12 meses de P&amp;G, Unilever, Haleon, Kenvue, Church &amp; Dwight, Kimberly-Clark y Beiersdorf (series fundamentales)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seeks to divest some personal care brands, sources say (Reuters, 11-sep-2026)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ESM Magazine / Reuters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https://www.esmmagazine.com/a-brands/colgate-palmolive-seeks-to-divest-some-personal-care-brands-sources-say-321327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consejo, comisiones, remuneración 2025, ratio de 276 veces, accionistas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https://www.sec.gov/Archives/edgar/data/21665/000130817926000136/cl015164-def14a.htm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 13-may-2026: resultados de la junta de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https://www.sec.gov/Archives/edgar/data/21665/000002166526000025/cl-20260508.htm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 12-mar-2026: entrada de C. Boerner en el consejo; S. Cahillane no se presenta a la reelección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https://www.sec.gov/Archives/edgar/data/21665/000002166526000008/cl-20260312.htm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8-K de 8-abr-2026: relevo de la directora jurídica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https://www.sec.gov/Archives/edgar/data/21665/000002166526000015/cl-20260408.htm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Colgate-Palmolive, 14-oct-2025 a 14-oct-2026 (64 presentaciones)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https://www.sec.gov/cgi-bin/browse-edgar?action=getcompany&amp;CIK=0000021665&amp;type=4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CL, ^GSPC y XLP hasta 14-oct-2026 (precio, rango, beta, volatilidad, cierres anuales)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https://finance.yahoo.com/quote/CL/history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Consenso de Colgate-Palmolive (earningsTrend, financialData, recommendationTrend, upgradeDowngradeHistory)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https://finance.yahoo.com/quote/CL/analysis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(DGS10): 5,21 % el 13-oct-2026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FRED, Federal Reserve Bank of St. Louis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(US), enero de 2026: Household Products, beta desapalancada corregida por caja 0,74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https://pages.stern.nyu.edu/~adamodar/New_Home_Page/datafile/Betas.html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Kimberly-Clark to Acquire Kenvue (ex. 99.1): valor empresa 48.700 M USD, 14,3 veces el EBITDA ajustado de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Kenvue / Kimberly-Clark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https://www.sec.gov/Archives/edgar/data/1944048/000110465925105218/tm2529895d1_ex99-1.htm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Church &amp; Dwight to Acquire the Touchland Brand for $700 million Plus Earn-out (ventas de 12 meses ≈130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Church &amp; Dwight (Business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https://www.businesswire.com/news/home/20250512684279/en/Church-Dwight-to-Acquire-the-Touchland-Brand-for-%24700-million-Plus-Earn-out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Touchland sells to Church &amp; Dwight for $700M (≈5,4 veces ventas y 12,7 veces EBITDA de 55 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Beauty Independent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https://www.beautyindependent.com/touchland-brand-behind-status-symbol-hand-sanitizers-sells-church-dwight-700m/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 10-Q 3T19 (Filorga: 1.712 M USD de contraprestación) y conferencia del 2T19 (ventas de Filorga ≈250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Company (SEC) / The Motley Fool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oct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https://www.sec.gov/Archives/edgar/data/21665/000002166519000022/cl-9302019x10q.htm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 Palmolive webcasts 2025 third quarter earnings conference call (31-oct-2025): calendario habitual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https://www.businesswire.com/news/home/20251013437995/en/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CL: análisis y noticias de mayo a octubre de 2026 (RSS combinado)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https://seekingalpha.com/api/sa/combined/CL.xml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$CL (septiembre-octubre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https://api.stocktwits.com/api/2/streams/symbol/CL.json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Colgate-Palmolive allegedly explores sale of personal care brands (y comentarios de la prensa sectorial)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Cosmetics Business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https://cosmeticsbusiness.com/colgate-palmolive-allegedly-explores-sale-personal-care-brands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88,5 %</w:t>
      </w:r>
      <w:r>
        <w:t xml:space="preserve"> · Secciones con menos del 60 % de campos cubiertos: </w:t>
      </w:r>
      <w:r>
        <w:rPr>
          <w:b/>
          <w:bCs/>
        </w:rPr>
        <w:t xml:space="preserve">rentabilidad</w:t>
      </w:r>
      <w:r>
        <w:t xml:space="preserve"> · Generado el 14 oct 2026.</w:t>
      </w:r>
    </w:p>
    <w:p>
      <w:pPr>
        <w:pStyle w:val="Nota"/>
        <w:spacing w:after="100"/>
      </w:pPr>
      <w:r>
        <w:t xml:space="preserve">Cuentas del XBRL de la SEC comprobadas contra los 10-K de 2017, 2019, 2021, 2023 y 2025 y los 10-Q de 2025-2026. La serie va de 2019 a 2025 (siete ejercicios, los de la segmentación por producto vigente). El BPA de la revisión a 12 meses y de la historia del PER es el BPA «Base Business» que publica la empresa (sin deterioros, litigios ERISA, reestructuraciones ni costes de compras), el mismo que usa el consenso; las reestructuraciones se repiten casi todos los años, así que el DCF descuenta ≈0,2-0,3 puntos de margen por ellas. La deuda del XBRL (largo + corriente) incluye el papel comercial y los arrendamientos financieros, y cuadra con la deuda total del 10-K salvo los pagarés a corto (2-8 M), que se suman en 2024 y 2025. US GAAP: los pasivos por arrendamientos operativos (566 M) no van a la deuda ni al puente porque su gasto ya está en el EBITDA. Minoritarios del puente a valor estimado (125 M de beneficio de 12 meses × 25 = 3.125 M; la mayor parte es la filial cotizada de India), no contable (330 M). Consenso de Yahoo Finance (un solo proveedor con estimaciones; sin EBITDA ni 2028e). La fecha del 3T26 (30-oct-2026) es una estimación por el calendario habitual (último viernes de octubre), no está anunciada. Rentabilidades de bolsa de precio, sin dividendos (el índice no los lleva).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Colgate-Palmolive Company (CL)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92,78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(74,55 – 99,33)</c:v>
                </c:pt>
                <c:pt idx="1">
                  <c:v>Precio objetivo de los analistas (87,00 – 110,00)</c:v>
                </c:pt>
                <c:pt idx="2">
                  <c:v>Comparables: PER NTM (59,23 – 87,43)</c:v>
                </c:pt>
                <c:pt idx="3">
                  <c:v>DCF (WACC y g ± 0,5) (60,35 – 90,40)</c:v>
                </c:pt>
                <c:pt idx="4">
                  <c:v>Escenarios (bajista – alcista) (57,12 – 79,98)</c:v>
                </c:pt>
                <c:pt idx="5">
                  <c:v>DCF con la prima implícita del mercado (4,2 %)</c:v>
                </c:pt>
                <c:pt idx="6">
                  <c:v>Precio actual (92,78)</c:v>
                </c:pt>
              </c:strCache>
            </c:strRef>
          </c:cat>
          <c:val>
            <c:numRef>
              <c:f>Hoja1!$B$2:$B$8</c:f>
              <c:numCache>
                <c:formatCode>#,##0</c:formatCode>
                <c:ptCount val="7"/>
                <c:pt idx="0">
                  <c:v>74.55</c:v>
                </c:pt>
                <c:pt idx="1">
                  <c:v>87</c:v>
                </c:pt>
                <c:pt idx="2">
                  <c:v>59.23</c:v>
                </c:pt>
                <c:pt idx="3">
                  <c:v>60.35</c:v>
                </c:pt>
                <c:pt idx="4">
                  <c:v>57.12</c:v>
                </c:pt>
                <c:pt idx="5">
                  <c:v>72.37</c:v>
                </c:pt>
                <c:pt idx="6">
                  <c:v>92.32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(74,55 – 99,33)</c:v>
                </c:pt>
                <c:pt idx="1">
                  <c:v>Precio objetivo de los analistas (87,00 – 110,00)</c:v>
                </c:pt>
                <c:pt idx="2">
                  <c:v>Comparables: PER NTM (59,23 – 87,43)</c:v>
                </c:pt>
                <c:pt idx="3">
                  <c:v>DCF (WACC y g ± 0,5) (60,35 – 90,40)</c:v>
                </c:pt>
                <c:pt idx="4">
                  <c:v>Escenarios (bajista – alcista) (57,12 – 79,98)</c:v>
                </c:pt>
                <c:pt idx="5">
                  <c:v>DCF con la prima implícita del mercado (4,2 %)</c:v>
                </c:pt>
                <c:pt idx="6">
                  <c:v>Precio actual (92,78)</c:v>
                </c:pt>
              </c:strCache>
            </c:strRef>
          </c:cat>
          <c:val>
            <c:numRef>
              <c:f>Hoja1!$C$2:$C$8</c:f>
              <c:numCache>
                <c:formatCode>#,##0</c:formatCode>
                <c:ptCount val="7"/>
                <c:pt idx="0">
                  <c:v>24.78</c:v>
                </c:pt>
                <c:pt idx="1">
                  <c:v>23</c:v>
                </c:pt>
                <c:pt idx="2">
                  <c:v>28.20000000000001</c:v>
                </c:pt>
                <c:pt idx="3">
                  <c:v>30.050000000000004</c:v>
                </c:pt>
                <c:pt idx="4">
                  <c:v>22.860000000000007</c:v>
                </c:pt>
                <c:pt idx="5">
                  <c:v>20.11</c:v>
                </c:pt>
                <c:pt idx="6">
                  <c:v>0.9200000000000017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Oral, Personal and Home Care</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13168</c:v>
                </c:pt>
                <c:pt idx="1">
                  <c:v>13588</c:v>
                </c:pt>
                <c:pt idx="2">
                  <c:v>14110</c:v>
                </c:pt>
                <c:pt idx="3">
                  <c:v>14254</c:v>
                </c:pt>
                <c:pt idx="4">
                  <c:v>15167</c:v>
                </c:pt>
                <c:pt idx="5">
                  <c:v>15618</c:v>
                </c:pt>
                <c:pt idx="6">
                  <c:v>15769</c:v>
                </c:pt>
              </c:numCache>
            </c:numRef>
          </c:val>
        </c:ser>
        <c:ser>
          <c:idx val="1"/>
          <c:order val="1"/>
          <c:tx>
            <c:strRef>
              <c:f>Hoja1!$C$1</c:f>
              <c:strCache>
                <c:ptCount val="1"/>
                <c:pt idx="0">
                  <c:v>Hill's Pet Nutrition</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2525</c:v>
                </c:pt>
                <c:pt idx="1">
                  <c:v>2883</c:v>
                </c:pt>
                <c:pt idx="2">
                  <c:v>3311</c:v>
                </c:pt>
                <c:pt idx="3">
                  <c:v>3713</c:v>
                </c:pt>
                <c:pt idx="4">
                  <c:v>4290</c:v>
                </c:pt>
                <c:pt idx="5">
                  <c:v>4483</c:v>
                </c:pt>
                <c:pt idx="6">
                  <c:v>4613</c:v>
                </c:pt>
              </c:numCache>
            </c:numRef>
          </c:val>
        </c:ser>
        <c:ser>
          <c:idx val="2"/>
          <c:order val="2"/>
          <c:tx>
            <c:strRef>
              <c:f>Hoja1!$D$1</c:f>
              <c:strCache>
                <c:ptCount val="1"/>
                <c:pt idx="0">
                  <c:v>Corporativo</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Oral, Personal and Home Care</c:v>
                </c:pt>
                <c:pt idx="1">
                  <c:v>Hill's Pet Nutrition</c:v>
                </c:pt>
                <c:pt idx="2">
                  <c:v>Corporativo</c:v>
                </c:pt>
              </c:strCache>
            </c:strRef>
          </c:cat>
          <c:val>
            <c:numRef>
              <c:f>Hoja1!$B$2:$B$4</c:f>
              <c:numCache>
                <c:formatCode>General</c:formatCode>
                <c:ptCount val="3"/>
                <c:pt idx="0">
                  <c:v>77.4</c:v>
                </c:pt>
                <c:pt idx="1">
                  <c:v>22.6</c:v>
                </c:pt>
                <c:pt idx="2">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EE. UU. (bucal, personal y hogar + Hill's)</c:v>
                </c:pt>
                <c:pt idx="1">
                  <c:v>Latinoamérica</c:v>
                </c:pt>
                <c:pt idx="2">
                  <c:v>Europa</c:v>
                </c:pt>
                <c:pt idx="3">
                  <c:v>Asia-Pacífico</c:v>
                </c:pt>
                <c:pt idx="4">
                  <c:v>Hill's fuera de EE. UU.</c:v>
                </c:pt>
                <c:pt idx="5">
                  <c:v>África/Eurasia</c:v>
                </c:pt>
                <c:pt idx="6">
                  <c:v>Canadá y Puerto Rico</c:v>
                </c:pt>
              </c:strCache>
            </c:strRef>
          </c:cat>
          <c:val>
            <c:numRef>
              <c:f>Hoja1!$B$2:$B$8</c:f>
              <c:numCache>
                <c:formatCode>0"%"</c:formatCode>
                <c:ptCount val="7"/>
                <c:pt idx="0">
                  <c:v>32.7</c:v>
                </c:pt>
                <c:pt idx="1">
                  <c:v>23.4</c:v>
                </c:pt>
                <c:pt idx="2">
                  <c:v>14.5</c:v>
                </c:pt>
                <c:pt idx="3">
                  <c:v>13.8</c:v>
                </c:pt>
                <c:pt idx="4">
                  <c:v>7.6</c:v>
                </c:pt>
                <c:pt idx="5">
                  <c:v>5.8</c:v>
                </c:pt>
                <c:pt idx="6">
                  <c:v>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(cuidado bucal, MarketsandMarkets))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2030e</c:v>
                </c:pt>
              </c:strCache>
            </c:strRef>
          </c:cat>
          <c:val>
            <c:numRef>
              <c:f>Hoja1!$B$2:$B$3</c:f>
              <c:numCache>
                <c:formatCode>#,##0</c:formatCode>
                <c:ptCount val="2"/>
                <c:pt idx="0">
                  <c:v>37210</c:v>
                </c:pt>
                <c:pt idx="1">
                  <c:v>53290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1</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Colgate</c:v>
                </c:pt>
                <c:pt idx="1">
                  <c:v>Procter &amp; Gamble</c:v>
                </c:pt>
                <c:pt idx="2">
                  <c:v>Unilever</c:v>
                </c:pt>
                <c:pt idx="3">
                  <c:v>Haleon</c:v>
                </c:pt>
                <c:pt idx="4">
                  <c:v>Kenvue</c:v>
                </c:pt>
                <c:pt idx="5">
                  <c:v>Church &amp; Dwight</c:v>
                </c:pt>
                <c:pt idx="6">
                  <c:v>Mars Petcare</c:v>
                </c:pt>
                <c:pt idx="7">
                  <c:v>Nestlé Purina PetCare</c:v>
                </c:pt>
              </c:strCache>
            </c:strRef>
          </c:cat>
          <c:val>
            <c:numRef>
              <c:f>Hoja1!$B$2:$B$9</c:f>
              <c:numCache>
                <c:formatCode>0.0"%"</c:formatCode>
                <c:ptCount val="8"/>
                <c:pt idx="0">
                  <c:v>21.3</c:v>
                </c:pt>
                <c:pt idx="1">
                  <c:v>24.4</c:v>
                </c:pt>
                <c:pt idx="2">
                  <c:v>19.6</c:v>
                </c:pt>
                <c:pt idx="3">
                  <c:v>22</c:v>
                </c:pt>
                <c:pt idx="4">
                  <c:v>17.2</c:v>
                </c:pt>
                <c:pt idx="5">
                  <c:v>16.8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2</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Hoja1!$B$2:$B$15</c:f>
              <c:numCache>
                <c:formatCode>#,##0</c:formatCode>
                <c:ptCount val="14"/>
                <c:pt idx="0">
                  <c:v>15693</c:v>
                </c:pt>
                <c:pt idx="1">
                  <c:v>16471</c:v>
                </c:pt>
                <c:pt idx="2">
                  <c:v>17421</c:v>
                </c:pt>
                <c:pt idx="3">
                  <c:v>17967</c:v>
                </c:pt>
                <c:pt idx="4">
                  <c:v>19457</c:v>
                </c:pt>
                <c:pt idx="5">
                  <c:v>20101</c:v>
                </c:pt>
                <c:pt idx="6">
                  <c:v>20382</c:v>
                </c:pt>
                <c:pt idx="7">
                  <c:v>21299</c:v>
                </c:pt>
                <c:pt idx="8">
                  <c:v>22002</c:v>
                </c:pt>
                <c:pt idx="9">
                  <c:v>22772</c:v>
                </c:pt>
                <c:pt idx="10">
                  <c:v>23569</c:v>
                </c:pt>
                <c:pt idx="11">
                  <c:v>24394</c:v>
                </c:pt>
                <c:pt idx="12">
                  <c:v>25175</c:v>
                </c:pt>
                <c:pt idx="13">
                  <c:v>25930</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strCache>
            </c:strRef>
          </c:cat>
          <c:val>
            <c:numRef>
              <c:f>Hoja1!$C$2:$C$15</c:f>
              <c:numCache>
                <c:formatCode>#,##0</c:formatCode>
                <c:ptCount val="14"/>
                <c:pt idx="0">
                  <c:v>4199</c:v>
                </c:pt>
                <c:pt idx="1">
                  <c:v>4414</c:v>
                </c:pt>
                <c:pt idx="2">
                  <c:v>4433</c:v>
                </c:pt>
                <c:pt idx="3">
                  <c:v>4241</c:v>
                </c:pt>
                <c:pt idx="4">
                  <c:v>4603</c:v>
                </c:pt>
                <c:pt idx="5">
                  <c:v>4958</c:v>
                </c:pt>
                <c:pt idx="6">
                  <c:v>4976</c:v>
                </c:pt>
                <c:pt idx="7">
                  <c:v>4899</c:v>
                </c:pt>
                <c:pt idx="8">
                  <c:v>5258</c:v>
                </c:pt>
                <c:pt idx="9">
                  <c:v>5488</c:v>
                </c:pt>
                <c:pt idx="10">
                  <c:v>5704</c:v>
                </c:pt>
                <c:pt idx="11">
                  <c:v>5903</c:v>
                </c:pt>
                <c:pt idx="12">
                  <c:v>6092</c:v>
                </c:pt>
                <c:pt idx="13">
                  <c:v>6275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59.4</c:v>
                </c:pt>
                <c:pt idx="1">
                  <c:v>60.8</c:v>
                </c:pt>
                <c:pt idx="2">
                  <c:v>59.6</c:v>
                </c:pt>
                <c:pt idx="3">
                  <c:v>57</c:v>
                </c:pt>
                <c:pt idx="4">
                  <c:v>58.2</c:v>
                </c:pt>
                <c:pt idx="5">
                  <c:v>60.5</c:v>
                </c:pt>
                <c:pt idx="6">
                  <c:v>60.1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26.8</c:v>
                </c:pt>
                <c:pt idx="1">
                  <c:v>26.8</c:v>
                </c:pt>
                <c:pt idx="2">
                  <c:v>25.4</c:v>
                </c:pt>
                <c:pt idx="3">
                  <c:v>23.6</c:v>
                </c:pt>
                <c:pt idx="4">
                  <c:v>23.7</c:v>
                </c:pt>
                <c:pt idx="5">
                  <c:v>24.7</c:v>
                </c:pt>
                <c:pt idx="6">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23.4</c:v>
                </c:pt>
                <c:pt idx="1">
                  <c:v>23.5</c:v>
                </c:pt>
                <c:pt idx="2">
                  <c:v>22.3</c:v>
                </c:pt>
                <c:pt idx="3">
                  <c:v>20.6</c:v>
                </c:pt>
                <c:pt idx="4">
                  <c:v>20.7</c:v>
                </c:pt>
                <c:pt idx="5">
                  <c:v>21.7</c:v>
                </c:pt>
                <c:pt idx="6">
                  <c:v>21.3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15.1</c:v>
                </c:pt>
                <c:pt idx="1">
                  <c:v>16.4</c:v>
                </c:pt>
                <c:pt idx="2">
                  <c:v>12.4</c:v>
                </c:pt>
                <c:pt idx="3">
                  <c:v>9.9</c:v>
                </c:pt>
                <c:pt idx="4">
                  <c:v>11.8</c:v>
                </c:pt>
                <c:pt idx="5">
                  <c:v>14.4</c:v>
                </c:pt>
                <c:pt idx="6">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0">
                  <c:v>-3.1</c:v>
                </c:pt>
                <c:pt idx="1">
                  <c:v>1</c:v>
                </c:pt>
                <c:pt idx="2">
                  <c:v>2</c:v>
                </c:pt>
                <c:pt idx="3">
                  <c:v>5.8</c:v>
                </c:pt>
                <c:pt idx="4">
                  <c:v>8.4</c:v>
                </c:pt>
                <c:pt idx="5">
                  <c:v>4.9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0">
                  <c:v>1.4</c:v>
                </c:pt>
                <c:pt idx="1">
                  <c:v>1.8</c:v>
                </c:pt>
                <c:pt idx="2">
                  <c:v>0.4</c:v>
                </c:pt>
                <c:pt idx="3">
                  <c:v>2.2</c:v>
                </c:pt>
                <c:pt idx="4">
                  <c:v>2.9</c:v>
                </c:pt>
                <c:pt idx="5">
                  <c:v>2.4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33</c:v>
                </c:pt>
                <c:pt idx="1">
                  <c:v>28</c:v>
                </c:pt>
                <c:pt idx="2">
                  <c:v>27</c:v>
                </c:pt>
                <c:pt idx="3">
                  <c:v>31</c:v>
                </c:pt>
                <c:pt idx="4">
                  <c:v>30</c:v>
                </c:pt>
                <c:pt idx="5">
                  <c:v>28</c:v>
                </c:pt>
                <c:pt idx="6">
                  <c:v>30</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80</c:v>
                </c:pt>
                <c:pt idx="1">
                  <c:v>95</c:v>
                </c:pt>
                <c:pt idx="2">
                  <c:v>88</c:v>
                </c:pt>
                <c:pt idx="3">
                  <c:v>98</c:v>
                </c:pt>
                <c:pt idx="4">
                  <c:v>87</c:v>
                </c:pt>
                <c:pt idx="5">
                  <c:v>91</c:v>
                </c:pt>
                <c:pt idx="6">
                  <c:v>91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71</c:v>
                </c:pt>
                <c:pt idx="1">
                  <c:v>79</c:v>
                </c:pt>
                <c:pt idx="2">
                  <c:v>77</c:v>
                </c:pt>
                <c:pt idx="3">
                  <c:v>73</c:v>
                </c:pt>
                <c:pt idx="4">
                  <c:v>76</c:v>
                </c:pt>
                <c:pt idx="5">
                  <c:v>83</c:v>
                </c:pt>
                <c:pt idx="6">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2798</c:v>
                </c:pt>
                <c:pt idx="1">
                  <c:v>3310</c:v>
                </c:pt>
                <c:pt idx="2">
                  <c:v>2758</c:v>
                </c:pt>
                <c:pt idx="3">
                  <c:v>1860</c:v>
                </c:pt>
                <c:pt idx="4">
                  <c:v>3040</c:v>
                </c:pt>
                <c:pt idx="5">
                  <c:v>3546</c:v>
                </c:pt>
                <c:pt idx="6">
                  <c:v>3634</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2367</c:v>
                </c:pt>
                <c:pt idx="1">
                  <c:v>2695</c:v>
                </c:pt>
                <c:pt idx="2">
                  <c:v>2166</c:v>
                </c:pt>
                <c:pt idx="3">
                  <c:v>1785</c:v>
                </c:pt>
                <c:pt idx="4">
                  <c:v>2300</c:v>
                </c:pt>
                <c:pt idx="5">
                  <c:v>2889</c:v>
                </c:pt>
                <c:pt idx="6">
                  <c:v>2132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38.8</c:v>
                </c:pt>
                <c:pt idx="1">
                  <c:v>41</c:v>
                </c:pt>
                <c:pt idx="2">
                  <c:v>39.4</c:v>
                </c:pt>
                <c:pt idx="3">
                  <c:v>33.9</c:v>
                </c:pt>
                <c:pt idx="4">
                  <c:v>34.3</c:v>
                </c:pt>
                <c:pt idx="5">
                  <c:v>42.9</c:v>
                </c:pt>
                <c:pt idx="6">
                  <c:v>44.4</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8.2</c:v>
                </c:pt>
                <c:pt idx="1">
                  <c:v>8.2</c:v>
                </c:pt>
                <c:pt idx="2">
                  <c:v>8.2</c:v>
                </c:pt>
                <c:pt idx="3">
                  <c:v>8.2</c:v>
                </c:pt>
                <c:pt idx="4">
                  <c:v>8.2</c:v>
                </c:pt>
                <c:pt idx="5">
                  <c:v>8.2</c:v>
                </c:pt>
                <c:pt idx="6">
                  <c:v>8.2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2023.1</c:v>
                </c:pt>
                <c:pt idx="1">
                  <c:v>626.7</c:v>
                </c:pt>
                <c:pt idx="2">
                  <c:v>320.4</c:v>
                </c:pt>
                <c:pt idx="3">
                  <c:v>353.5</c:v>
                </c:pt>
                <c:pt idx="4">
                  <c:v>455.4</c:v>
                </c:pt>
                <c:pt idx="5">
                  <c:v>703.8</c:v>
                </c:pt>
                <c:pt idx="6">
                  <c:v>1603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1.6</c:v>
                </c:pt>
                <c:pt idx="1">
                  <c:v>1.46</c:v>
                </c:pt>
                <c:pt idx="2">
                  <c:v>1.44</c:v>
                </c:pt>
                <c:pt idx="3">
                  <c:v>1.88</c:v>
                </c:pt>
                <c:pt idx="4">
                  <c:v>1.58</c:v>
                </c:pt>
                <c:pt idx="5">
                  <c:v>1.38</c:v>
                </c:pt>
                <c:pt idx="6">
                  <c:v>1.35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1115</c:v>
                </c:pt>
                <c:pt idx="1">
                  <c:v>523</c:v>
                </c:pt>
                <c:pt idx="2">
                  <c:v>615</c:v>
                </c:pt>
                <c:pt idx="3">
                  <c:v>591</c:v>
                </c:pt>
                <c:pt idx="4">
                  <c:v>500</c:v>
                </c:pt>
                <c:pt idx="5">
                  <c:v>4495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1711</c:v>
                </c:pt>
                <c:pt idx="1">
                  <c:v>353</c:v>
                </c:pt>
                <c:pt idx="2">
                  <c:v>0</c:v>
                </c:pt>
                <c:pt idx="3">
                  <c:v>809</c:v>
                </c:pt>
                <c:pt idx="4">
                  <c:v>0</c:v>
                </c:pt>
                <c:pt idx="5">
                  <c:v>0</c:v>
                </c:pt>
                <c:pt idx="6">
                  <c:v>293</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1614</c:v>
                </c:pt>
                <c:pt idx="1">
                  <c:v>1654</c:v>
                </c:pt>
                <c:pt idx="2">
                  <c:v>1679</c:v>
                </c:pt>
                <c:pt idx="3">
                  <c:v>1691</c:v>
                </c:pt>
                <c:pt idx="4">
                  <c:v>1749</c:v>
                </c:pt>
                <c:pt idx="5">
                  <c:v>1789</c:v>
                </c:pt>
                <c:pt idx="6">
                  <c:v>1823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1202</c:v>
                </c:pt>
                <c:pt idx="1">
                  <c:v>1476</c:v>
                </c:pt>
                <c:pt idx="2">
                  <c:v>1320</c:v>
                </c:pt>
                <c:pt idx="3">
                  <c:v>1308</c:v>
                </c:pt>
                <c:pt idx="4">
                  <c:v>1128</c:v>
                </c:pt>
                <c:pt idx="5">
                  <c:v>1739</c:v>
                </c:pt>
                <c:pt idx="6">
                  <c:v>1210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Independiente</c:v>
                </c:pt>
              </c:strCache>
            </c:strRef>
          </c:cat>
          <c:val>
            <c:numRef>
              <c:f>Hoja1!$B$2:$B$3</c:f>
              <c:numCache>
                <c:formatCode>0</c:formatCode>
                <c:ptCount val="2"/>
                <c:pt idx="0">
                  <c:v>1</c:v>
                </c:pt>
                <c:pt idx="1">
                  <c:v>9</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The Vanguard Group</c:v>
                </c:pt>
                <c:pt idx="1">
                  <c:v>BlackRock</c:v>
                </c:pt>
                <c:pt idx="2">
                  <c:v>State Street</c:v>
                </c:pt>
                <c:pt idx="3">
                  <c:v>Autocartera</c:v>
                </c:pt>
              </c:strCache>
            </c:strRef>
          </c:cat>
          <c:val>
            <c:numRef>
              <c:f>Hoja1!$B$2:$B$5</c:f>
              <c:numCache>
                <c:formatCode>0.0"%"</c:formatCode>
                <c:ptCount val="4"/>
                <c:pt idx="0">
                  <c:v>10.26</c:v>
                </c:pt>
                <c:pt idx="1">
                  <c:v>8.18</c:v>
                </c:pt>
                <c:pt idx="2">
                  <c:v>5.95</c:v>
                </c:pt>
                <c:pt idx="3">
                  <c:v>45.6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-1.8</c:v>
                </c:pt>
                <c:pt idx="1">
                  <c:v>15.3</c:v>
                </c:pt>
                <c:pt idx="2">
                  <c:v>-21.1</c:v>
                </c:pt>
                <c:pt idx="3">
                  <c:v>15.7</c:v>
                </c:pt>
                <c:pt idx="4">
                  <c:v>24.2</c:v>
                </c:pt>
                <c:pt idx="5">
                  <c:v>-0.2</c:v>
                </c:pt>
                <c:pt idx="6">
                  <c:v>-7.7</c:v>
                </c:pt>
                <c:pt idx="7">
                  <c:v>1.2</c:v>
                </c:pt>
                <c:pt idx="8">
                  <c:v>14.1</c:v>
                </c:pt>
                <c:pt idx="9">
                  <c:v>-13.1</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9.5</c:v>
                </c:pt>
                <c:pt idx="1">
                  <c:v>19.4</c:v>
                </c:pt>
                <c:pt idx="2">
                  <c:v>-6.2</c:v>
                </c:pt>
                <c:pt idx="3">
                  <c:v>28.9</c:v>
                </c:pt>
                <c:pt idx="4">
                  <c:v>16.3</c:v>
                </c:pt>
                <c:pt idx="5">
                  <c:v>26.9</c:v>
                </c:pt>
                <c:pt idx="6">
                  <c:v>-19.4</c:v>
                </c:pt>
                <c:pt idx="7">
                  <c:v>24.2</c:v>
                </c:pt>
                <c:pt idx="8">
                  <c:v>23.3</c:v>
                </c:pt>
                <c:pt idx="9">
                  <c:v>16.4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15.8</c:v>
                </c:pt>
                <c:pt idx="1">
                  <c:v>18.2</c:v>
                </c:pt>
                <c:pt idx="2">
                  <c:v>17.9</c:v>
                </c:pt>
                <c:pt idx="3">
                  <c:v>17.6</c:v>
                </c:pt>
                <c:pt idx="4">
                  <c:v>16</c:v>
                </c:pt>
                <c:pt idx="5">
                  <c:v>16.5</c:v>
                </c:pt>
                <c:pt idx="6">
                  <c:v>14.3</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0.0"x"</c:formatCode>
                <c:ptCount val="7"/>
                <c:pt idx="0">
                  <c:v>16.5</c:v>
                </c:pt>
                <c:pt idx="1">
                  <c:v>16.5</c:v>
                </c:pt>
                <c:pt idx="2">
                  <c:v>16.5</c:v>
                </c:pt>
                <c:pt idx="3">
                  <c:v>16.5</c:v>
                </c:pt>
                <c:pt idx="4">
                  <c:v>16.5</c:v>
                </c:pt>
                <c:pt idx="5">
                  <c:v>16.5</c:v>
                </c:pt>
                <c:pt idx="6">
                  <c:v>16.5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Kenvue (Listerine, Neutrogena, Tylenol)</c:v>
                </c:pt>
                <c:pt idx="1">
                  <c:v>Touchland (geles hidroalcohólicos)</c:v>
                </c:pt>
                <c:pt idx="2">
                  <c:v>Filorga (cosmética facial premium)</c:v>
                </c:pt>
                <c:pt idx="3">
                  <c:v>Prime100 (comida fresca para mascotas)</c:v>
                </c:pt>
              </c:strCache>
            </c:strRef>
          </c:cat>
          <c:val>
            <c:numRef>
              <c:f>Hoja1!$B$2:$B$5</c:f>
              <c:numCache>
                <c:formatCode>0.0"x"</c:formatCode>
                <c:ptCount val="4"/>
                <c:pt idx="0">
                  <c:v>14.3</c:v>
                </c:pt>
                <c:pt idx="1">
                  <c:v>12.7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2026e</c:v>
                </c:pt>
                <c:pt idx="1">
                  <c:v>2027e</c:v>
                </c:pt>
                <c:pt idx="2">
                  <c:v>2028e</c:v>
                </c:pt>
                <c:pt idx="3">
                  <c:v>2029e</c:v>
                </c:pt>
                <c:pt idx="4">
                  <c:v>2030e</c:v>
                </c:pt>
                <c:pt idx="5">
                  <c:v>2031e</c:v>
                </c:pt>
                <c:pt idx="6">
                  <c:v>2032e</c:v>
                </c:pt>
              </c:strCache>
            </c:strRef>
          </c:cat>
          <c:val>
            <c:numRef>
              <c:f>Hoja1!$B$2:$B$8</c:f>
              <c:numCache>
                <c:formatCode>#,##0</c:formatCode>
                <c:ptCount val="7"/>
                <c:pt idx="0">
                  <c:v>3173</c:v>
                </c:pt>
                <c:pt idx="1">
                  <c:v>3462</c:v>
                </c:pt>
                <c:pt idx="2">
                  <c:v>3614</c:v>
                </c:pt>
                <c:pt idx="3">
                  <c:v>3759</c:v>
                </c:pt>
                <c:pt idx="4">
                  <c:v>3890</c:v>
                </c:pt>
                <c:pt idx="5">
                  <c:v>4020</c:v>
                </c:pt>
                <c:pt idx="6">
                  <c:v>4119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18432</c:v>
                </c:pt>
                <c:pt idx="1">
                  <c:v>50058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92,78</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57.12</c:v>
                </c:pt>
                <c:pt idx="1">
                  <c:v>72.5</c:v>
                </c:pt>
                <c:pt idx="2">
                  <c:v>79.98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92,78</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(74,55 – 99,33)</c:v>
                </c:pt>
                <c:pt idx="1">
                  <c:v>Precio objetivo de los analistas (87,00 – 110,00)</c:v>
                </c:pt>
                <c:pt idx="2">
                  <c:v>Comparables: PER NTM (59,23 – 87,43)</c:v>
                </c:pt>
                <c:pt idx="3">
                  <c:v>DCF (WACC y g ± 0,5) (60,35 – 90,40)</c:v>
                </c:pt>
                <c:pt idx="4">
                  <c:v>Escenarios (bajista – alcista) (57,12 – 79,98)</c:v>
                </c:pt>
                <c:pt idx="5">
                  <c:v>DCF con la prima implícita del mercado (4,2 %)</c:v>
                </c:pt>
                <c:pt idx="6">
                  <c:v>Precio actual (92,78)</c:v>
                </c:pt>
              </c:strCache>
            </c:strRef>
          </c:cat>
          <c:val>
            <c:numRef>
              <c:f>Hoja1!$B$2:$B$8</c:f>
              <c:numCache>
                <c:formatCode>#,##0</c:formatCode>
                <c:ptCount val="7"/>
                <c:pt idx="0">
                  <c:v>74.55</c:v>
                </c:pt>
                <c:pt idx="1">
                  <c:v>87</c:v>
                </c:pt>
                <c:pt idx="2">
                  <c:v>59.23</c:v>
                </c:pt>
                <c:pt idx="3">
                  <c:v>60.35</c:v>
                </c:pt>
                <c:pt idx="4">
                  <c:v>57.12</c:v>
                </c:pt>
                <c:pt idx="5">
                  <c:v>72.37</c:v>
                </c:pt>
                <c:pt idx="6">
                  <c:v>92.32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(74,55 – 99,33)</c:v>
                </c:pt>
                <c:pt idx="1">
                  <c:v>Precio objetivo de los analistas (87,00 – 110,00)</c:v>
                </c:pt>
                <c:pt idx="2">
                  <c:v>Comparables: PER NTM (59,23 – 87,43)</c:v>
                </c:pt>
                <c:pt idx="3">
                  <c:v>DCF (WACC y g ± 0,5) (60,35 – 90,40)</c:v>
                </c:pt>
                <c:pt idx="4">
                  <c:v>Escenarios (bajista – alcista) (57,12 – 79,98)</c:v>
                </c:pt>
                <c:pt idx="5">
                  <c:v>DCF con la prima implícita del mercado (4,2 %)</c:v>
                </c:pt>
                <c:pt idx="6">
                  <c:v>Precio actual (92,78)</c:v>
                </c:pt>
              </c:strCache>
            </c:strRef>
          </c:cat>
          <c:val>
            <c:numRef>
              <c:f>Hoja1!$C$2:$C$8</c:f>
              <c:numCache>
                <c:formatCode>#,##0</c:formatCode>
                <c:ptCount val="7"/>
                <c:pt idx="0">
                  <c:v>24.78</c:v>
                </c:pt>
                <c:pt idx="1">
                  <c:v>23</c:v>
                </c:pt>
                <c:pt idx="2">
                  <c:v>28.20000000000001</c:v>
                </c:pt>
                <c:pt idx="3">
                  <c:v>30.050000000000004</c:v>
                </c:pt>
                <c:pt idx="4">
                  <c:v>22.860000000000007</c:v>
                </c:pt>
                <c:pt idx="5">
                  <c:v>20.11</c:v>
                </c:pt>
                <c:pt idx="6">
                  <c:v>0.9200000000000017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5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