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EMPRESA COTIZADA</w:t>
      </w:r>
    </w:p>
    <w:p>
      <w:pPr>
        <w:pStyle w:val="Title"/>
      </w:pPr>
      <w:r>
        <w:t xml:space="preserve">Compañía Ejemplo, S.A.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EJM · Bolsa de Madrid (Mercado Continuo) · ISIN ES0000000000 · Industria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Atractiva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Precio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24,60 EUR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Valor ponderado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27,10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Potencial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+10,2 %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Capitalización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3.936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Valor empresa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4.810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Deuda neta / EBITDA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1,4x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Rent. dividendo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2,4 %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Compañía Ejemplo, S.A.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Ticker / ISIN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EJM / ES0000000000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Bolsa de Madrid (Mercado Continuo)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de referencia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IBEX 35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Sector / industria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Industria / Componentes eléctricos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Sede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Madrid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Empleados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8.400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Web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www.ejemplo.com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Precio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24,60 (3 oct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Rango 52 semanas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18,40 – 27,90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Acciones en circulación (M)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160,0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Free float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62,5 %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6,5 M EUR/día (3 meses)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Próximos resultados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29 oct 2026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Atractiva · </w:t>
      </w:r>
      <w:r>
        <w:rPr>
          <w:b/>
          <w:bCs/>
        </w:rPr>
        <w:t xml:space="preserve">Horizonte:</w:t>
      </w:r>
      <w:r>
        <w:t xml:space="preserve"> 2-3 años</w:t>
      </w:r>
    </w:p>
    <w:p>
      <w:pPr>
        <w:spacing w:after="100"/>
      </w:pPr>
      <w:r>
        <w:t xml:space="preserve">Ejemplo es un fabricante de componentes eléctricos de media tensión con el </w:t>
      </w:r>
      <w:r>
        <w:rPr>
          <w:b/>
        </w:rPr>
        <w:t xml:space="preserve">38 % de sus ingresos en redes</w:t>
      </w:r>
      <w:r>
        <w:t xml:space="preserve">, un mercado que crece por encima del 7 % anual por la inversión en redes de distribución [1]. Cotiza a 11,1x EV/EBITDA, cerca de su media de cinco años (10,4x) y por debajo de sus comparables (11,2x) [4], pese a tener un ROIC que supera su coste de capital en 5 puntos.</w:t>
      </w:r>
    </w:p>
    <w:p>
      <w:pPr>
        <w:spacing w:after="100"/>
      </w:pPr>
      <w:r>
        <w:t xml:space="preserve">El descuento se explica por la caída de la división de automoción, que pesa el 21 % y pierde volumen desde 2024. Si redes mantiene el ritmo, el peso de automoción baja solo y el múltiplo debería converger.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Redes eléctricas</w:t>
      </w:r>
      <w:r>
        <w:t xml:space="preserve">: cartera de pedidos de 1,9 veces los ingresos del segmento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Balance holgado</w:t>
      </w:r>
      <w:r>
        <w:t xml:space="preserve">: deuda neta de 1,4x EBITDA y sin vencimientos relevantes hasta 2028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Valoración</w:t>
      </w:r>
      <w:r>
        <w:t xml:space="preserve">: 11,1x EV/EBITDA frente a 13,4x del líder del sector [4].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Automoción</w:t>
      </w:r>
      <w:r>
        <w:t xml:space="preserve"> sigue cayendo (-8 % en el primer semestre de 2026) [3].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Cobre</w:t>
      </w:r>
      <w:r>
        <w:t xml:space="preserve">: un 10 % de subida resta ~40 pb de margen bruto si no se traslada a precio [2].</w:t>
      </w:r>
    </w:p>
    <w:p>
      <w:pPr>
        <w:pStyle w:val="Heading2"/>
      </w:pPr>
      <w:r>
        <w:t xml:space="preserve">Qué tiene que pasar para que la tesis funcione</w:t>
      </w:r>
    </w:p>
    <w:p>
      <w:pPr>
        <w:spacing w:after="100"/>
      </w:pPr>
      <w:r>
        <w:t xml:space="preserve">La tesis necesita que la cartera de redes se convierta en ingresos al ritmo previsto (+9 % anual) y que automoción toque fondo en 2027. La señal de que no funciona sería una caída de la cartera de pedidos dos trimestres seguidos.</w:t>
      </w:r>
    </w:p>
    <w:p>
      <w:pPr>
        <w:pStyle w:val="Heading1"/>
      </w:pPr>
      <w:r>
        <w:t xml:space="preserve">1. Modelo de negocio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Diseña y fabrica aparamenta, transformadores de distribución y cableado para tres mercados: redes eléctricas, industria y automoción. Vende sobre todo a distribuidoras eléctricas (contratos marco de 3-5 años) y a fabricantes industriales.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1505"/>
        <w:gridCol w:w="1505"/>
        <w:gridCol w:w="1505"/>
        <w:gridCol w:w="1509"/>
      </w:tblGrid>
      <w:tr>
        <w:trPr>
          <w:cantSplit/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Ingresos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total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Redes eléctricas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1.064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38,0 %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+11,2 %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16,5 %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Industria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1.148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41,0 %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+3,1 %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12,0 %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Automoción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588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50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-6,4 %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6,8 %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1" name="Gráfico 1" descr="Ingresos por segmento (% del tot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Ingresos por geografía (% del tot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pStyle w:val="Heading2"/>
      </w:pPr>
      <w:r>
        <w:t xml:space="preserve">Clientes, recurrencia y poder de precios</w:t>
      </w:r>
    </w:p>
    <w:p>
      <w:pPr>
        <w:spacing w:after="100"/>
      </w:pPr>
      <w:r>
        <w:t xml:space="preserve">Los diez primeros clientes son el 31 % de las ventas; el mayor, una distribuidora europea, el 7 %. El 45 % de los ingresos de redes viene de contratos marco con cláusula de revisión por cobre.</w:t>
      </w:r>
    </w:p>
    <w:p>
      <w:pPr>
        <w:pStyle w:val="Heading2"/>
      </w:pPr>
      <w:r>
        <w:t xml:space="preserve">Indicadores operativos clave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1285"/>
        <w:gridCol w:w="1285"/>
        <w:gridCol w:w="4498"/>
      </w:tblGrid>
      <w:tr>
        <w:trPr>
          <w:cantSplit/>
          <w:tblHeader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Variación</w:t>
            </w:r>
          </w:p>
        </w:tc>
        <w:tc>
          <w:tcPr>
            <w:tcW w:type="dxa" w:w="44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Cartera de pedidos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2.020 M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+14 %</w:t>
            </w:r>
          </w:p>
        </w:tc>
        <w:tc>
          <w:tcPr>
            <w:tcW w:type="dxa" w:w="44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Récord; 1,9 años de ingresos de redes.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Book-to-bill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1,12x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</w:t>
            </w:r>
          </w:p>
        </w:tc>
        <w:tc>
          <w:tcPr>
            <w:tcW w:type="dxa" w:w="44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Por encima de 1 seis trimestres seguidos.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Utilización de plantas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81 %</w:t>
            </w:r>
          </w:p>
        </w:tc>
        <w:tc>
          <w:tcPr>
            <w:tcW w:type="dxa" w:w="12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 pp</w:t>
            </w:r>
          </w:p>
        </w:tc>
        <w:tc>
          <w:tcPr>
            <w:tcW w:type="dxa" w:w="44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Cerca del límite en transformadores.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2. Mercado y posición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del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42.000 M EUR (Europa)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Crecimiento del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7,4 % anual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la empresa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4,1 %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Foso competitivo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Estrecho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Mercado europeo de equipos de distribución eléctrica, concentrado en cuatro grandes grupos (55 % de cuota) y una cola de especialistas regionales.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220"/>
        <w:gridCol w:w="1098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Competidor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Cómo compite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Alfa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Líder en aparamenta; compite en precio en grandes concursos.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Energy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Alemania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Fuerte en transformadores de potencia.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Gamma Systems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Suiza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12,0 %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 software de red.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Ventajas competitivas</w:t>
      </w:r>
    </w:p>
    <w:p>
      <w:pPr>
        <w:spacing w:after="100"/>
      </w:pPr>
      <w:r>
        <w:t xml:space="preserve">Homologaciones con las distribuidoras (2-3 años de proceso) y coste de cambio para el cliente. No hay ventaja de escala clara frente a los líderes.</w:t>
      </w:r>
    </w:p>
    <w:p>
      <w:pPr>
        <w:pStyle w:val="Heading2"/>
      </w:pPr>
      <w:r>
        <w:t xml:space="preserve">Amenazas</w:t>
      </w:r>
    </w:p>
    <w:p>
      <w:pPr>
        <w:spacing w:after="100"/>
      </w:pPr>
      <w:r>
        <w:t xml:space="preserve">Entrada de fabricantes asiáticos en transformadores de distribución con precios un 15-20 % inferiores.</w:t>
      </w:r>
    </w:p>
    <w:p>
      <w:pPr>
        <w:pStyle w:val="Heading1"/>
      </w:pPr>
      <w:r>
        <w:t xml:space="preserve">3. Evolución financiera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1115"/>
        <w:gridCol w:w="913"/>
        <w:gridCol w:w="913"/>
        <w:gridCol w:w="1014"/>
        <w:gridCol w:w="913"/>
        <w:gridCol w:w="1014"/>
        <w:gridCol w:w="1014"/>
        <w:gridCol w:w="913"/>
        <w:gridCol w:w="815"/>
      </w:tblGrid>
      <w:tr>
        <w:trPr>
          <w:cantSplit/>
          <w:tblHeader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Ingresos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bruto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EBITDA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EBIT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B. neto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neto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BPA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2.150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31,0 %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301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14,0 %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204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131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6,1 %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0,79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2.390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+11,2 %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29,4 %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318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13,3 %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214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138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5,8 %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0,84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2.560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+7,1 %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30,8 %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371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14,5 %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262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172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6,7 %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1,05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2.680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+4,7 %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31,6 %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402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287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7,1 %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1,17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2.800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32,1 %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434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15,5 %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313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207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1,29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2026e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2.990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32,4 %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475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15,9 %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348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232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7,8 %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1,45</w:t>
            </w:r>
          </w:p>
        </w:tc>
      </w:tr>
      <w:tr>
        <w:trPr>
          <w:cantSplit/>
        </w:trPr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2027e</w:t>
            </w:r>
          </w:p>
        </w:tc>
        <w:tc>
          <w:tcPr>
            <w:tcW w:type="dxa" w:w="11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3.190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32,6 %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517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16,2 %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382</w:t>
            </w:r>
          </w:p>
        </w:tc>
        <w:tc>
          <w:tcPr>
            <w:tcW w:type="dxa" w:w="101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258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1,61</w:t>
            </w:r>
          </w:p>
        </w:tc>
      </w:tr>
    </w:tbl>
    <w:p>
      <w:pPr>
        <w:spacing w:after="160" w:before="0"/>
      </w:pPr>
    </w:p>
    <w:p>
      <w:pPr>
        <w:pStyle w:val="Nota"/>
        <w:spacing w:after="100"/>
      </w:pPr>
      <w:r>
        <w:t xml:space="preserve">Los periodos con «e» son estimaciones (consenso o propias, según se indique en el comentario).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3" name="Gráfico 3" descr="Ingresos y EBITDA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Márgenes (% de ingreso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spacing w:after="100"/>
      </w:pPr>
      <w:r>
        <w:t xml:space="preserve">Crecimiento medio del 6,8 % anual en 2021-2025 con expansión de 150 pb de margen EBITDA, impulsado por redes. 2026e y 2027e son consenso de 11 analistas [4].</w:t>
      </w:r>
    </w:p>
    <w:p>
      <w:pPr>
        <w:pStyle w:val="Heading1"/>
      </w:pPr>
      <w:r>
        <w:t xml:space="preserve">4. Generación de caja y calidad del beneficio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1521"/>
        <w:gridCol w:w="1268"/>
        <w:gridCol w:w="1268"/>
        <w:gridCol w:w="1521"/>
        <w:gridCol w:w="1394"/>
        <w:gridCol w:w="1398"/>
      </w:tblGrid>
      <w:tr>
        <w:trPr>
          <w:cantSplit/>
          <w:tblHeader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Flujo operativo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Capex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FCF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Beneficio neto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FCF / B. neto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Capex / ventas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228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86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131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108 %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4,0 %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170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98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138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52 %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4,1 %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296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110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186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172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108 %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4,3 %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318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129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189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190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99 %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4,8 %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341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140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201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207</w:t>
            </w:r>
          </w:p>
        </w:tc>
        <w:tc>
          <w:tcPr>
            <w:tcW w:type="dxa" w:w="139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97 %</w:t>
            </w:r>
          </w:p>
        </w:tc>
        <w:tc>
          <w:tcPr>
            <w:tcW w:type="dxa" w:w="13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5" name="Gráfico 5" descr="Flujo de caja libre frente a beneficio net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pStyle w:val="Heading2"/>
      </w:pPr>
      <w:r>
        <w:t xml:space="preserve">Calidad del beneficio</w:t>
      </w:r>
    </w:p>
    <w:p>
      <w:pPr>
        <w:spacing w:after="100"/>
      </w:pPr>
      <w:r>
        <w:t xml:space="preserve">Conversión media del 93 % en cinco años. 2022 fue la excepción por acumulación de inventario de cobre. Los ajustes entre beneficio reportado y ajustado son pequeños (&lt;3 % del EBIT) y no recurrentes.</w:t>
      </w:r>
    </w:p>
    <w:p>
      <w:pPr>
        <w:pStyle w:val="Heading2"/>
      </w:pPr>
      <w:r>
        <w:t xml:space="preserve">Capital circulante</w:t>
      </w:r>
    </w:p>
    <w:p>
      <w:pPr>
        <w:spacing w:after="100"/>
      </w:pPr>
      <w:r>
        <w:t xml:space="preserve">Capital circulante del 14 % de las ventas, estable. Usa factoring sin recurso por ~120 M que conviene sumar a la deuda neta en una lectura prudente.</w:t>
      </w:r>
    </w:p>
    <w:p>
      <w:pPr>
        <w:pStyle w:val="Heading1"/>
      </w:pPr>
      <w:r>
        <w:t xml:space="preserve">5. Rentabilidad sobre el capital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WACC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Diferencial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7,8 %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+3,4 %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12,8 %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10,9 %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+2,3 %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12,6 %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12,7 %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14,7 %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13,4 %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8,5 %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+4,9 %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15,3 %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13,9 %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8,4 %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+5,5 %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15,6 %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6" name="Gráfico 6" descr="ROIC frente a coste del capit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spacing w:after="100"/>
      </w:pPr>
      <w:r>
        <w:t xml:space="preserve">Crea valor de forma sostenida: el ROIC supera el WACC en todos los años y el diferencial se ha ampliado con el mix hacia redes.</w:t>
      </w:r>
    </w:p>
    <w:p>
      <w:pPr>
        <w:pStyle w:val="Heading1"/>
      </w:pPr>
      <w:r>
        <w:t xml:space="preserve">6. Balance y solvencia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Deuda neta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610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Deuda neta / EBITDA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1,4x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intereses (EBIT / gastos fin.)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9,8x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Liquidez disponible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720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Rating crediticio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BBB (S&amp;P, estable)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Coste medio de la deuda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3,6 %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Deuda neta / EBITDA (vec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8" name="Gráfico 8" descr="Calendario de vencimientos de deuda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p>
      <w:pPr>
        <w:pStyle w:val="Heading2"/>
      </w:pPr>
      <w:r>
        <w:t xml:space="preserve">Otros pasivos y contingencias</w:t>
      </w:r>
    </w:p>
    <w:p>
      <w:pPr>
        <w:spacing w:after="100"/>
      </w:pPr>
      <w:r>
        <w:t xml:space="preserve">Arrendamientos de 95 M (incluidos en la deuda neta). Sin planes de pensiones de prestación definida relevantes. Una reclamación fiscal de 18 M en Brasil, provisionada al 50 %.</w:t>
      </w:r>
    </w:p>
    <w:p>
      <w:pPr>
        <w:spacing w:after="100"/>
      </w:pPr>
      <w:r>
        <w:t xml:space="preserve">Balance sin tensión. El bono de 300 M de 2028 es el único vencimiento relevante.</w:t>
      </w:r>
    </w:p>
    <w:p>
      <w:pPr>
        <w:pStyle w:val="Heading1"/>
      </w:pPr>
      <w:r>
        <w:t xml:space="preserve">7. Asignación de capital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Reparte el 40-50 % del beneficio neto en dos pagos. Programa de recompra de hasta 100 M anunciado en febrero de 2026. Prioridad declarada: crecimiento orgánico en redes y adquisiciones pequeñas.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766"/>
        <w:gridCol w:w="1445"/>
        <w:gridCol w:w="1609"/>
      </w:tblGrid>
      <w:tr>
        <w:trPr>
          <w:cantSplit/>
          <w:tblHeader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Dividendos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Recompras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Adquisiciones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Payout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Acciones (M)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35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40 %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166,0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58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120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42 %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166,0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74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43 %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164,0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84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40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25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44 %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162,0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93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50</w:t>
            </w:r>
          </w:p>
        </w:tc>
        <w:tc>
          <w:tcPr>
            <w:tcW w:type="dxa" w:w="17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45 %</w:t>
            </w:r>
          </w:p>
        </w:tc>
        <w:tc>
          <w:tcPr>
            <w:tcW w:type="dxa" w:w="16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160,0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9" name="Gráfico 9" descr="Usos de la caja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pStyle w:val="Heading2"/>
      </w:pPr>
      <w:r>
        <w:t xml:space="preserve">Historial de adquisiciones</w:t>
      </w:r>
    </w:p>
    <w:p>
      <w:pPr>
        <w:spacing w:after="100"/>
      </w:pPr>
      <w:r>
        <w:t xml:space="preserve">Cuatro adquisiciones desde 2019, todas por debajo de 150 M. La mayor (2022, cables especiales en Polonia, 120 M a 8x EBITDA) cumple el plan.</w:t>
      </w:r>
    </w:p>
    <w:p>
      <w:pPr>
        <w:pStyle w:val="Heading1"/>
      </w:pPr>
      <w:r>
        <w:t xml:space="preserve">8. Equipo directivo y gobierno corporativo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2"/>
        <w:gridCol w:w="1752"/>
        <w:gridCol w:w="876"/>
        <w:gridCol w:w="5008"/>
      </w:tblGrid>
      <w:tr>
        <w:trPr>
          <w:cantSplit/>
          <w:tblHeader/>
        </w:trPr>
        <w:tc>
          <w:tcPr>
            <w:tcW w:type="dxa" w:w="20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Nombre</w:t>
            </w:r>
          </w:p>
        </w:tc>
        <w:tc>
          <w:tcPr>
            <w:tcW w:type="dxa" w:w="17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Cargo</w:t>
            </w:r>
          </w:p>
        </w:tc>
        <w:tc>
          <w:tcPr>
            <w:tcW w:type="dxa" w:w="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Desde</w:t>
            </w:r>
          </w:p>
        </w:tc>
        <w:tc>
          <w:tcPr>
            <w:tcW w:type="dxa" w:w="5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Trayectoria y resultados</w:t>
            </w:r>
          </w:p>
        </w:tc>
      </w:tr>
      <w:tr>
        <w:trPr>
          <w:cantSplit/>
        </w:trPr>
        <w:tc>
          <w:tcPr>
            <w:tcW w:type="dxa" w:w="200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Directora General (ficticia)</w:t>
            </w:r>
          </w:p>
        </w:tc>
        <w:tc>
          <w:tcPr>
            <w:tcW w:type="dxa" w:w="17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Consejera delegada</w:t>
            </w:r>
          </w:p>
        </w:tc>
        <w:tc>
          <w:tcPr>
            <w:tcW w:type="dxa" w:w="8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2019</w:t>
            </w:r>
          </w:p>
        </w:tc>
        <w:tc>
          <w:tcPr>
            <w:tcW w:type="dxa" w:w="500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Antes dirigió la división de redes; bajo su mandato el margen EBITDA ha subido 220 pb.</w:t>
            </w:r>
          </w:p>
        </w:tc>
      </w:tr>
      <w:tr>
        <w:trPr>
          <w:cantSplit/>
        </w:trPr>
        <w:tc>
          <w:tcPr>
            <w:tcW w:type="dxa" w:w="200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Director Financiero (ficticio)</w:t>
            </w:r>
          </w:p>
        </w:tc>
        <w:tc>
          <w:tcPr>
            <w:tcW w:type="dxa" w:w="17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Director financiero</w:t>
            </w:r>
          </w:p>
        </w:tc>
        <w:tc>
          <w:tcPr>
            <w:tcW w:type="dxa" w:w="8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500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Procede de un grupo industrial cotizado.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Accionariado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606"/>
        <w:gridCol w:w="3213"/>
      </w:tblGrid>
      <w:tr>
        <w:trPr>
          <w:cantSplit/>
          <w:tblHeader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Accionista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capital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Familia fundadora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28,0 %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 (consejo)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Fondo de pensiones nórdico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Institucional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Autocartera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1,2 %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Autocartera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Alineamiento: compras y ventas de directivos, remuneración</w:t>
      </w:r>
    </w:p>
    <w:p>
      <w:pPr>
        <w:spacing w:after="100"/>
      </w:pPr>
      <w:r>
        <w:t xml:space="preserve">Sin ventas de directivos en 12 meses; la consejera delegada compró 20.000 acciones en marzo de 2026.</w:t>
      </w:r>
    </w:p>
    <w:p>
      <w:pPr>
        <w:spacing w:after="100"/>
      </w:pPr>
      <w:r>
        <w:t xml:space="preserve">El variable a largo plazo depende del ROIC y del rendimiento total para el accionista frente al IBEX: bien alineado.</w:t>
      </w:r>
    </w:p>
    <w:p>
      <w:pPr>
        <w:pStyle w:val="Heading2"/>
      </w:pPr>
      <w:r>
        <w:t xml:space="preserve">Señales de alerta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Ninguna relevante detectada.</w:t>
      </w:r>
    </w:p>
    <w:p>
      <w:pPr>
        <w:pStyle w:val="Heading1"/>
      </w:pPr>
      <w:r>
        <w:t xml:space="preserve">9. Previsiones de la compañía y consenso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Para 2026: crecimiento de ingresos del 6-8 % y margen EBITDA ≥ 15,8 %. Reiterado en julio de 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1554"/>
        <w:gridCol w:w="1554"/>
        <w:gridCol w:w="1554"/>
        <w:gridCol w:w="3422"/>
      </w:tblGrid>
      <w:tr>
        <w:trPr>
          <w:cantSplit/>
          <w:tblHeader/>
        </w:trPr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Ingresos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EBITDA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BPA</w:t>
            </w:r>
          </w:p>
        </w:tc>
        <w:tc>
          <w:tcPr>
            <w:tcW w:type="dxa" w:w="3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2026e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2.990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475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1,45</w:t>
            </w:r>
          </w:p>
        </w:tc>
        <w:tc>
          <w:tcPr>
            <w:tcW w:type="dxa" w:w="3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Consenso, 11 analistas</w:t>
            </w:r>
          </w:p>
        </w:tc>
      </w:tr>
      <w:tr>
        <w:trPr>
          <w:cantSplit/>
        </w:trPr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2027e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3.190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517</w:t>
            </w:r>
          </w:p>
        </w:tc>
        <w:tc>
          <w:tcPr>
            <w:tcW w:type="dxa" w:w="155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1,61</w:t>
            </w:r>
          </w:p>
        </w:tc>
        <w:tc>
          <w:tcPr>
            <w:tcW w:type="dxa" w:w="3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Consenso, 11 analistas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Analistas que la cubren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11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Comprar / Mantener / Vender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/ 4 / 1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Precio objetivo medio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28,90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Rango de precios objetivo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22,00 – 34,00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Revisiones recientes</w:t>
      </w:r>
    </w:p>
    <w:p>
      <w:pPr>
        <w:spacing w:after="100"/>
      </w:pPr>
      <w:r>
        <w:t xml:space="preserve">BPA 2026e revisado +3 % en tres meses tras los resultados semestrales.</w:t>
      </w:r>
    </w:p>
    <w:p>
      <w:pPr>
        <w:pStyle w:val="Heading1"/>
      </w:pPr>
      <w:r>
        <w:t xml:space="preserve">10. Valoración por múltiplos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1721"/>
        <w:gridCol w:w="1721"/>
        <w:gridCol w:w="1721"/>
        <w:gridCol w:w="1722"/>
      </w:tblGrid>
      <w:tr>
        <w:trPr>
          <w:cantSplit/>
          <w:tblHeader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Actual (LTM)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Próx. 12 m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5 años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Comparables</w:t>
            </w:r>
          </w:p>
        </w:tc>
      </w:tr>
      <w:tr>
        <w:trPr>
          <w:cantSplit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11,1x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10,1x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11,2x</w:t>
            </w:r>
          </w:p>
        </w:tc>
      </w:tr>
      <w:tr>
        <w:trPr>
          <w:cantSplit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15,4x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13,8x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14,6x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15,9x</w:t>
            </w:r>
          </w:p>
        </w:tc>
      </w:tr>
      <w:tr>
        <w:trPr>
          <w:cantSplit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19,1x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17,0x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18,2x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20,5x</w:t>
            </w:r>
          </w:p>
        </w:tc>
      </w:tr>
      <w:tr>
        <w:trPr>
          <w:cantSplit/>
        </w:trPr>
        <w:tc>
          <w:tcPr>
            <w:tcW w:type="dxa" w:w="27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1,6x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1,5x</w:t>
            </w:r>
          </w:p>
        </w:tc>
        <w:tc>
          <w:tcPr>
            <w:tcW w:type="dxa" w:w="17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Rentabilidad por FCF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5,1 %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2,4 %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0" name="Gráfico 10" descr="Múltiplos: hoy, su media de 5 años y comparabl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En línea con su media en EV/EBITDA y algo por debajo de sus comparables, que crecen más.</w:t>
      </w:r>
    </w:p>
    <w:p>
      <w:pPr>
        <w:pStyle w:val="Heading1"/>
      </w:pPr>
      <w:r>
        <w:t xml:space="preserve">11. Comparables cotizados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Fabricantes europeos cotizados de equipos de distribución eléctrica con más de 1.000 M EUR de ingresos.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2"/>
        <w:gridCol w:w="928"/>
        <w:gridCol w:w="1277"/>
        <w:gridCol w:w="1161"/>
        <w:gridCol w:w="928"/>
        <w:gridCol w:w="1045"/>
        <w:gridCol w:w="1045"/>
        <w:gridCol w:w="932"/>
      </w:tblGrid>
      <w:tr>
        <w:trPr>
          <w:cantSplit/>
          <w:tblHeader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</w:tr>
      <w:tr>
        <w:trPr>
          <w:cantSplit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Compañía Ejemplo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3.936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11,1x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19,1x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15,5 %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13,9 %</w:t>
            </w:r>
          </w:p>
        </w:tc>
      </w:tr>
      <w:tr>
        <w:trPr>
          <w:cantSplit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Alfa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41.000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13,4x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23,8x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+8,2 %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19,1 %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15,2 %</w:t>
            </w:r>
          </w:p>
        </w:tc>
      </w:tr>
      <w:tr>
        <w:trPr>
          <w:cantSplit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Energy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18.500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11,2x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20,5x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+6,1 %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14,2 %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11,0 %</w:t>
            </w:r>
          </w:p>
        </w:tc>
      </w:tr>
      <w:tr>
        <w:trPr>
          <w:cantSplit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Gamma Systems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CH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26.000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27,1x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18,4 %</w:t>
            </w:r>
          </w:p>
        </w:tc>
      </w:tr>
      <w:tr>
        <w:trPr>
          <w:cantSplit/>
        </w:trPr>
        <w:tc>
          <w:tcPr>
            <w:tcW w:type="dxa" w:w="23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Delta Cables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5.200</w:t>
            </w:r>
          </w:p>
        </w:tc>
        <w:tc>
          <w:tcPr>
            <w:tcW w:type="dxa" w:w="11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9,6x</w:t>
            </w:r>
          </w:p>
        </w:tc>
        <w:tc>
          <w:tcPr>
            <w:tcW w:type="dxa" w:w="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15,2x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11,5 %</w:t>
            </w:r>
          </w:p>
        </w:tc>
        <w:tc>
          <w:tcPr>
            <w:tcW w:type="dxa" w:w="9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9,7 %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11" name="Gráfico 11" descr="EV/EBITDA de los comparables (vec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2" name="Gráfico 12" descr="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2"/>
              </a:graphicData>
            </a:graphic>
          </wp:inline>
        </w:drawing>
      </w:r>
    </w:p>
    <w:p>
      <w:pPr>
        <w:spacing w:after="100"/>
      </w:pPr>
      <w:r>
        <w:t xml:space="preserve">Ejemplo cotiza en la parte baja del rango, coherente con un crecimiento menor. El mapa sugiere que el mercado paga ~0,7x de EV/EBITDA por cada punto de crecimiento.</w:t>
      </w:r>
    </w:p>
    <w:p>
      <w:pPr>
        <w:pStyle w:val="Heading1"/>
      </w:pPr>
      <w:r>
        <w:t xml:space="preserve">12. Valoración intrínseca y escenarios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Descuento de flujos de caja libres a 10 años con WACC del 8,4 % y crecimiento terminal del 2 %, contrastado con EV/EBITDA de salida de 10x.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1784"/>
        <w:gridCol w:w="1784"/>
        <w:gridCol w:w="1787"/>
      </w:tblGrid>
      <w:tr>
        <w:trPr>
          <w:cantSplit/>
          <w:tblHeader/>
        </w:trPr>
        <w:tc>
          <w:tcPr>
            <w:tcW w:type="dxa" w:w="4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Supuesto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Bajista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Base</w:t>
            </w:r>
          </w:p>
        </w:tc>
        <w:tc>
          <w:tcPr>
            <w:tcW w:type="dxa" w:w="17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Alcista</w:t>
            </w:r>
          </w:p>
        </w:tc>
      </w:tr>
      <w:tr>
        <w:trPr>
          <w:cantSplit/>
        </w:trPr>
        <w:tc>
          <w:tcPr>
            <w:tcW w:type="dxa" w:w="42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Crecimiento de ingresos 2026-2030 (anual)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3 %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6,5 %</w:t>
            </w:r>
          </w:p>
        </w:tc>
        <w:tc>
          <w:tcPr>
            <w:tcW w:type="dxa" w:w="17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</w:tr>
      <w:tr>
        <w:trPr>
          <w:cantSplit/>
        </w:trPr>
        <w:tc>
          <w:tcPr>
            <w:tcW w:type="dxa" w:w="42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 2030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14,5 %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16,5 %</w:t>
            </w:r>
          </w:p>
        </w:tc>
        <w:tc>
          <w:tcPr>
            <w:tcW w:type="dxa" w:w="17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18 %</w:t>
            </w:r>
          </w:p>
        </w:tc>
      </w:tr>
      <w:tr>
        <w:trPr>
          <w:cantSplit/>
        </w:trPr>
        <w:tc>
          <w:tcPr>
            <w:tcW w:type="dxa" w:w="42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WACC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7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8,4 %</w:t>
            </w:r>
          </w:p>
        </w:tc>
        <w:tc>
          <w:tcPr>
            <w:tcW w:type="dxa" w:w="17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8,0 %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1268"/>
        <w:gridCol w:w="1141"/>
        <w:gridCol w:w="887"/>
        <w:gridCol w:w="5074"/>
      </w:tblGrid>
      <w:tr>
        <w:trPr>
          <w:cantSplit/>
          <w:tblHeader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Valor/acción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Potencial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tiene que ocurrir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Bajista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17,50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-28,9 %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25 %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Automoción sigue cayendo y la competencia asiática presiona precios en transformadores.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Base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28,00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+13,8 %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55 %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Redes crece según cartera y automoción se estabiliza en 2027.</w:t>
            </w:r>
          </w:p>
        </w:tc>
      </w:tr>
      <w:tr>
        <w:trPr>
          <w:cantSplit/>
        </w:trPr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Alcista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36,50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+48,4 %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nuevos en Norteamérica y margen de redes al 18 %.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rPr>
          <w:b/>
          <w:bCs/>
        </w:rPr>
        <w:t xml:space="preserve">Precio actual:</w:t>
      </w:r>
      <w:r>
        <w:t xml:space="preserve"> 24,60 EUR · </w:t>
      </w:r>
      <w:r>
        <w:rPr>
          <w:b/>
          <w:bCs/>
        </w:rPr>
        <w:t xml:space="preserve">Valor ponderado por probabilidad:</w:t>
      </w:r>
      <w:r>
        <w:t xml:space="preserve"> 27,10 EUR (+10,2 %)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13" name="Gráfico 13" descr="Valor por acción por escenario (EUR) · precio actual 24,6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3"/>
              </a:graphicData>
            </a:graphic>
          </wp:inline>
        </w:drawing>
      </w:r>
    </w:p>
    <w:p>
      <w:pPr>
        <w:pStyle w:val="Heading2"/>
      </w:pPr>
      <w:r>
        <w:t xml:space="preserve">Sensibilidad</w:t>
      </w:r>
    </w:p>
    <w:p>
      <w:pPr>
        <w:spacing w:after="100"/>
      </w:pPr>
      <w:r>
        <w:t xml:space="preserve">Cada punto de WACC mueve el valor base ±3,6 EUR; cada punto de margen EBITDA en 2030, ±2,1 EUR.</w:t>
      </w:r>
    </w:p>
    <w:p>
      <w:pPr>
        <w:pStyle w:val="Heading1"/>
      </w:pPr>
      <w:r>
        <w:t xml:space="preserve">13. Comportamiento en bolsa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4" name="Gráfico 14" descr="Rentabilidad total: acción frente a su índice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4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Beta (5 años, mensual)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1,08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Volatilidad anualizada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24,5 %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Máxima caída (5 años)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-38,0 %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Posiciones cortas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0,6 %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Recupera el diferencial frente al índice en el último año tras dos años de peor comportamiento.</w:t>
      </w:r>
    </w:p>
    <w:p>
      <w:pPr>
        <w:pStyle w:val="Heading1"/>
      </w:pPr>
      <w:r>
        <w:t xml:space="preserve">14. Catalizadores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5"/>
        <w:gridCol w:w="3706"/>
        <w:gridCol w:w="3706"/>
        <w:gridCol w:w="991"/>
      </w:tblGrid>
      <w:tr>
        <w:trPr>
          <w:cantSplit/>
          <w:tblHeader/>
        </w:trPr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Evento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 esperado</w:t>
            </w:r>
          </w:p>
        </w:tc>
        <w:tc>
          <w:tcPr>
            <w:tcW w:type="dxa" w:w="9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</w:tr>
      <w:tr>
        <w:trPr>
          <w:cantSplit/>
        </w:trPr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29 oct 2026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Resultados del tercer trimestre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Confirmar cartera de redes y guía anual</w:t>
            </w:r>
          </w:p>
        </w:tc>
        <w:tc>
          <w:tcPr>
            <w:tcW w:type="dxa" w:w="9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1S 2027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Día del inversor con plan 2030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Objetivos de margen por segmento</w:t>
            </w:r>
          </w:p>
        </w:tc>
        <w:tc>
          <w:tcPr>
            <w:tcW w:type="dxa" w:w="9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15. Riesgos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025"/>
        <w:gridCol w:w="717"/>
        <w:gridCol w:w="820"/>
        <w:gridCol w:w="2358"/>
        <w:gridCol w:w="2053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7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23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Mitigante</w:t>
            </w:r>
          </w:p>
        </w:tc>
        <w:tc>
          <w:tcPr>
            <w:tcW w:type="dxa" w:w="2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Caída prolongada de automoción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</w:t>
            </w:r>
          </w:p>
        </w:tc>
        <w:tc>
          <w:tcPr>
            <w:tcW w:type="dxa" w:w="7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23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Peso decreciente; plan de reducción de capacidad</w:t>
            </w:r>
          </w:p>
        </w:tc>
        <w:tc>
          <w:tcPr>
            <w:tcW w:type="dxa" w:w="20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Pedidos de automoción &lt; -10 %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del cobre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Materias primas</w:t>
            </w:r>
          </w:p>
        </w:tc>
        <w:tc>
          <w:tcPr>
            <w:tcW w:type="dxa" w:w="7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23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Cláusulas de revisión en el 45 % de redes</w:t>
            </w:r>
          </w:p>
        </w:tc>
        <w:tc>
          <w:tcPr>
            <w:tcW w:type="dxa" w:w="20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Cobre &gt; 11.000 USD/t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Competencia asiática en transformadores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Competencia</w:t>
            </w:r>
          </w:p>
        </w:tc>
        <w:tc>
          <w:tcPr>
            <w:tcW w:type="dxa" w:w="7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23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Homologaciones y servicio local</w:t>
            </w:r>
          </w:p>
        </w:tc>
        <w:tc>
          <w:tcPr>
            <w:tcW w:type="dxa" w:w="20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Concursos perdidos por precio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ESG y controversias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3855"/>
        <w:gridCol w:w="1928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Proveedor</w:t>
            </w:r>
          </w:p>
        </w:tc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Calificación</w:t>
            </w:r>
          </w:p>
        </w:tc>
        <w:tc>
          <w:tcPr>
            <w:tcW w:type="dxa" w:w="1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MSCI ESG</w:t>
            </w:r>
          </w:p>
        </w:tc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</w:t>
            </w:r>
          </w:p>
        </w:tc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mar 2026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Sustainalytics</w:t>
            </w:r>
          </w:p>
        </w:tc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Riesgo bajo (17,2)</w:t>
            </w:r>
          </w:p>
        </w:tc>
        <w:tc>
          <w:tcPr>
            <w:tcW w:type="dxa" w:w="192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may 2026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Asuntos materiales</w:t>
      </w:r>
    </w:p>
    <w:p>
      <w:pPr>
        <w:spacing w:after="100"/>
      </w:pPr>
      <w:r>
        <w:t xml:space="preserve">Exposición positiva a la electrificación (el 38 % de los ingresos es elegible en la taxonomía europea). Consumo energético de las plantas de fundición.</w:t>
      </w:r>
    </w:p>
    <w:p>
      <w:pPr>
        <w:pStyle w:val="Heading2"/>
      </w:pPr>
      <w:r>
        <w:t xml:space="preserve">Controversias</w:t>
      </w:r>
    </w:p>
    <w:p>
      <w:pPr>
        <w:spacing w:after="100"/>
      </w:pPr>
      <w:r>
        <w:t xml:space="preserve">Sin controversias relevantes en los últimos tres años.</w:t>
      </w: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Compañía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https://www.ejemplo.com/inversores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Resultados del primer semestre 2026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Compañía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24 jul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https://www.ejemplo.com/inversores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Presentación a analistas 1S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Compañía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24 jul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https://www.ejemplo.com/inversores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Consenso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Proveedor de datos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la empresa y todas sus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Compañía Ejemplo, S.A. (EJM)</w:t>
    </w:r>
    <w:r>
      <w:rPr>
        <w:color w:val="8A8984"/>
        <w:sz w:val="16"/>
        <w:szCs w:val="16"/>
      </w:rPr>
      <w:t xml:space="preserve">	Análisis de empresa cotizada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Relationship Id="rIdGrafico12" Type="http://schemas.openxmlformats.org/officeDocument/2006/relationships/chart" Target="charts/chart12.xml"/><Relationship Id="rIdGrafico13" Type="http://schemas.openxmlformats.org/officeDocument/2006/relationships/chart" Target="charts/chart13.xml"/><Relationship Id="rIdGrafico14" Type="http://schemas.openxmlformats.org/officeDocument/2006/relationships/chart" Target="charts/chart14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_rels/chart1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2.xlsx"/></Relationships>
</file>

<file path=word/charts/_rels/chart1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3.xlsx"/></Relationships>
</file>

<file path=word/charts/_rels/chart1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4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Ingresos por segmento (% del total)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 ingresos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Hoja1!$A$2:$A$4</c:f>
              <c:strCache>
                <c:ptCount val="3"/>
                <c:pt idx="0">
                  <c:v>Redes eléctricas</c:v>
                </c:pt>
                <c:pt idx="1">
                  <c:v>Industria</c:v>
                </c:pt>
                <c:pt idx="2">
                  <c:v>Automoción</c:v>
                </c:pt>
              </c:strCache>
            </c:strRef>
          </c:cat>
          <c:val>
            <c:numRef>
              <c:f>Hoja1!$B$2:$B$4</c:f>
              <c:numCache>
                <c:formatCode>General</c:formatCode>
                <c:ptCount val="3"/>
                <c:pt idx="0">
                  <c:v>38</c:v>
                </c:pt>
                <c:pt idx="1">
                  <c:v>41</c:v>
                </c:pt>
                <c:pt idx="2">
                  <c:v>21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Ingresos por geografía (% del total)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 ingresos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España</c:v>
                </c:pt>
                <c:pt idx="1">
                  <c:v>Resto de Europa</c:v>
                </c:pt>
                <c:pt idx="2">
                  <c:v>Norteamérica</c:v>
                </c:pt>
                <c:pt idx="3">
                  <c:v>Latinoamérica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34</c:v>
                </c:pt>
                <c:pt idx="1">
                  <c:v>38</c:v>
                </c:pt>
                <c:pt idx="2">
                  <c:v>17</c:v>
                </c:pt>
                <c:pt idx="3">
                  <c:v>8</c:v>
                </c:pt>
                <c:pt idx="4">
                  <c:v>3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Ingresos y EBITDA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Ingresos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2026e</c:v>
                </c:pt>
                <c:pt idx="6">
                  <c:v>2027e</c:v>
                </c:pt>
              </c:strCache>
            </c:strRef>
          </c:cat>
          <c:val>
            <c:numRef>
              <c:f>Hoja1!$B$2:$B$8</c:f>
              <c:numCache>
                <c:formatCode>#,##0</c:formatCode>
                <c:ptCount val="7"/>
                <c:pt idx="0">
                  <c:v>2150</c:v>
                </c:pt>
                <c:pt idx="1">
                  <c:v>2390</c:v>
                </c:pt>
                <c:pt idx="2">
                  <c:v>2560</c:v>
                </c:pt>
                <c:pt idx="3">
                  <c:v>2680</c:v>
                </c:pt>
                <c:pt idx="4">
                  <c:v>2800</c:v>
                </c:pt>
                <c:pt idx="5">
                  <c:v>2990</c:v>
                </c:pt>
                <c:pt idx="6">
                  <c:v>3190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EBITDA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2026e</c:v>
                </c:pt>
                <c:pt idx="6">
                  <c:v>2027e</c:v>
                </c:pt>
              </c:strCache>
            </c:strRef>
          </c:cat>
          <c:val>
            <c:numRef>
              <c:f>Hoja1!$C$2:$C$8</c:f>
              <c:numCache>
                <c:formatCode>#,##0</c:formatCode>
                <c:ptCount val="7"/>
                <c:pt idx="0">
                  <c:v>301</c:v>
                </c:pt>
                <c:pt idx="1">
                  <c:v>318</c:v>
                </c:pt>
                <c:pt idx="2">
                  <c:v>371</c:v>
                </c:pt>
                <c:pt idx="3">
                  <c:v>402</c:v>
                </c:pt>
                <c:pt idx="4">
                  <c:v>434</c:v>
                </c:pt>
                <c:pt idx="5">
                  <c:v>475</c:v>
                </c:pt>
                <c:pt idx="6">
                  <c:v>517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Márgenes (% de ingresos)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bruto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2026e</c:v>
                </c:pt>
                <c:pt idx="6">
                  <c:v>2027e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31</c:v>
                </c:pt>
                <c:pt idx="1">
                  <c:v>29.4</c:v>
                </c:pt>
                <c:pt idx="2">
                  <c:v>30.8</c:v>
                </c:pt>
                <c:pt idx="3">
                  <c:v>31.6</c:v>
                </c:pt>
                <c:pt idx="4">
                  <c:v>32.1</c:v>
                </c:pt>
                <c:pt idx="5">
                  <c:v>32.4</c:v>
                </c:pt>
                <c:pt idx="6">
                  <c:v>32.6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Margen EBITDA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2026e</c:v>
                </c:pt>
                <c:pt idx="6">
                  <c:v>2027e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14</c:v>
                </c:pt>
                <c:pt idx="1">
                  <c:v>13.3</c:v>
                </c:pt>
                <c:pt idx="2">
                  <c:v>14.5</c:v>
                </c:pt>
                <c:pt idx="3">
                  <c:v>15</c:v>
                </c:pt>
                <c:pt idx="4">
                  <c:v>15.5</c:v>
                </c:pt>
                <c:pt idx="5">
                  <c:v>15.9</c:v>
                </c:pt>
                <c:pt idx="6">
                  <c:v>16.2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Margen neto</c:v>
                </c:pt>
              </c:strCache>
            </c:strRef>
          </c:tx>
          <c:spPr>
            <a:ln w="25400" cap="rnd">
              <a:solidFill>
                <a:srgbClr val="1BAF7A"/>
              </a:solidFill>
              <a:round/>
            </a:ln>
          </c:spPr>
          <c:marker>
            <c:symbol val="circle"/>
            <c:size val="6"/>
            <c:spPr>
              <a:solidFill>
                <a:srgbClr val="1BAF7A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2026e</c:v>
                </c:pt>
                <c:pt idx="6">
                  <c:v>2027e</c:v>
                </c:pt>
              </c:strCache>
            </c:strRef>
          </c:cat>
          <c:val>
            <c:numRef>
              <c:f>Hoja1!$D$2:$D$8</c:f>
              <c:numCache>
                <c:formatCode>0"%"</c:formatCode>
                <c:ptCount val="7"/>
                <c:pt idx="0">
                  <c:v>6.1</c:v>
                </c:pt>
                <c:pt idx="1">
                  <c:v>5.8</c:v>
                </c:pt>
                <c:pt idx="2">
                  <c:v>6.7</c:v>
                </c:pt>
                <c:pt idx="3">
                  <c:v>7.1</c:v>
                </c:pt>
                <c:pt idx="4">
                  <c:v>7.4</c:v>
                </c:pt>
                <c:pt idx="5">
                  <c:v>7.8</c:v>
                </c:pt>
                <c:pt idx="6">
                  <c:v>8.1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Flujo de caja libre frente a beneficio neto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Flujo de caja libre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142</c:v>
                </c:pt>
                <c:pt idx="1">
                  <c:v>72</c:v>
                </c:pt>
                <c:pt idx="2">
                  <c:v>186</c:v>
                </c:pt>
                <c:pt idx="3">
                  <c:v>189</c:v>
                </c:pt>
                <c:pt idx="4">
                  <c:v>201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Beneficio neto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#,##0</c:formatCode>
                <c:ptCount val="5"/>
                <c:pt idx="0">
                  <c:v>131</c:v>
                </c:pt>
                <c:pt idx="1">
                  <c:v>138</c:v>
                </c:pt>
                <c:pt idx="2">
                  <c:v>172</c:v>
                </c:pt>
                <c:pt idx="3">
                  <c:v>190</c:v>
                </c:pt>
                <c:pt idx="4">
                  <c:v>207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ROIC frente a coste del capital (%)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ROIC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11.2</c:v>
                </c:pt>
                <c:pt idx="1">
                  <c:v>10.9</c:v>
                </c:pt>
                <c:pt idx="2">
                  <c:v>12.7</c:v>
                </c:pt>
                <c:pt idx="3">
                  <c:v>13.4</c:v>
                </c:pt>
                <c:pt idx="4">
                  <c:v>13.9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WACC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7.8</c:v>
                </c:pt>
                <c:pt idx="1">
                  <c:v>8.6</c:v>
                </c:pt>
                <c:pt idx="2">
                  <c:v>8.9</c:v>
                </c:pt>
                <c:pt idx="3">
                  <c:v>8.5</c:v>
                </c:pt>
                <c:pt idx="4">
                  <c:v>8.4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ROE</c:v>
                </c:pt>
              </c:strCache>
            </c:strRef>
          </c:tx>
          <c:spPr>
            <a:ln w="25400" cap="rnd">
              <a:solidFill>
                <a:srgbClr val="1BAF7A"/>
              </a:solidFill>
              <a:round/>
            </a:ln>
          </c:spPr>
          <c:marker>
            <c:symbol val="circle"/>
            <c:size val="6"/>
            <c:spPr>
              <a:solidFill>
                <a:srgbClr val="1BAF7A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12.8</c:v>
                </c:pt>
                <c:pt idx="1">
                  <c:v>12.6</c:v>
                </c:pt>
                <c:pt idx="2">
                  <c:v>14.7</c:v>
                </c:pt>
                <c:pt idx="3">
                  <c:v>15.3</c:v>
                </c:pt>
                <c:pt idx="4">
                  <c:v>15.6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Deuda neta / EBITDA (veces)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Deuda neta /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x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0.0"x"</c:formatCode>
                <c:ptCount val="5"/>
                <c:pt idx="0">
                  <c:v>2.3</c:v>
                </c:pt>
                <c:pt idx="1">
                  <c:v>2.4</c:v>
                </c:pt>
                <c:pt idx="2">
                  <c:v>1.9</c:v>
                </c:pt>
                <c:pt idx="3">
                  <c:v>1.6</c:v>
                </c:pt>
                <c:pt idx="4">
                  <c:v>1.4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Calendario de vencimientos de deuda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Vencimientos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2026</c:v>
                </c:pt>
                <c:pt idx="1">
                  <c:v>2027</c:v>
                </c:pt>
                <c:pt idx="2">
                  <c:v>2028</c:v>
                </c:pt>
                <c:pt idx="3">
                  <c:v>2029</c:v>
                </c:pt>
                <c:pt idx="4">
                  <c:v>2030+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40</c:v>
                </c:pt>
                <c:pt idx="1">
                  <c:v>65</c:v>
                </c:pt>
                <c:pt idx="2">
                  <c:v>300</c:v>
                </c:pt>
                <c:pt idx="3">
                  <c:v>120</c:v>
                </c:pt>
                <c:pt idx="4">
                  <c:v>245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Usos de la caja (EUR, millones)</a:t>
            </a:r>
          </a:p>
        </c:rich>
      </c:tx>
      <c:overlay val="0"/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Dividendos</c:v>
                </c:pt>
              </c:strCache>
            </c:strRef>
          </c:tx>
          <c:spPr>
            <a:solidFill>
              <a:srgbClr val="2A78D6"/>
            </a:solidFill>
            <a:ln w="12700">
              <a:solidFill>
                <a:srgbClr val="FFFFFF"/>
              </a:solidFill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</c:v>
                </c:pt>
                <c:pt idx="1">
                  <c:v>58</c:v>
                </c:pt>
                <c:pt idx="2">
                  <c:v>74</c:v>
                </c:pt>
                <c:pt idx="3">
                  <c:v>84</c:v>
                </c:pt>
                <c:pt idx="4">
                  <c:v>93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Recompras</c:v>
                </c:pt>
              </c:strCache>
            </c:strRef>
          </c:tx>
          <c:spPr>
            <a:solidFill>
              <a:srgbClr val="EB6834"/>
            </a:solidFill>
            <a:ln w="12700">
              <a:solidFill>
                <a:srgbClr val="FFFFFF"/>
              </a:solidFill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#,##0</c:formatCode>
                <c:ptCount val="5"/>
                <c:pt idx="0">
                  <c:v>0</c:v>
                </c:pt>
                <c:pt idx="1">
                  <c:v>0</c:v>
                </c:pt>
                <c:pt idx="2">
                  <c:v>20</c:v>
                </c:pt>
                <c:pt idx="3">
                  <c:v>40</c:v>
                </c:pt>
                <c:pt idx="4">
                  <c:v>50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Adquisiciones</c:v>
                </c:pt>
              </c:strCache>
            </c:strRef>
          </c:tx>
          <c:spPr>
            <a:solidFill>
              <a:srgbClr val="1BAF7A"/>
            </a:solidFill>
            <a:ln w="12700">
              <a:solidFill>
                <a:srgbClr val="FFFFFF"/>
              </a:solidFill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#,##0</c:formatCode>
                <c:ptCount val="5"/>
                <c:pt idx="0">
                  <c:v>35</c:v>
                </c:pt>
                <c:pt idx="1">
                  <c:v>120</c:v>
                </c:pt>
                <c:pt idx="2">
                  <c:v>0</c:v>
                </c:pt>
                <c:pt idx="3">
                  <c:v>25</c:v>
                </c:pt>
                <c:pt idx="4">
                  <c:v>0</c:v>
                </c:pt>
              </c:numCache>
            </c:numRef>
          </c:val>
        </c:ser>
        <c:gapWidth val="60"/>
        <c:overlap val="10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Múltiplos: hoy, su media de 5 años y comparables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Actual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Hoja1!$A$2:$A$5</c:f>
              <c:strCache>
                <c:ptCount val="4"/>
                <c:pt idx="0">
                  <c:v>EV/EBITDA</c:v>
                </c:pt>
                <c:pt idx="1">
                  <c:v>EV/EBIT</c:v>
                </c:pt>
                <c:pt idx="2">
                  <c:v>PER</c:v>
                </c:pt>
                <c:pt idx="3">
                  <c:v>EV/Ventas</c:v>
                </c:pt>
              </c:strCache>
            </c:strRef>
          </c:cat>
          <c:val>
            <c:numRef>
              <c:f>Hoja1!$B$2:$B$5</c:f>
              <c:numCache>
                <c:formatCode>0.0"x"</c:formatCode>
                <c:ptCount val="4"/>
                <c:pt idx="0">
                  <c:v>11.1</c:v>
                </c:pt>
                <c:pt idx="1">
                  <c:v>15.4</c:v>
                </c:pt>
                <c:pt idx="2">
                  <c:v>19.1</c:v>
                </c:pt>
                <c:pt idx="3">
                  <c:v>1.7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5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Hoja1!$A$2:$A$5</c:f>
              <c:strCache>
                <c:ptCount val="4"/>
                <c:pt idx="0">
                  <c:v>EV/EBITDA</c:v>
                </c:pt>
                <c:pt idx="1">
                  <c:v>EV/EBIT</c:v>
                </c:pt>
                <c:pt idx="2">
                  <c:v>PER</c:v>
                </c:pt>
                <c:pt idx="3">
                  <c:v>EV/Ventas</c:v>
                </c:pt>
              </c:strCache>
            </c:strRef>
          </c:cat>
          <c:val>
            <c:numRef>
              <c:f>Hoja1!$C$2:$C$5</c:f>
              <c:numCache>
                <c:formatCode>0.0"x"</c:formatCode>
                <c:ptCount val="4"/>
                <c:pt idx="0">
                  <c:v>10.4</c:v>
                </c:pt>
                <c:pt idx="1">
                  <c:v>14.6</c:v>
                </c:pt>
                <c:pt idx="2">
                  <c:v>18.2</c:v>
                </c:pt>
                <c:pt idx="3">
                  <c:v>1.5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Comparables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Hoja1!$A$2:$A$5</c:f>
              <c:strCache>
                <c:ptCount val="4"/>
                <c:pt idx="0">
                  <c:v>EV/EBITDA</c:v>
                </c:pt>
                <c:pt idx="1">
                  <c:v>EV/EBIT</c:v>
                </c:pt>
                <c:pt idx="2">
                  <c:v>PER</c:v>
                </c:pt>
                <c:pt idx="3">
                  <c:v>EV/Ventas</c:v>
                </c:pt>
              </c:strCache>
            </c:strRef>
          </c:cat>
          <c:val>
            <c:numRef>
              <c:f>Hoja1!$D$2:$D$5</c:f>
              <c:numCache>
                <c:formatCode>0.0"x"</c:formatCode>
                <c:ptCount val="4"/>
                <c:pt idx="0">
                  <c:v>11.2</c:v>
                </c:pt>
                <c:pt idx="1">
                  <c:v>15.9</c:v>
                </c:pt>
                <c:pt idx="2">
                  <c:v>20.5</c:v>
                </c:pt>
                <c:pt idx="3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EV/EBITDA de los comparables (veces)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EV/EBITDA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4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&quot;x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Compañía Ejemplo</c:v>
                </c:pt>
                <c:pt idx="1">
                  <c:v>Grupo Alfa</c:v>
                </c:pt>
                <c:pt idx="2">
                  <c:v>Beta Energy</c:v>
                </c:pt>
                <c:pt idx="3">
                  <c:v>Gamma Systems</c:v>
                </c:pt>
                <c:pt idx="4">
                  <c:v>Delta Cables</c:v>
                </c:pt>
              </c:strCache>
            </c:strRef>
          </c:cat>
          <c:val>
            <c:numRef>
              <c:f>Hoja1!$B$2:$B$6</c:f>
              <c:numCache>
                <c:formatCode>0.0"x"</c:formatCode>
                <c:ptCount val="5"/>
                <c:pt idx="0">
                  <c:v>11.1</c:v>
                </c:pt>
                <c:pt idx="1">
                  <c:v>13.4</c:v>
                </c:pt>
                <c:pt idx="2">
                  <c:v>11.2</c:v>
                </c:pt>
                <c:pt idx="3">
                  <c:v>15.8</c:v>
                </c:pt>
                <c:pt idx="4">
                  <c:v>9.6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Compañía Ejemplo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10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4.5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11.1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Grupo Alfa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8.2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13.4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Beta Energy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6.1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11.2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Gamma Systems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9.4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15.8</c:v>
                </c:pt>
              </c:numCache>
            </c:numRef>
          </c:yVal>
          <c:smooth val="0"/>
        </c:ser>
        <c:ser>
          <c:idx val="4"/>
          <c:order val="4"/>
          <c:tx>
            <c:strRef>
              <c:f>Hoja1!$A$6</c:f>
              <c:strCache>
                <c:ptCount val="1"/>
                <c:pt idx="0">
                  <c:v>Delta Cables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Hoja1!$B$6</c:f>
              <c:numCache>
                <c:formatCode>0"%"</c:formatCode>
                <c:ptCount val="1"/>
                <c:pt idx="0">
                  <c:v>3.8</c:v>
                </c:pt>
              </c:numCache>
            </c:numRef>
          </c:xVal>
          <c:yVal>
            <c:numRef>
              <c:f>Hoja1!$C$6</c:f>
              <c:numCache>
                <c:formatCode>0.0"x"</c:formatCode>
                <c:ptCount val="1"/>
                <c:pt idx="0">
                  <c:v>9.6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11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8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Valor por acción por escenario (EUR) · precio actual 24,60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Valor por acción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Bajista</c:v>
                </c:pt>
                <c:pt idx="1">
                  <c:v>Base</c:v>
                </c:pt>
                <c:pt idx="2">
                  <c:v>Alcista</c:v>
                </c:pt>
              </c:strCache>
            </c:strRef>
          </c:cat>
          <c:val>
            <c:numRef>
              <c:f>Hoja1!$B$2:$B$4</c:f>
              <c:numCache>
                <c:formatCode>#,##0.00</c:formatCode>
                <c:ptCount val="3"/>
                <c:pt idx="0">
                  <c:v>17.5</c:v>
                </c:pt>
                <c:pt idx="1">
                  <c:v>28</c:v>
                </c:pt>
                <c:pt idx="2">
                  <c:v>36.5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.0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total: acción frente a su índice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Acción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1 año</c:v>
                </c:pt>
                <c:pt idx="1">
                  <c:v>3 años (anual.)</c:v>
                </c:pt>
                <c:pt idx="2">
                  <c:v>5 años (anual.)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18.2</c:v>
                </c:pt>
                <c:pt idx="1">
                  <c:v>11.5</c:v>
                </c:pt>
                <c:pt idx="2">
                  <c:v>9.1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 de referencia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1 año</c:v>
                </c:pt>
                <c:pt idx="1">
                  <c:v>3 años (anual.)</c:v>
                </c:pt>
                <c:pt idx="2">
                  <c:v>5 años (anual.)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14</c:v>
                </c:pt>
                <c:pt idx="1">
                  <c:v>12.8</c:v>
                </c:pt>
                <c:pt idx="2">
                  <c:v>8.7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empresa cotizada — plantilla</dc:title>
  <dc:creator>analisis-inversion</dc:creator>
  <cp:lastModifiedBy>Un-named</cp:lastModifiedBy>
  <cp:revision>1</cp:revision>
  <dcterms:created xsi:type="dcterms:W3CDTF">2026-10-06T14:24:19.981Z</dcterms:created>
  <dcterms:modified xsi:type="dcterms:W3CDTF">2026-10-06T14:24:19.983Z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