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Ejemplo Renta Variable Global UCITS ETF (Acc)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IE0000000000 · EJGL · Gestora Ejemplo · Renta variable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 (patrimonio y flujos)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0,20 %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9.400 M EUR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12,1 %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13,2 %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1.312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24,1 %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Ejemplo Renta Variable Global UCITS ETF (Acc)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IE0000000000 / EJGL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Gestora Ejemplo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Irlanda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14 may 2012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USD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Acumulación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Física (optimizada)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Renta variable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RV global gran capitalización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Xetra (EUR), Euronext Ámsterdam (EUR), LSE (USD)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 · </w:t>
      </w:r>
      <w:r>
        <w:rPr>
          <w:b/>
          <w:bCs/>
        </w:rPr>
        <w:t xml:space="preserve">Para quién:</w:t>
      </w:r>
      <w:r>
        <w:t xml:space="preserve"> Núcleo de cartera de renta variable a largo plazo</w:t>
      </w:r>
    </w:p>
    <w:p>
      <w:pPr>
        <w:spacing w:after="100"/>
      </w:pPr>
      <w:r>
        <w:t xml:space="preserve">Réplica barata y fiel del índice global de gran y mediana capitalización: </w:t>
      </w:r>
      <w:r>
        <w:rPr>
          <w:b/>
        </w:rPr>
        <w:t xml:space="preserve">TER del 0,20 %</w:t>
      </w:r>
      <w:r>
        <w:t xml:space="preserve"> y diferencia de seguimiento media de </w:t>
      </w:r>
      <w:r>
        <w:rPr>
          <w:b/>
        </w:rPr>
        <w:t xml:space="preserve">+0,05 puntos</w:t>
      </w:r>
      <w:r>
        <w:t xml:space="preserve"> al año, gracias al préstamo de valores [1][2]. Es el tercer ETF más grande de su índice en Europa, con horquillas por debajo de 0,05 %.</w:t>
      </w:r>
    </w:p>
    <w:p>
      <w:pPr>
        <w:spacing w:after="100"/>
      </w:pPr>
      <w:r>
        <w:t xml:space="preserve">La contrapartida es la concentración: Estados Unidos pesa el 71 % y las diez primeras posiciones, el 24 %.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Coste</w:t>
      </w:r>
      <w:r>
        <w:t xml:space="preserve">: 0,20 % de TER, en la mitad baja de su categoría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Seguimiento</w:t>
      </w:r>
      <w:r>
        <w:t xml:space="preserve">: supera al índice en 4 de los últimos 5 años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Liquidez</w:t>
      </w:r>
      <w:r>
        <w:t xml:space="preserve">: 9.400 M de patrimonio y horquilla media de 0,04 % [3].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Concentración</w:t>
      </w:r>
      <w:r>
        <w:t xml:space="preserve"> en Estados Unidos (71 %) y en tecnología (27 %).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Existen alternativas sobre el mismo índice con TER de 0,12 % [4].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Índice Global Ejemplo (rentabilidad neta)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Proveedor de índices Ejemplo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Capitalización ajustada por free float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Trimestral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1.430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Neta (dividendos reinvertidos tras retención)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Recoge el 85 % de la capitalización ajustada por free float de 23 mercados desarrollados. Las acciones entran por tamaño y liquidez, con bandas para reducir la rotación.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No incluye mercados emergentes ni pequeñas compañías (el 15 % inferior de cada mercado).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Gastos corrientes (TER)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Cargo anual dentro del precio.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de transacción de la cartera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0,01 %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Según el KID.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Ingresos por préstamo de valores (al fondo)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fondo se queda el 80 %; la gestora, el 20 %.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Horquilla media en Xetra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0,04 %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Coste de entrada y salida para el inversor.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 total estimado (1 año)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≈ 0,22 %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TER + transacción + media horquilla − préstamo.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El coste efectivo (diferencia de seguimiento) es mejor que el TER porque el préstamo de valores y la eficiencia fiscal en dividendos compensan parte del gasto.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EUR (30 sep 2026)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(clase única)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1.150 M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38 M EUR (todas las bolsas)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0,04 %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6 participantes autorizados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1" name="Gráfico 1" descr="Patrimonio a cierre de año (EUR, millones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spacing w:after="100"/>
      </w:pPr>
      <w:r>
        <w:t xml:space="preserve">Tamaño holgado: el riesgo de cierre o fusión es muy bajo.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Réplica física optimizada: compra unas 1.300 de las 1.430 acciones del índice y deja fuera las más pequeñas e ilíquidas.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+31,07 %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+0,08 %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+19,62 %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+6,85 %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+6,73 %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+0,12 %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2" name="Gráfico 2" descr="Diferencia de seguimiento anual: ETF menos índice (puntos 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+0,05 %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0,06 %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Presta hasta el 50 % de la cartera (media del 9 % en 12 meses) con garantía del 105 % en deuda pública y acciones de índices principales. El agente es un banco custodio de primer nivel.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1.312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24,1 %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30 sep 2026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Empresa tecnológica A (4,9 %)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B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C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Comercio electrónico D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social 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1,80 %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Buscador F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Semiconductores G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Automóviles H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Banco I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Financiero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Farmacéutica J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1,10 %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Salud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3" name="Gráfico 3" descr="Diez primeras posiciones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spacing w:after="100"/>
      </w:pPr>
      <w:r>
        <w:t xml:space="preserve">Las diez primeras son todas estadounidenses y suman el 24 %, el doble que hace diez años. Una corrección del sector tecnológico pesaría más que en ningún momento de la historia del índice.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Alta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4" name="Gráfico 4" descr="Exposición por sector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5" name="Gráfico 5" descr="Exposición geográfic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6" name="Gráfico 6" descr="Exposición por divis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7" name="Gráfico 7" descr="Exposición por tamaño de compañí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p>
      <w:pPr>
        <w:spacing w:after="100"/>
      </w:pPr>
      <w:r>
        <w:t xml:space="preserve">Para un inversor en euros, el 91 % de la cartera está en otras divisas sin cubrir: el tipo de cambio euro/dólar explica buena parte de la volatilidad en euros.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 (próximos 12 meses)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19,8x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16,1x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 del mismo índice.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Precio / valor contable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3,4x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Rentabilidad por dividendo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1,7 %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2,4 %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Capitalización media ponderada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640.000 M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n.d.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Sesgo a megacompañías.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Cartera cara frente a su propia historia, por el peso de la tecnología estadounidense.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 el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+9,4 %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+9,3 %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+8,1 %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+14,2 %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+14,1 %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+12,6 %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+15,0 %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+13,2 %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5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+12,1 %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+12,0 %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+10,4 %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10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+11,0 %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Rentabilidad por año natural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+25,9 %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-14,6 %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+16,2 %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+21,0 %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+6,9 %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+5,8 %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Rentabilidades en EUR. Bate a la media de su categoría (fondos activos y pasivos) en todos los periodos, sobre todo por coste.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Volatilidad anualizada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13,2 %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euros.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Máxima caída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-33,8 %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Desde 2015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Febrero-marzo de 2020.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Ratio de Sharpe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0,92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 el €STR como activo sin riesgo.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Beta frente a renta variable global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1,00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 el propio mercado.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9" name="Gráfico 9" descr="Caídas en episodios de estrés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p>
      <w:pPr>
        <w:spacing w:after="100"/>
      </w:pPr>
      <w:r>
        <w:t xml:space="preserve">Riesgo de mercado puro: el ETF no añade riesgo propio relevante.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Ejemplo RV Global (este)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IE0000000000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9.400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Uno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IE0000000001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0,12 %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3.100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+0,09 %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Dos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LU0000000002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0,15 %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2.200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Sintética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+0,21 %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Tres Global Dist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IE0000000003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0,19 %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6.800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Dist.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+0,04 %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10" name="Gráfico 10" descr="Coste anual (TER, %) del ETF analizado y sus alternativa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p>
      <w:pPr>
        <w:spacing w:after="100"/>
      </w:pPr>
      <w:r>
        <w:t xml:space="preserve">Hay alternativas más baratas en TER, pero su diferencia de seguimiento no es mejor. La sintética gana algo de rentabilidad en dividendos estadounidenses, pero añade riesgo de contraparte.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No: los ETF no se pueden traspasar sin tributar en España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15 % sobre dividendos de EE. UU. dentro del fondo (tratado Irlanda-EE. UU.)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Al ser de acumulación, no hay retención española sobre dividendos: solo se tributa por la ganancia al vender (19-28 %). Para quien quiera diferir impuestos y mover dinero entre fondos, un fondo indexado traspasable sobre el mismo índice puede ser mejor vehículo.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t xml:space="preserve">Núcleo de renta variable: una sola posición cubre el mercado desarrollado mundial.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Solapa casi por completo con cualquier ETF del S&amp;P 500 (el 71 % de la cartera es la misma). No combinar los dos salvo para sobreponderar Estados Unidos a propósito.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Concentración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 71 % y diez valores el 24 %.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Divisa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 cobertura: un euro fuerte resta rentabilidad.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Valoración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PER muy por encima de su media histórica.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Documento de datos fundamentales (KID)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feb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https://example.com/kid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anual auditado 2025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abr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https://example.com/informe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Ficha mensual septiembre 2026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sep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https://example.com/ficha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 de ETF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oct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https://example.com/comparador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6 oct 2026.</w:t>
      </w:r>
    </w:p>
    <w:p>
      <w:pPr>
        <w:pStyle w:val="Nota"/>
        <w:spacing w:after="100"/>
      </w:pPr>
      <w:r>
        <w:t xml:space="preserve">EJEMPLO FICTICIO para probar la plantilla: el fondo, la gestora y todas las cifras son inventados.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Ejemplo Renta Variable Global UCITS ETF (Acc) (IE0000000000)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Confianza">
    <w:name w:val="Confianza"/>
    <w:basedOn w:val="Normal"/>
    <w:next w:val="Normal"/>
    <w:pPr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Patrimonio a cierre de año (EUR, millones)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Patrimonio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#,##0</c:formatCode>
                <c:ptCount val="5"/>
                <c:pt idx="0">
                  <c:v>5200</c:v>
                </c:pt>
                <c:pt idx="1">
                  <c:v>5050</c:v>
                </c:pt>
                <c:pt idx="2">
                  <c:v>6400</c:v>
                </c:pt>
                <c:pt idx="3">
                  <c:v>8100</c:v>
                </c:pt>
                <c:pt idx="4">
                  <c:v>8800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Diferencia de seguimiento anual: ETF menos índice (puntos 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Diferencia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0.00"%"</c:formatCode>
                <c:ptCount val="5"/>
                <c:pt idx="0">
                  <c:v>0.03</c:v>
                </c:pt>
                <c:pt idx="1">
                  <c:v>0.08</c:v>
                </c:pt>
                <c:pt idx="2">
                  <c:v>0.02</c:v>
                </c:pt>
                <c:pt idx="3">
                  <c:v>0</c:v>
                </c:pt>
                <c:pt idx="4">
                  <c:v>0.12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Diez primeras posiciones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Hoja1!$A$2:$A$11</c:f>
              <c:strCache>
                <c:ptCount val="10"/>
                <c:pt idx="0">
                  <c:v>Empresa tecnológica A</c:v>
                </c:pt>
                <c:pt idx="1">
                  <c:v>Empresa tecnológica B</c:v>
                </c:pt>
                <c:pt idx="2">
                  <c:v>Empresa tecnológica C</c:v>
                </c:pt>
                <c:pt idx="3">
                  <c:v>Comercio electrónico D</c:v>
                </c:pt>
                <c:pt idx="4">
                  <c:v>Plataforma social E</c:v>
                </c:pt>
                <c:pt idx="5">
                  <c:v>Buscador F</c:v>
                </c:pt>
                <c:pt idx="6">
                  <c:v>Semiconductores G</c:v>
                </c:pt>
                <c:pt idx="7">
                  <c:v>Automóviles H</c:v>
                </c:pt>
                <c:pt idx="8">
                  <c:v>Banco I</c:v>
                </c:pt>
                <c:pt idx="9">
                  <c:v>Farmacéutica J</c:v>
                </c:pt>
              </c:strCache>
            </c:strRef>
          </c:cat>
          <c:val>
            <c:numRef>
              <c:f>Hoja1!$B$2:$B$11</c:f>
              <c:numCache>
                <c:formatCode>0.0"%"</c:formatCode>
                <c:ptCount val="10"/>
                <c:pt idx="0">
                  <c:v>4.9</c:v>
                </c:pt>
                <c:pt idx="1">
                  <c:v>4.4</c:v>
                </c:pt>
                <c:pt idx="2">
                  <c:v>3.9</c:v>
                </c:pt>
                <c:pt idx="3">
                  <c:v>2.6</c:v>
                </c:pt>
                <c:pt idx="4">
                  <c:v>1.8</c:v>
                </c:pt>
                <c:pt idx="5">
                  <c:v>1.6</c:v>
                </c:pt>
                <c:pt idx="6">
                  <c:v>1.4</c:v>
                </c:pt>
                <c:pt idx="7">
                  <c:v>1.2</c:v>
                </c:pt>
                <c:pt idx="8">
                  <c:v>1.2</c:v>
                </c:pt>
                <c:pt idx="9">
                  <c:v>1.1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sector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Hoja1!$A$2:$A$10</c:f>
              <c:strCache>
                <c:ptCount val="9"/>
                <c:pt idx="0">
                  <c:v>Tecnología</c:v>
                </c:pt>
                <c:pt idx="1">
                  <c:v>Financiero</c:v>
                </c:pt>
                <c:pt idx="2">
                  <c:v>Salud</c:v>
                </c:pt>
                <c:pt idx="3">
                  <c:v>Industria</c:v>
                </c:pt>
                <c:pt idx="4">
                  <c:v>Consumo discrecional</c:v>
                </c:pt>
                <c:pt idx="5">
                  <c:v>Comunicaciones</c:v>
                </c:pt>
                <c:pt idx="6">
                  <c:v>Consumo básico</c:v>
                </c:pt>
                <c:pt idx="7">
                  <c:v>Energía</c:v>
                </c:pt>
                <c:pt idx="8">
                  <c:v>Otros</c:v>
                </c:pt>
              </c:strCache>
            </c:strRef>
          </c:cat>
          <c:val>
            <c:numRef>
              <c:f>Hoja1!$B$2:$B$10</c:f>
              <c:numCache>
                <c:formatCode>0.0"%"</c:formatCode>
                <c:ptCount val="9"/>
                <c:pt idx="0">
                  <c:v>27.1</c:v>
                </c:pt>
                <c:pt idx="1">
                  <c:v>16</c:v>
                </c:pt>
                <c:pt idx="2">
                  <c:v>10.2</c:v>
                </c:pt>
                <c:pt idx="3">
                  <c:v>10.1</c:v>
                </c:pt>
                <c:pt idx="4">
                  <c:v>10</c:v>
                </c:pt>
                <c:pt idx="5">
                  <c:v>8.3</c:v>
                </c:pt>
                <c:pt idx="6">
                  <c:v>5.7</c:v>
                </c:pt>
                <c:pt idx="7">
                  <c:v>3.6</c:v>
                </c:pt>
                <c:pt idx="8">
                  <c:v>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geográfica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Estados Unidos</c:v>
                </c:pt>
                <c:pt idx="1">
                  <c:v>Japón</c:v>
                </c:pt>
                <c:pt idx="2">
                  <c:v>Reino Unido</c:v>
                </c:pt>
                <c:pt idx="3">
                  <c:v>Canadá</c:v>
                </c:pt>
                <c:pt idx="4">
                  <c:v>Francia</c:v>
                </c:pt>
                <c:pt idx="5">
                  <c:v>Suiza</c:v>
                </c:pt>
                <c:pt idx="6">
                  <c:v>Alemania</c:v>
                </c:pt>
                <c:pt idx="7">
                  <c:v>Otros</c:v>
                </c:pt>
              </c:strCache>
            </c:strRef>
          </c:cat>
          <c:val>
            <c:numRef>
              <c:f>Hoja1!$B$2:$B$9</c:f>
              <c:numCache>
                <c:formatCode>0.0"%"</c:formatCode>
                <c:ptCount val="8"/>
                <c:pt idx="0">
                  <c:v>71.2</c:v>
                </c:pt>
                <c:pt idx="1">
                  <c:v>5.4</c:v>
                </c:pt>
                <c:pt idx="2">
                  <c:v>3.4</c:v>
                </c:pt>
                <c:pt idx="3">
                  <c:v>3</c:v>
                </c:pt>
                <c:pt idx="4">
                  <c:v>2.6</c:v>
                </c:pt>
                <c:pt idx="5">
                  <c:v>2.4</c:v>
                </c:pt>
                <c:pt idx="6">
                  <c:v>2.3</c:v>
                </c:pt>
                <c:pt idx="7">
                  <c:v>9.7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divisa (% de la cartera)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Pt>
            <c:idx val="4"/>
            <c:bubble3D val="0"/>
            <c:spPr>
              <a:solidFill>
                <a:srgbClr val="E87BA4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Hoja1!$A$2:$A$6</c:f>
              <c:strCache>
                <c:ptCount val="5"/>
                <c:pt idx="0">
                  <c:v>USD</c:v>
                </c:pt>
                <c:pt idx="1">
                  <c:v>EUR</c:v>
                </c:pt>
                <c:pt idx="2">
                  <c:v>JPY</c:v>
                </c:pt>
                <c:pt idx="3">
                  <c:v>GBP</c:v>
                </c:pt>
                <c:pt idx="4">
                  <c:v>Otras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72</c:v>
                </c:pt>
                <c:pt idx="1">
                  <c:v>8.9</c:v>
                </c:pt>
                <c:pt idx="2">
                  <c:v>5.4</c:v>
                </c:pt>
                <c:pt idx="3">
                  <c:v>3.4</c:v>
                </c:pt>
                <c:pt idx="4">
                  <c:v>10.3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tamaño de compañía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Mega (&gt; 200.000 M)</c:v>
                </c:pt>
                <c:pt idx="1">
                  <c:v>Grande (10.000-200.000 M)</c:v>
                </c:pt>
                <c:pt idx="2">
                  <c:v>Mediana (&lt; 10.000 M)</c:v>
                </c:pt>
              </c:strCache>
            </c:strRef>
          </c:cat>
          <c:val>
            <c:numRef>
              <c:f>Hoja1!$B$2:$B$4</c:f>
              <c:numCache>
                <c:formatCode>0.0"%"</c:formatCode>
                <c:ptCount val="3"/>
                <c:pt idx="0">
                  <c:v>46</c:v>
                </c:pt>
                <c:pt idx="1">
                  <c:v>47.5</c:v>
                </c:pt>
                <c:pt idx="2">
                  <c:v>6.5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Rentabilidad por año natural (%)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31.1</c:v>
                </c:pt>
                <c:pt idx="1">
                  <c:v>-12.7</c:v>
                </c:pt>
                <c:pt idx="2">
                  <c:v>19.6</c:v>
                </c:pt>
                <c:pt idx="3">
                  <c:v>26.6</c:v>
                </c:pt>
                <c:pt idx="4">
                  <c:v>6.9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Índice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Hoja1!$C$2:$C$6</c:f>
              <c:numCache>
                <c:formatCode>0"%"</c:formatCode>
                <c:ptCount val="5"/>
                <c:pt idx="0">
                  <c:v>31.1</c:v>
                </c:pt>
                <c:pt idx="1">
                  <c:v>-12.8</c:v>
                </c:pt>
                <c:pt idx="2">
                  <c:v>19.6</c:v>
                </c:pt>
                <c:pt idx="3">
                  <c:v>26.6</c:v>
                </c:pt>
                <c:pt idx="4">
                  <c:v>6.7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Media de la categoría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Hoja1!$D$2:$D$6</c:f>
              <c:numCache>
                <c:formatCode>0"%"</c:formatCode>
                <c:ptCount val="5"/>
                <c:pt idx="0">
                  <c:v>25.9</c:v>
                </c:pt>
                <c:pt idx="1">
                  <c:v>-14.6</c:v>
                </c:pt>
                <c:pt idx="2">
                  <c:v>16.2</c:v>
                </c:pt>
                <c:pt idx="3">
                  <c:v>21</c:v>
                </c:pt>
                <c:pt idx="4">
                  <c:v>5.8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Caídas en episodios de estrés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Hoja1!$B$2:$B$4</c:f>
              <c:numCache>
                <c:formatCode>0"%"</c:formatCode>
                <c:ptCount val="3"/>
                <c:pt idx="0">
                  <c:v>-33.8</c:v>
                </c:pt>
                <c:pt idx="1">
                  <c:v>-16.5</c:v>
                </c:pt>
                <c:pt idx="2">
                  <c:v>-17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Referencia amplia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Hoja1!$C$2:$C$4</c:f>
              <c:numCache>
                <c:formatCode>0"%"</c:formatCode>
                <c:ptCount val="3"/>
                <c:pt idx="0">
                  <c:v>-33.9</c:v>
                </c:pt>
                <c:pt idx="1">
                  <c:v>-16.6</c:v>
                </c:pt>
                <c:pt idx="2">
                  <c:v>-17.1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Coste anual (TER, %) del ETF analizado y sus alternativas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TER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Pt>
            <c:idx val="1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2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3"/>
            <c:invertIfNegative val="0"/>
            <c:bubble3D val="0"/>
            <c:spPr>
              <a:solidFill>
                <a:srgbClr val="C9C8C2"/>
              </a:solidFill>
            </c:spPr>
          </c:dPt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Ejemplo RV Global (este)</c:v>
                </c:pt>
                <c:pt idx="1">
                  <c:v>Alternativa Uno Global</c:v>
                </c:pt>
                <c:pt idx="2">
                  <c:v>Alternativa Dos Global</c:v>
                </c:pt>
                <c:pt idx="3">
                  <c:v>Alternativa Tres Global Dist</c:v>
                </c:pt>
              </c:strCache>
            </c:strRef>
          </c:cat>
          <c:val>
            <c:numRef>
              <c:f>Hoja1!$B$2:$B$5</c:f>
              <c:numCache>
                <c:formatCode>0.00"%"</c:formatCode>
                <c:ptCount val="4"/>
                <c:pt idx="0">
                  <c:v>0.2</c:v>
                </c:pt>
                <c:pt idx="1">
                  <c:v>0.12</c:v>
                </c:pt>
                <c:pt idx="2">
                  <c:v>0.15</c:v>
                </c:pt>
                <c:pt idx="3">
                  <c:v>0.19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2026-10-06T14:24:20.086Z</dcterms:created>
  <dcterms:modified xsi:type="dcterms:W3CDTF">2026-10-06T14:24:20.086Z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