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EMPRESA COTIZADA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{{identificacion.ticker}} · {{identificacion.mercado}} · ISIN {{identificacion.isin}} · {{identificacion.sector}}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Precio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{{identificacion.precio|2}} {{meta.divisa}}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Valor ponderado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{{escenarios.valor_ponderado|2}}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Potencial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{{escenarios.potencial_ponderado_pct|+pct}}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Capitalización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{{identificacion.capitalizacion|0}}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Valor empresa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{{identificacion.valor_empresa|0}}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Deuda neta / EBITDA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{{balance.dn_ebitda|x}}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Rent. dividendo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{{multiplos.dividendo_pct|pct}}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Ticker / ISIN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{{identificacion.ticker}} / {{identificacion.isin}}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{{identificacion.mercado}}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de referencia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{{identificacion.indice_referencia}}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Sector / industria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{{identificacion.sector}} / {{identificacion.industria}}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Sede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{{identificacion.sede}}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Empleados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{{identificacion.empleados|0}}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Web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{{identificacion.web}}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Precio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{{identificacion.precio|2}} ({{identificacion.fecha_precio|fecha}})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Rango 52 semanas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{{identificacion.min_52s|2}} – {{identificacion.max_52s|2}}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Acciones en circulación (M)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{{identificacion.acciones|1}}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Free float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{{identificacion.free_float_pct|pct}}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{{identificacion.volumen_medio_diario}}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Próximos resultados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{{identificacion.proximos_resultados|fecha}}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Horizonte:</w:t>
      </w:r>
      <w:r>
        <w:t xml:space="preserve"> {{resumen.horizonte}}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Qué tiene que pasar para que la tesis funcione</w:t>
      </w:r>
    </w:p>
    <w:p>
      <w:pPr>
        <w:spacing w:after="100"/>
      </w:pPr>
      <w:r>
        <w:t xml:space="preserve">{{texto:resumen.que_vigilar}}</w:t>
      </w:r>
    </w:p>
    <w:p>
      <w:pPr>
        <w:pStyle w:val="Heading1"/>
      </w:pPr>
      <w:r>
        <w:t xml:space="preserve">1. Modelo de negocio</w:t>
      </w:r>
    </w:p>
    <w:p>
      <w:pPr>
        <w:pStyle w:val="Confianza"/>
        <w:spacing w:after="100"/>
      </w:pPr>
      <w:r>
        <w:t xml:space="preserve">Confianza: {{negocio.confianza}}</w:t>
      </w:r>
    </w:p>
    <w:p>
      <w:pPr>
        <w:spacing w:after="100"/>
      </w:pPr>
      <w:r>
        <w:t xml:space="preserve">{{texto:negocio.descripcion}}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1505"/>
        <w:gridCol w:w="1505"/>
        <w:gridCol w:w="1505"/>
        <w:gridCol w:w="1509"/>
      </w:tblGrid>
      <w:tr>
        <w:trPr>
          <w:cantSplit/>
          <w:tblHeader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Ingresos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total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15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{{negocio.segmentos[].nombre}}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{{negocio.segmentos[].ingresos|0}}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{{negocio.segmentos[].peso_pct|pct}}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{{negocio.segmentos[].crecimiento_pct|+pct}}</w:t>
            </w:r>
          </w:p>
        </w:tc>
        <w:tc>
          <w:tcPr>
            <w:tcW w:type="dxa" w:w="15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{{negocio.segmentos[].margen_pct|pct}}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Clientes, recurrencia y poder de precios</w:t>
      </w:r>
    </w:p>
    <w:p>
      <w:pPr>
        <w:spacing w:after="100"/>
      </w:pPr>
      <w:r>
        <w:t xml:space="preserve">{{texto:negocio.clientes}}</w:t>
      </w:r>
    </w:p>
    <w:p>
      <w:pPr>
        <w:pStyle w:val="Heading2"/>
      </w:pPr>
      <w:r>
        <w:t xml:space="preserve">Indicadores operativos clave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1285"/>
        <w:gridCol w:w="1285"/>
        <w:gridCol w:w="4498"/>
      </w:tblGrid>
      <w:tr>
        <w:trPr>
          <w:cantSplit/>
          <w:tblHeader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Variación</w:t>
            </w:r>
          </w:p>
        </w:tc>
        <w:tc>
          <w:tcPr>
            <w:tcW w:type="dxa" w:w="44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{{negocio.kpis[].kpi}}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{{negocio.kpis[].valor}}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{{negocio.kpis[].variacion}}</w:t>
            </w:r>
          </w:p>
        </w:tc>
        <w:tc>
          <w:tcPr>
            <w:tcW w:type="dxa" w:w="44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{{negocio.kpis[].comentario}}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2. Mercado y posición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del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{{competencia.tamano_mercado}}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Crecimiento del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{{competencia.crecimiento_mercado_pct|pct}} anual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la empresa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{{competencia.cuota_pct|pct}}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Foso competitivo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{{competencia.foso}}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{{texto:competencia.mercado}}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220"/>
        <w:gridCol w:w="1098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Competidor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Cómo compite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{{competencia.competidores[].nombre}}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{{competencia.competidores[].pais}}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{{competencia.competidores[].cuota_pct|pct}}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{{competencia.competidores[].comentario}}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Ventajas competitivas</w:t>
      </w:r>
    </w:p>
    <w:p>
      <w:pPr>
        <w:spacing w:after="100"/>
      </w:pPr>
      <w:r>
        <w:t xml:space="preserve">{{texto:competencia.ventajas}}</w:t>
      </w:r>
    </w:p>
    <w:p>
      <w:pPr>
        <w:pStyle w:val="Heading2"/>
      </w:pPr>
      <w:r>
        <w:t xml:space="preserve">Amenazas</w:t>
      </w:r>
    </w:p>
    <w:p>
      <w:pPr>
        <w:spacing w:after="100"/>
      </w:pPr>
      <w:r>
        <w:t xml:space="preserve">{{texto:competencia.amenazas}}</w:t>
      </w:r>
    </w:p>
    <w:p>
      <w:pPr>
        <w:pStyle w:val="Heading1"/>
      </w:pPr>
      <w:r>
        <w:t xml:space="preserve">3. Evolución financiera</w:t>
      </w:r>
    </w:p>
    <w:p>
      <w:pPr>
        <w:pStyle w:val="Confianza"/>
        <w:spacing w:after="100"/>
      </w:pPr>
      <w:r>
        <w:t xml:space="preserve">Confianza: {{financieros.confianza}}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4"/>
        <w:gridCol w:w="1115"/>
        <w:gridCol w:w="913"/>
        <w:gridCol w:w="913"/>
        <w:gridCol w:w="1014"/>
        <w:gridCol w:w="913"/>
        <w:gridCol w:w="1014"/>
        <w:gridCol w:w="1014"/>
        <w:gridCol w:w="913"/>
        <w:gridCol w:w="815"/>
      </w:tblGrid>
      <w:tr>
        <w:trPr>
          <w:cantSplit/>
          <w:tblHeader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Ingresos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bruto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EBITDA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EBIT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B. neto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neto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BPA</w:t>
            </w:r>
          </w:p>
        </w:tc>
      </w:tr>
      <w:tr>
        <w:trPr>
          <w:cantSplit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{{financieros.historico[].periodo}}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{{financieros.historico[].ingresos|0}}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{{financieros.historico[].crecimiento_pct|+pct}}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{{financieros.historico[].margen_bruto_pct|pct}}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{{financieros.historico[].ebitda|0}}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{{financieros.historico[].margen_ebitda_pct|pct}}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{{financieros.historico[].ebit|0}}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{{financieros.historico[].beneficio_neto|0}}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{{financieros.historico[].margen_neto_pct|pct}}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{{financieros.historico[].bpa|2}}</w:t>
            </w:r>
          </w:p>
        </w:tc>
      </w:tr>
    </w:tbl>
    <w:p>
      <w:pPr>
        <w:spacing w:after="160" w:before="0"/>
      </w:pPr>
    </w:p>
    <w:p>
      <w:pPr>
        <w:pStyle w:val="Nota"/>
        <w:spacing w:after="100"/>
      </w:pPr>
      <w:r>
        <w:t xml:space="preserve">Los periodos con «e» son estimaciones (consenso o propias, según se indique en el comentario).</w:t>
      </w:r>
    </w:p>
    <w:p>
      <w:pPr>
        <w:keepNext w:val="false"/>
        <w:spacing w:after="160" w:before="120"/>
        <w:jc w:val="center"/>
      </w:pPr>
      <w:r>
        <w:t xml:space="preserve">{{grafico:ingresos_ebitda}}</w:t>
      </w:r>
    </w:p>
    <w:p>
      <w:pPr>
        <w:keepNext w:val="false"/>
        <w:spacing w:after="160" w:before="120"/>
        <w:jc w:val="center"/>
      </w:pPr>
      <w:r>
        <w:t xml:space="preserve">{{grafico:margenes}}</w:t>
      </w:r>
    </w:p>
    <w:p>
      <w:pPr>
        <w:spacing w:after="100"/>
      </w:pPr>
      <w:r>
        <w:t xml:space="preserve">{{texto:financieros.comentario}}</w:t>
      </w:r>
    </w:p>
    <w:p>
      <w:pPr>
        <w:pStyle w:val="Heading1"/>
      </w:pPr>
      <w:r>
        <w:t xml:space="preserve">4. Generación de caja y calidad del beneficio</w:t>
      </w:r>
    </w:p>
    <w:p>
      <w:pPr>
        <w:pStyle w:val="Confianza"/>
        <w:spacing w:after="100"/>
      </w:pPr>
      <w:r>
        <w:t xml:space="preserve">Confianza: {{caja.confianza}}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1521"/>
        <w:gridCol w:w="1268"/>
        <w:gridCol w:w="1268"/>
        <w:gridCol w:w="1521"/>
        <w:gridCol w:w="1394"/>
        <w:gridCol w:w="1398"/>
      </w:tblGrid>
      <w:tr>
        <w:trPr>
          <w:cantSplit/>
          <w:tblHeader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Flujo operativo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Capex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FCF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Beneficio neto</w:t>
            </w:r>
          </w:p>
        </w:tc>
        <w:tc>
          <w:tcPr>
            <w:tcW w:type="dxa" w:w="13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FCF / B. neto</w:t>
            </w:r>
          </w:p>
        </w:tc>
        <w:tc>
          <w:tcPr>
            <w:tcW w:type="dxa" w:w="1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Capex / ventas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{{caja.historico[].periodo}}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{{caja.historico[].flujo_operativo|0}}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{{caja.historico[].capex|0}}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{{caja.historico[].fcf|0}}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{{caja.historico[].beneficio_neto|0}}</w:t>
            </w:r>
          </w:p>
        </w:tc>
        <w:tc>
          <w:tcPr>
            <w:tcW w:type="dxa" w:w="139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{{caja.historico[].conversion_pct|pct0}}</w:t>
            </w:r>
          </w:p>
        </w:tc>
        <w:tc>
          <w:tcPr>
            <w:tcW w:type="dxa" w:w="13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{{caja.historico[].capex_ventas_pct|pct}}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{{grafico:fcf}}</w:t>
      </w:r>
    </w:p>
    <w:p>
      <w:pPr>
        <w:pStyle w:val="Heading2"/>
      </w:pPr>
      <w:r>
        <w:t xml:space="preserve">Calidad del beneficio</w:t>
      </w:r>
    </w:p>
    <w:p>
      <w:pPr>
        <w:spacing w:after="100"/>
      </w:pPr>
      <w:r>
        <w:t xml:space="preserve">{{texto:caja.calidad}}</w:t>
      </w:r>
    </w:p>
    <w:p>
      <w:pPr>
        <w:pStyle w:val="Heading2"/>
      </w:pPr>
      <w:r>
        <w:t xml:space="preserve">Capital circulante</w:t>
      </w:r>
    </w:p>
    <w:p>
      <w:pPr>
        <w:spacing w:after="100"/>
      </w:pPr>
      <w:r>
        <w:t xml:space="preserve">{{texto:caja.circulante}}</w:t>
      </w:r>
    </w:p>
    <w:p>
      <w:pPr>
        <w:pStyle w:val="Heading1"/>
      </w:pPr>
      <w:r>
        <w:t xml:space="preserve">5. Rentabilidad sobre el capital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WACC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Diferencial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ROE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{{rentabilidad.historico[].periodo}}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{{rentabilidad.historico[].roic_pct|pct}}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{{rentabilidad.historico[].wacc_pct|pct}}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{{rentabilidad.historico[].diferencial_pct|+pct}}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{{rentabilidad.historico[].roe_pct|pct}}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{{grafico:roic}}</w:t>
      </w: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6. Balance y solvencia</w:t>
      </w:r>
    </w:p>
    <w:p>
      <w:pPr>
        <w:pStyle w:val="Confianza"/>
        <w:spacing w:after="100"/>
      </w:pPr>
      <w:r>
        <w:t xml:space="preserve">Confianza: {{balance.confianza}}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Deuda neta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{{balance.deuda_neta|0}}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Deuda neta / EBITDA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{{balance.dn_ebitda|x}}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intereses (EBIT / gastos fin.)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{{balance.cobertura_intereses|x}}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Liquidez disponible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{{balance.liquidez|0}}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Rating crediticio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{{balance.rating}}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Coste medio de la deuda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{{balance.coste_deuda_pct|pct}}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{{grafico:apalancamiento}}</w:t>
      </w:r>
    </w:p>
    <w:p>
      <w:pPr>
        <w:keepNext w:val="false"/>
        <w:spacing w:after="160" w:before="120"/>
        <w:jc w:val="center"/>
      </w:pPr>
      <w:r>
        <w:t xml:space="preserve">{{grafico:vencimientos}}</w:t>
      </w:r>
    </w:p>
    <w:p>
      <w:pPr>
        <w:pStyle w:val="Heading2"/>
      </w:pPr>
      <w:r>
        <w:t xml:space="preserve">Otros pasivos y contingencias</w:t>
      </w:r>
    </w:p>
    <w:p>
      <w:pPr>
        <w:spacing w:after="100"/>
      </w:pPr>
      <w:r>
        <w:t xml:space="preserve">{{texto:balance.otros_pasivos}}</w:t>
      </w:r>
    </w:p>
    <w:p>
      <w:pPr>
        <w:spacing w:after="100"/>
      </w:pPr>
      <w:r>
        <w:t xml:space="preserve">{{texto:balance.comentario}}</w:t>
      </w:r>
    </w:p>
    <w:p>
      <w:pPr>
        <w:pStyle w:val="Heading1"/>
      </w:pPr>
      <w:r>
        <w:t xml:space="preserve">7. Asignación de capital</w:t>
      </w:r>
    </w:p>
    <w:p>
      <w:pPr>
        <w:pStyle w:val="Confianza"/>
        <w:spacing w:after="100"/>
      </w:pPr>
      <w:r>
        <w:t xml:space="preserve">Confianza: {{capital.confianza}}</w:t>
      </w:r>
    </w:p>
    <w:p>
      <w:pPr>
        <w:spacing w:after="100"/>
      </w:pPr>
      <w:r>
        <w:t xml:space="preserve">{{texto:capital.politica}}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766"/>
        <w:gridCol w:w="1445"/>
        <w:gridCol w:w="1609"/>
      </w:tblGrid>
      <w:tr>
        <w:trPr>
          <w:cantSplit/>
          <w:tblHeader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Dividendos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Recompras</w:t>
            </w:r>
          </w:p>
        </w:tc>
        <w:tc>
          <w:tcPr>
            <w:tcW w:type="dxa" w:w="1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Adquisiciones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Payout</w:t>
            </w:r>
          </w:p>
        </w:tc>
        <w:tc>
          <w:tcPr>
            <w:tcW w:type="dxa" w:w="16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Acciones (M)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{{capital.historico[].periodo}}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{{capital.historico[].dividendos|0}}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{{capital.historico[].recompras|0}}</w:t>
            </w:r>
          </w:p>
        </w:tc>
        <w:tc>
          <w:tcPr>
            <w:tcW w:type="dxa" w:w="17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{{capital.historico[].adquisiciones|0}}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{{capital.historico[].payout_pct|pct0}}</w:t>
            </w:r>
          </w:p>
        </w:tc>
        <w:tc>
          <w:tcPr>
            <w:tcW w:type="dxa" w:w="16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{{capital.historico[].acciones|1}}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{{grafico:usos_caja}}</w:t>
      </w:r>
    </w:p>
    <w:p>
      <w:pPr>
        <w:pStyle w:val="Heading2"/>
      </w:pPr>
      <w:r>
        <w:t xml:space="preserve">Historial de adquisiciones</w:t>
      </w:r>
    </w:p>
    <w:p>
      <w:pPr>
        <w:spacing w:after="100"/>
      </w:pPr>
      <w:r>
        <w:t xml:space="preserve">{{texto:capital.historial_ma}}</w:t>
      </w:r>
    </w:p>
    <w:p>
      <w:pPr>
        <w:pStyle w:val="Heading1"/>
      </w:pPr>
      <w:r>
        <w:t xml:space="preserve">8. Equipo directivo y gobierno corporativo</w:t>
      </w:r>
    </w:p>
    <w:p>
      <w:pPr>
        <w:pStyle w:val="Confianza"/>
        <w:spacing w:after="100"/>
      </w:pPr>
      <w:r>
        <w:t xml:space="preserve">Confianza: {{gobierno.confianza}}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2"/>
        <w:gridCol w:w="1752"/>
        <w:gridCol w:w="876"/>
        <w:gridCol w:w="5008"/>
      </w:tblGrid>
      <w:tr>
        <w:trPr>
          <w:cantSplit/>
          <w:tblHeader/>
        </w:trPr>
        <w:tc>
          <w:tcPr>
            <w:tcW w:type="dxa" w:w="20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Nombre</w:t>
            </w:r>
          </w:p>
        </w:tc>
        <w:tc>
          <w:tcPr>
            <w:tcW w:type="dxa" w:w="17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Cargo</w:t>
            </w:r>
          </w:p>
        </w:tc>
        <w:tc>
          <w:tcPr>
            <w:tcW w:type="dxa" w:w="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Desde</w:t>
            </w:r>
          </w:p>
        </w:tc>
        <w:tc>
          <w:tcPr>
            <w:tcW w:type="dxa" w:w="5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Trayectoria y resultados</w:t>
            </w:r>
          </w:p>
        </w:tc>
      </w:tr>
      <w:tr>
        <w:trPr>
          <w:cantSplit/>
        </w:trPr>
        <w:tc>
          <w:tcPr>
            <w:tcW w:type="dxa" w:w="200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{{gobierno.directivos[].nombre}}</w:t>
            </w:r>
          </w:p>
        </w:tc>
        <w:tc>
          <w:tcPr>
            <w:tcW w:type="dxa" w:w="17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{{gobierno.directivos[].cargo}}</w:t>
            </w:r>
          </w:p>
        </w:tc>
        <w:tc>
          <w:tcPr>
            <w:tcW w:type="dxa" w:w="8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{{gobierno.directivos[].desde}}</w:t>
            </w:r>
          </w:p>
        </w:tc>
        <w:tc>
          <w:tcPr>
            <w:tcW w:type="dxa" w:w="500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{{gobierno.directivos[].trayectoria}}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Accionariado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606"/>
        <w:gridCol w:w="3213"/>
      </w:tblGrid>
      <w:tr>
        <w:trPr>
          <w:cantSplit/>
          <w:tblHeader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Accionista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capital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{{gobierno.accionistas[].nombre}}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{{gobierno.accionistas[].pct|pct}}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{{gobierno.accionistas[].tipo}}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Alineamiento: compras y ventas de directivos, remuneración</w:t>
      </w:r>
    </w:p>
    <w:p>
      <w:pPr>
        <w:spacing w:after="100"/>
      </w:pPr>
      <w:r>
        <w:t xml:space="preserve">{{texto:gobierno.insiders}}</w:t>
      </w:r>
    </w:p>
    <w:p>
      <w:pPr>
        <w:spacing w:after="100"/>
      </w:pPr>
      <w:r>
        <w:t xml:space="preserve">{{texto:gobierno.remuneracion}}</w:t>
      </w:r>
    </w:p>
    <w:p>
      <w:pPr>
        <w:pStyle w:val="Heading2"/>
      </w:pPr>
      <w:r>
        <w:t xml:space="preserve">Señales de alerta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{{lista:gobierno.alertas}}</w:t>
      </w:r>
    </w:p>
    <w:p>
      <w:pPr>
        <w:pStyle w:val="Heading1"/>
      </w:pPr>
      <w:r>
        <w:t xml:space="preserve">9. Previsiones de la compañía y consenso</w:t>
      </w:r>
    </w:p>
    <w:p>
      <w:pPr>
        <w:pStyle w:val="Confianza"/>
        <w:spacing w:after="100"/>
      </w:pPr>
      <w:r>
        <w:t xml:space="preserve">Confianza: {{consenso.confianza}}</w:t>
      </w:r>
    </w:p>
    <w:p>
      <w:pPr>
        <w:spacing w:after="100"/>
      </w:pPr>
      <w:r>
        <w:t xml:space="preserve">{{texto:consenso.guidance}}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1554"/>
        <w:gridCol w:w="1554"/>
        <w:gridCol w:w="1554"/>
        <w:gridCol w:w="3422"/>
      </w:tblGrid>
      <w:tr>
        <w:trPr>
          <w:cantSplit/>
          <w:tblHeader/>
        </w:trPr>
        <w:tc>
          <w:tcPr>
            <w:tcW w:type="dxa" w:w="15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Ingresos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EBITDA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BPA</w:t>
            </w:r>
          </w:p>
        </w:tc>
        <w:tc>
          <w:tcPr>
            <w:tcW w:type="dxa" w:w="3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{{consenso.estimaciones[].periodo}}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{{consenso.estimaciones[].ingresos|0}}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{{consenso.estimaciones[].ebitda|0}}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{{consenso.estimaciones[].bpa|2}}</w:t>
            </w:r>
          </w:p>
        </w:tc>
        <w:tc>
          <w:tcPr>
            <w:tcW w:type="dxa" w:w="3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{{consenso.estimaciones[].fuente}}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Analistas que la cubren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{{consenso.n_analistas|0}}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Comprar / Mantener / Vender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{{consenso.comprar|0}} / {{consenso.mantener|0}} / {{consenso.vender|0}}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Precio objetivo medio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{{consenso.precio_objetivo_medio|2}}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Rango de precios objetivo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{{consenso.precio_objetivo_min|2}} – {{consenso.precio_objetivo_max|2}}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Revisiones recientes</w:t>
      </w:r>
    </w:p>
    <w:p>
      <w:pPr>
        <w:spacing w:after="100"/>
      </w:pPr>
      <w:r>
        <w:t xml:space="preserve">{{texto:consenso.revisiones}}</w:t>
      </w:r>
    </w:p>
    <w:p>
      <w:pPr>
        <w:pStyle w:val="Heading1"/>
      </w:pPr>
      <w:r>
        <w:t xml:space="preserve">10. Valoración por múltiplos</w:t>
      </w:r>
    </w:p>
    <w:p>
      <w:pPr>
        <w:pStyle w:val="Confianza"/>
        <w:spacing w:after="100"/>
      </w:pPr>
      <w:r>
        <w:t xml:space="preserve">Confianza: {{multiplos.confianza}}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1721"/>
        <w:gridCol w:w="1721"/>
        <w:gridCol w:w="1721"/>
        <w:gridCol w:w="1722"/>
      </w:tblGrid>
      <w:tr>
        <w:trPr>
          <w:cantSplit/>
          <w:tblHeader/>
        </w:trPr>
        <w:tc>
          <w:tcPr>
            <w:tcW w:type="dxa" w:w="27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Actual (LTM)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Próx. 12 m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5 años</w:t>
            </w:r>
          </w:p>
        </w:tc>
        <w:tc>
          <w:tcPr>
            <w:tcW w:type="dxa" w:w="1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Comparables</w:t>
            </w:r>
          </w:p>
        </w:tc>
      </w:tr>
      <w:tr>
        <w:trPr>
          <w:cantSplit/>
        </w:trPr>
        <w:tc>
          <w:tcPr>
            <w:tcW w:type="dxa" w:w="27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{{multiplos.tabla[].metrica}}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{{multiplos.tabla[].actual|x}}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{{multiplos.tabla[].siguiente|x}}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{{multiplos.tabla[].media_5a|x}}</w:t>
            </w:r>
          </w:p>
        </w:tc>
        <w:tc>
          <w:tcPr>
            <w:tcW w:type="dxa" w:w="17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{{multiplos.tabla[].comparables|x}}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Rentabilidad por FCF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{{multiplos.fcf_yield_pct|pct}}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{{multiplos.dividendo_pct|pct}}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{{texto:multiplos.comentario}}</w:t>
      </w:r>
    </w:p>
    <w:p>
      <w:pPr>
        <w:pStyle w:val="Heading1"/>
      </w:pPr>
      <w:r>
        <w:t xml:space="preserve">11. Comparables cotizados</w:t>
      </w:r>
    </w:p>
    <w:p>
      <w:pPr>
        <w:pStyle w:val="Confianza"/>
        <w:spacing w:after="100"/>
      </w:pPr>
      <w:r>
        <w:t xml:space="preserve">Confianza: {{comparables.confianza}}</w:t>
      </w:r>
    </w:p>
    <w:p>
      <w:pPr>
        <w:spacing w:after="100"/>
      </w:pPr>
      <w:r>
        <w:t xml:space="preserve">{{texto:comparables.criterio}}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2"/>
        <w:gridCol w:w="928"/>
        <w:gridCol w:w="1277"/>
        <w:gridCol w:w="1161"/>
        <w:gridCol w:w="928"/>
        <w:gridCol w:w="1045"/>
        <w:gridCol w:w="1045"/>
        <w:gridCol w:w="932"/>
      </w:tblGrid>
      <w:tr>
        <w:trPr>
          <w:cantSplit/>
          <w:tblHeader/>
        </w:trPr>
        <w:tc>
          <w:tcPr>
            <w:tcW w:type="dxa" w:w="23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</w:tr>
      <w:tr>
        <w:trPr>
          <w:cantSplit/>
        </w:trPr>
        <w:tc>
          <w:tcPr>
            <w:tcW w:type="dxa" w:w="23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{{comparables.empresas[].nombre}}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{{comparables.empresas[].pais}}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{{comparables.empresas[].capitalizacion|0}}</w:t>
            </w:r>
          </w:p>
        </w:tc>
        <w:tc>
          <w:tcPr>
            <w:tcW w:type="dxa" w:w="11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{{comparables.empresas[].ev_ebitda|x}}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{{comparables.empresas[].per|x}}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{{comparables.empresas[].crecimiento_pct|+pct}}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{{comparables.empresas[].margen_ebitda_pct|pct}}</w:t>
            </w:r>
          </w:p>
        </w:tc>
        <w:tc>
          <w:tcPr>
            <w:tcW w:type="dxa" w:w="9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{{comparables.empresas[].roic_pct|pct}}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{{grafico:comparables_ev}}</w:t>
      </w:r>
    </w:p>
    <w:p>
      <w:pPr>
        <w:keepNext w:val="false"/>
        <w:spacing w:after="160" w:before="120"/>
        <w:jc w:val="center"/>
      </w:pPr>
      <w:r>
        <w:t xml:space="preserve">{{grafico:comparables_mapa}}</w:t>
      </w:r>
    </w:p>
    <w:p>
      <w:pPr>
        <w:spacing w:after="100"/>
      </w:pPr>
      <w:r>
        <w:t xml:space="preserve">{{texto:comparables.comentario}}</w:t>
      </w:r>
    </w:p>
    <w:p>
      <w:pPr>
        <w:pStyle w:val="Heading1"/>
      </w:pPr>
      <w:r>
        <w:t xml:space="preserve">12. Valoración intrínseca y escenarios</w:t>
      </w:r>
    </w:p>
    <w:p>
      <w:pPr>
        <w:pStyle w:val="Confianza"/>
        <w:spacing w:after="100"/>
      </w:pPr>
      <w:r>
        <w:t xml:space="preserve">Confianza: {{escenarios.confianza}}</w:t>
      </w:r>
    </w:p>
    <w:p>
      <w:pPr>
        <w:spacing w:after="100"/>
      </w:pPr>
      <w:r>
        <w:t xml:space="preserve">{{texto:escenarios.metodo}}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1784"/>
        <w:gridCol w:w="1784"/>
        <w:gridCol w:w="1787"/>
      </w:tblGrid>
      <w:tr>
        <w:trPr>
          <w:cantSplit/>
          <w:tblHeader/>
        </w:trPr>
        <w:tc>
          <w:tcPr>
            <w:tcW w:type="dxa" w:w="4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Supuesto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Bajista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Base</w:t>
            </w:r>
          </w:p>
        </w:tc>
        <w:tc>
          <w:tcPr>
            <w:tcW w:type="dxa" w:w="17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Alcista</w:t>
            </w:r>
          </w:p>
        </w:tc>
      </w:tr>
      <w:tr>
        <w:trPr>
          <w:cantSplit/>
        </w:trPr>
        <w:tc>
          <w:tcPr>
            <w:tcW w:type="dxa" w:w="42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{{escenarios.supuestos[].supuesto}}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{{escenarios.supuestos[].bajista}}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{{escenarios.supuestos[].base}}</w:t>
            </w:r>
          </w:p>
        </w:tc>
        <w:tc>
          <w:tcPr>
            <w:tcW w:type="dxa" w:w="178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{{escenarios.supuestos[].alcista}}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1268"/>
        <w:gridCol w:w="1141"/>
        <w:gridCol w:w="887"/>
        <w:gridCol w:w="5074"/>
      </w:tblGrid>
      <w:tr>
        <w:trPr>
          <w:cantSplit/>
          <w:tblHeader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Valor/acción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Potencial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tiene que ocurrir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{{escenarios.casos[].escenario}}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{{escenarios.casos[].valor|2}}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{{escenarios.casos[].potencial_pct|+pct}}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{{escenarios.casos[].probabilidad_pct|pct0}}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{{escenarios.casos[].narrativa}}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rPr>
          <w:b/>
          <w:bCs/>
        </w:rPr>
        <w:t xml:space="preserve">Precio actual:</w:t>
      </w:r>
      <w:r>
        <w:t xml:space="preserve"> {{escenarios.precio_actual|2}} {{meta.divisa}} · </w:t>
      </w:r>
      <w:r>
        <w:rPr>
          <w:b/>
          <w:bCs/>
        </w:rPr>
        <w:t xml:space="preserve">Valor ponderado por probabilidad:</w:t>
      </w:r>
      <w:r>
        <w:t xml:space="preserve"> {{escenarios.valor_ponderado|2}} {{meta.divisa}} ({{escenarios.potencial_ponderado_pct|+pct}})</w:t>
      </w:r>
    </w:p>
    <w:p>
      <w:pPr>
        <w:keepNext w:val="false"/>
        <w:spacing w:after="160" w:before="120"/>
        <w:jc w:val="center"/>
      </w:pPr>
      <w:r>
        <w:t xml:space="preserve">{{grafico:escenarios}}</w:t>
      </w:r>
    </w:p>
    <w:p>
      <w:pPr>
        <w:pStyle w:val="Heading2"/>
      </w:pPr>
      <w:r>
        <w:t xml:space="preserve">Sensibilidad</w:t>
      </w:r>
    </w:p>
    <w:p>
      <w:pPr>
        <w:spacing w:after="100"/>
      </w:pPr>
      <w:r>
        <w:t xml:space="preserve">{{texto:escenarios.sensibilidad}}</w:t>
      </w:r>
    </w:p>
    <w:p>
      <w:pPr>
        <w:pStyle w:val="Heading1"/>
      </w:pPr>
      <w:r>
        <w:t xml:space="preserve">13. Comportamiento en bolsa</w:t>
      </w:r>
    </w:p>
    <w:p>
      <w:pPr>
        <w:pStyle w:val="Confianza"/>
        <w:spacing w:after="100"/>
      </w:pPr>
      <w:r>
        <w:t xml:space="preserve">Confianza: {{bolsa.confianza}}</w:t>
      </w:r>
    </w:p>
    <w:p>
      <w:pPr>
        <w:keepNext w:val="false"/>
        <w:spacing w:after="160" w:before="120"/>
        <w:jc w:val="center"/>
      </w:pPr>
      <w:r>
        <w:t xml:space="preserve">{{grafico:bolsa}}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Beta (5 años, mensual)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{{bolsa.beta|2}}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Volatilidad anualizada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{{bolsa.volatilidad_pct|pct}}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Máxima caída (5 años)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{{bolsa.max_drawdown_pct|pct}}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Posiciones cortas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{{bolsa.posicion_corta_pct|pct}}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{{texto:bolsa.comentario}}</w:t>
      </w:r>
    </w:p>
    <w:p>
      <w:pPr>
        <w:pStyle w:val="Heading1"/>
      </w:pPr>
      <w:r>
        <w:t xml:space="preserve">14. Catalizadores</w:t>
      </w:r>
    </w:p>
    <w:p>
      <w:pPr>
        <w:pStyle w:val="Confianza"/>
        <w:spacing w:after="100"/>
      </w:pPr>
      <w:r>
        <w:t xml:space="preserve">Confianza: {{catalizadores.confianza}}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5"/>
        <w:gridCol w:w="3706"/>
        <w:gridCol w:w="3706"/>
        <w:gridCol w:w="991"/>
      </w:tblGrid>
      <w:tr>
        <w:trPr>
          <w:cantSplit/>
          <w:tblHeader/>
        </w:trPr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Evento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 esperado</w:t>
            </w:r>
          </w:p>
        </w:tc>
        <w:tc>
          <w:tcPr>
            <w:tcW w:type="dxa" w:w="9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</w:tr>
      <w:tr>
        <w:trPr>
          <w:cantSplit/>
        </w:trPr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{{catalizadores.items[].fecha}}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{{catalizadores.items[].evento}}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{{catalizadores.items[].efecto}}</w:t>
            </w:r>
          </w:p>
        </w:tc>
        <w:tc>
          <w:tcPr>
            <w:tcW w:type="dxa" w:w="9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{{catalizadores.items[].probabilidad}}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15. Riesgos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025"/>
        <w:gridCol w:w="717"/>
        <w:gridCol w:w="820"/>
        <w:gridCol w:w="2358"/>
        <w:gridCol w:w="2053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7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23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Mitigante</w:t>
            </w:r>
          </w:p>
        </w:tc>
        <w:tc>
          <w:tcPr>
            <w:tcW w:type="dxa" w:w="20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{{riesgos.items[].tipo}}</w:t>
            </w:r>
          </w:p>
        </w:tc>
        <w:tc>
          <w:tcPr>
            <w:tcW w:type="dxa" w:w="7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23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{{riesgos.items[].mitigante}}</w:t>
            </w:r>
          </w:p>
        </w:tc>
        <w:tc>
          <w:tcPr>
            <w:tcW w:type="dxa" w:w="20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ESG y controversias</w:t>
      </w:r>
    </w:p>
    <w:p>
      <w:pPr>
        <w:pStyle w:val="Confianza"/>
        <w:spacing w:after="100"/>
      </w:pPr>
      <w:r>
        <w:t xml:space="preserve">Confianza: {{esg.confianza}}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3855"/>
        <w:gridCol w:w="1928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Proveedor</w:t>
            </w:r>
          </w:p>
        </w:tc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Calificación</w:t>
            </w:r>
          </w:p>
        </w:tc>
        <w:tc>
          <w:tcPr>
            <w:tcW w:type="dxa" w:w="1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{{esg.calificaciones[].agencia}}</w:t>
            </w:r>
          </w:p>
        </w:tc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{{esg.calificaciones[].calificacion}}</w:t>
            </w:r>
          </w:p>
        </w:tc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{{esg.calificaciones[].fecha|fecha}}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Asuntos materiales</w:t>
      </w:r>
    </w:p>
    <w:p>
      <w:pPr>
        <w:spacing w:after="100"/>
      </w:pPr>
      <w:r>
        <w:t xml:space="preserve">{{texto:esg.materialidad}}</w:t>
      </w:r>
    </w:p>
    <w:p>
      <w:pPr>
        <w:pStyle w:val="Heading2"/>
      </w:pPr>
      <w:r>
        <w:t xml:space="preserve">Controversias</w:t>
      </w:r>
    </w:p>
    <w:p>
      <w:pPr>
        <w:spacing w:after="100"/>
      </w:pPr>
      <w:r>
        <w:t xml:space="preserve">{{texto:esg.controversias}}</w:t>
      </w: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({{identificacion.ticker}})</w:t>
    </w:r>
    <w:r>
      <w:rPr>
        <w:color w:val="8A8984"/>
        <w:sz w:val="16"/>
        <w:szCs w:val="16"/>
      </w:rPr>
      <w:t xml:space="preserve">	Análisis de empresa cotizada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empresa cotizada — plantilla</dc:title>
  <dc:creator>analisis-inversion</dc:creator>
  <cp:lastModifiedBy>Un-named</cp:lastModifiedBy>
  <cp:revision>1</cp:revision>
  <dcterms:created xsi:type="dcterms:W3CDTF">2026-10-06T14:24:19.981Z</dcterms:created>
  <dcterms:modified xsi:type="dcterms:W3CDTF">2026-10-06T14:24:19.983Z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