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King Slide Works Co., Ltd.</w:t>
      </w:r>
    </w:p>
    <w:p>
      <w:pPr>
        <w:spacing w:after="60"/>
        <w:rPr>
          <w:color w:val="52514E"/>
          <w:sz w:val="22"/>
          <w:szCs w:val="22"/>
        </w:rPr>
      </w:pPr>
      <w:r>
        <w:rPr>
          <w:color w:val="52514E"/>
          <w:sz w:val="22"/>
          <w:szCs w:val="22"/>
        </w:rPr>
        <w:t xml:space="preserve">2059.TW · Bolsa de Taiwán (TWSE) · ISIN TW0002059003 · Tecnología de la información</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20 oct 2026</w:t>
      </w:r>
      <w:r>
        <w:rPr>
          <w:color w:val="52514E"/>
          <w:sz w:val="18"/>
          <w:szCs w:val="18"/>
        </w:rPr>
        <w:t xml:space="preserve"> · Divisa: </w:t>
      </w:r>
      <w:r>
        <w:rPr>
          <w:b/>
          <w:bCs/>
          <w:color w:val="52514E"/>
          <w:sz w:val="18"/>
          <w:szCs w:val="18"/>
        </w:rPr>
        <w:t xml:space="preserve">TWD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Vender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10.100,00 TWD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8.499,86 TWD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-15,3 % (base -5,4 %)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4.753,91 TWD · mercado 5.337,21</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962.530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16,7x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-1,2x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King Slide Works Co., Ltd.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2059.TW / TW0002059003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Bolsa de Taiwán (TWSE)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TAIEX (referencia de bolsa: ETF 0050)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Tecnología de la información / Componentes electrónicos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Luzhu, Kaohsiung (Taiwán) · 1986</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www.kingslide.com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10.100,00 (20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2.875,00 – 15.085,00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95,3</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962.530 M TWD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939.539 M TWD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6.072 M TWD/día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Vender</w:t>
      </w:r>
      <w:r>
        <w:t xml:space="preserve"> · Convicción Media · Objetivo a 12 meses </w:t>
      </w:r>
      <w:r>
        <w:rPr>
          <w:b/>
          <w:bCs/>
        </w:rPr>
        <w:t xml:space="preserve">8.499,86 TWD</w:t>
      </w:r>
      <w:r>
        <w:t xml:space="preserve"> frente a 10.100,00 · Rentabilidad a 12 meses </w:t>
      </w:r>
      <w:r>
        <w:rPr>
          <w:b/>
          <w:bCs/>
        </w:rPr>
        <w:t xml:space="preserve">-15,3 % (base -5,4 %)</w:t>
      </w:r>
      <w:r>
        <w:t xml:space="preserve"> · Valor intrínseco 4.753,91 TWD · con la prima implícita del mercado: 5.337,21 (-47,2 %) · Alcista / bajista -51,4 % / -77,1 %</w:t>
      </w:r>
    </w:p>
    <w:p>
      <w:pPr>
        <w:spacing w:after="100"/>
      </w:pPr>
      <w:r>
        <w:rPr>
          <w:b/>
        </w:rPr>
        <w:t xml:space="preserve">La recomendación y por qué.</w:t>
      </w:r>
      <w:r>
        <w:t xml:space="preserve"> Vender, con convicción media. A 10.100 TWD, el objetivo ponderado a 12 meses es de 8.499,86 (−15,3 % con dividendo) y el del caso base de 9.508,34 (−5,4 %); el valor intrínseco es de 4.753,91 (−52,9 %) y el objetivo medio de los analistas, de 15.132,54, queda fuera de nuestro rango. La asimetría a 12 meses es pobre (alcista +20,8 %, bajista −71,5 %). La razón principal: el precio paga como permanente un beneficio que nace de un pico del ciclo de racks de IA. La convicción es media y no alta, como sugiere el motor, porque la señal depende de que nuestro BPA de 2028e (399,51) esté un 25 % por debajo del consenso (535,9): con el BPA del consenso, el base daría unos 12.750 TWD. Subiría si las ventas mensuales vuelven a caer por debajo de 4.000 M; bajaría si el 4T26 supera los 18.000 M.</w:t>
      </w:r>
    </w:p>
    <w:p>
      <w:pPr>
        <w:spacing w:after="100"/>
      </w:pPr>
      <w:r>
        <w:rPr>
          <w:b/>
        </w:rPr>
        <w:t xml:space="preserve">El negocio.</w:t>
      </w:r>
      <w:r>
        <w:t xml:space="preserve"> Líder mundial en raíles para servidores, con ≈ 80 % de los de IA según estimaciones de mercado [18] y más de 3.600 patentes [10]. El ROIC de 2025 es del 169,0 % frente a un WACC del 10,13 %, y el margen bruto del 2T26 fue del 87,4 % [5]. Pero el foso es estrecho: el diseño se gana generación a generación, deciden pocos clientes y Nan Juen ya está homologado como segundo proveedor en GB300 [17]. La calidad sostiene el crecimiento que proyectamos solo en parte: el motor da «Sí» porque crecemos poco después de 2026, pero el nivel de partida (margen cercano al 80 %, cuota del 80 %) no está asegurado.</w:t>
      </w:r>
    </w:p>
    <w:p>
      <w:pPr>
        <w:spacing w:after="100"/>
      </w:pPr>
      <w:r>
        <w:rPr>
          <w:b/>
        </w:rPr>
        <w:t xml:space="preserve">Sector y ciclo.</w:t>
      </w:r>
      <w:r>
        <w:t xml:space="preserve"> TrendForce espera que la inversión de los grandes proveedores de nube suba un 106 % en 2026 y un 60 % en 2027 [16]: es una expansión tardía y muy fuerte. El precedente propio es 2023 (ventas −26 % tras el exceso de inventario de servidores) [2]. Las ventas de septiembre de 2026 cayeron un 31 % en el cambio a Vera Rubin [8].</w:t>
      </w:r>
    </w:p>
    <w:p>
      <w:pPr>
        <w:spacing w:after="100"/>
      </w:pPr>
      <w:r>
        <w:rPr>
          <w:b/>
        </w:rPr>
        <w:t xml:space="preserve">Finanzas.</w:t>
      </w:r>
      <w:r>
        <w:t xml:space="preserve"> Ventas de 17.501 M en 2025 y 33.618 M en enero-septiembre de 2026 (+167,8 %) [6]; 2026e de 48.618 M. Caja neta de 27.861 M a junio, sin deuda relevante, y un flujo libre del 106 % del beneficio en 2025 [4].</w:t>
      </w:r>
    </w:p>
    <w:p>
      <w:pPr>
        <w:spacing w:after="100"/>
      </w:pPr>
      <w:r>
        <w:rPr>
          <w:b/>
        </w:rPr>
        <w:t xml:space="preserve">Equipo y gobierno.</w:t>
      </w:r>
      <w:r>
        <w:t xml:space="preserve"> Empresa familiar: el fundador preside desde 1986 y su hija y su yerno dirigen; la familia tiene un 26,7 % registrado, no ha vendido y no ha pignorado [24]. Sin guía numérica ni acceso al informe anual.</w:t>
      </w:r>
    </w:p>
    <w:p>
      <w:pPr>
        <w:spacing w:after="100"/>
      </w:pPr>
      <w:r>
        <w:rPr>
          <w:b/>
        </w:rPr>
        <w:t xml:space="preserve">Valoración.</w:t>
      </w:r>
      <w:r>
        <w:t xml:space="preserve"> El DCF da 3.726,19 TWD. El DCF inverso pide un crecimiento del 22,5 % anual en 2027-2035 frente al 4,4 % de nuestro base: que las ventas se multipliquen por seis en nueve años con el margen de hoy. El mercado paga 26,2x nuestro BPA de 2027e; su mediana adelantada de 2021-2025 es 13,5x y los comparables taiwaneses del mismo ciclo, 19,0x [28]. Discrepamos del consenso en el ciclo, no en la calidad.</w:t>
      </w:r>
    </w:p>
    <w:p>
      <w:pPr>
        <w:spacing w:after="100"/>
      </w:pPr>
      <w:r>
        <w:rPr>
          <w:b/>
        </w:rPr>
        <w:t xml:space="preserve">Riesgos y catalizadores.</w:t>
      </w:r>
      <w:r>
        <w:t xml:space="preserve"> El riesgo de IA es de demanda, no de sustitución: la IA impulsa el negocio y lo ata a un solo ciclo de inversión. Los mayores riesgos son el pico de ese ciclo (bajista del DCF, −38 % sobre el base) y la pérdida de cuota o de precio frente al segundo proveedor; la geopolítica de Taiwán es de baja probabilidad y daño máximo. Catalizadores: ventas de octubre (≈ 10-nov) y resultados del 3T26 (11-nov).</w:t>
      </w:r>
    </w:p>
    <w:p>
      <w:pPr>
        <w:spacing w:after="100"/>
      </w:pPr>
      <w:r>
        <w:rPr>
          <w:b/>
        </w:rPr>
        <w:t xml:space="preserve">Qué cambiaría la decisión.</w:t>
      </w:r>
      <w:r>
        <w:t xml:space="preserve"> Compraríamos por debajo de 4.753,91 TWD y vendemos por encima de 9.500,96. Pasaríamos a Mantener si el 4T26 supera los 18.000 M de ventas con margen bruto ≥ 80 % y Vera Rubin confirma la cuota, o si los proveedores de nube confirman un 2028 creciente; reforzaríamos la venta con dos meses de ventas por debajo de 4.000 M o con Nan Juen homologado en Vera Rubin.</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Vender</w:t>
      </w:r>
      <w:r>
        <w:t xml:space="preserve"> · Convicción: Media · Horizonte: 12 meses · Objetivo a 12 meses: </w:t>
      </w:r>
      <w:r>
        <w:rPr>
          <w:b/>
          <w:bCs/>
        </w:rPr>
        <w:t xml:space="preserve">8.499,86 TWD</w:t>
      </w:r>
      <w:r>
        <w:t xml:space="preserve"> (rentabilidad -15,3 % (base -5,4 %)) · Valor intrínseco: 4.753,91 TWD (-52,9 % sobre 10.100,00) · con la prima implícita del mercado: 5.337,21 (-47,2 %)</w:t>
      </w:r>
    </w:p>
    <w:p>
      <w:pPr>
        <w:spacing w:after="100"/>
      </w:pPr>
      <w:r>
        <w:t xml:space="preserve">King Slide fabrica los raíles que sostienen los servidores dentro de los racks y tiene en torno al 80 % de los raíles de los racks de IA [18]. La IA ha transformado sus cuentas: ventas de 6.342 M TWD en 2021 y unos 48.600 M en 2026e, margen EBITDA del 46 % al 80 %, ROIC del 169 % en 2025 y caja neta de 27.861 M [2, 3].</w:t>
      </w:r>
    </w:p>
    <w:p>
      <w:pPr>
        <w:spacing w:after="100"/>
      </w:pPr>
      <w:r>
        <w:t xml:space="preserve">El precio, 10.100 TWD, descuenta que eso es un escalón y no un pico: el DCF inverso pide un 22,5 % de crecimiento anual de las ventas en 2027-2035 desde el nivel de 2026, y la acción cotiza a 26,2x nuestro BPA de 2027e, frente a 12-15x el beneficio del año siguiente que el mercado pagó cada año entre 2020 y 2024 [25]. El consenso (BPA de 501,9 en 2027 y 535,9 en 2028) ha doblado sus cifras en cuatro meses [13, 26].</w:t>
      </w:r>
    </w:p>
    <w:p>
      <w:pPr>
        <w:spacing w:after="100"/>
      </w:pPr>
      <w:r>
        <w:t xml:space="preserve">Creemos que el mercado acierta en la calidad y se equivoca en la duración. Los raíles son una pieza que se rediseña en cada generación, con pocos clientes que deciden, un segundo proveedor ya homologado [17] y un ciclo de inversión que tuvo un bache del −26 % en 2023 [2]. Septiembre de 2026 (−31 % mensual) muestra cómo es un cambio de plataforma [8]. Para invertir hay que creer que la inversión en IA crece hasta 2028 sin bache y que King Slide mantiene cuota y precio en Vera Rubin.</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8.499,86 TWD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 × 248,33 = 2.830,96 · 23,8x × 399,51 = 9.508,34 · 23,8x × 510,58 = 12.151,80</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-15,3 % / -5,4 %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15.132,54 (nuestro base -37,2 %)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4.753,91 TWD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-51,4 % / -77,1 %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 frente a 10,1 % y 8,6 %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8,6 %)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5.337,21 TWD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-0,56x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(21,7 %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dos reglas dan Vender, rentabilidad del -52,4 % (-46,7 % con la prima del mercado) y el precio pide 18,1 puntos más de crecimiento que el caso base)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Alta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4.753,91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4.753,91 y 9.500,96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9.500,96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las ventas del 4T26 superan los 18.000 M TWD con margen bruto ≥ 80 %, revisaríamos el base al alza y pasaríamos probablemente a Mantener.</w:t>
      </w:r>
    </w:p>
    <w:p>
      <w:pPr>
        <w:pStyle w:val="ListParagraph"/>
        <w:numPr>
          <w:ilvl w:val="0"/>
          <w:numId w:val="2"/>
        </w:numPr>
        <w:spacing w:after="60"/>
      </w:pPr>
      <w:r>
        <w:t xml:space="preserve">Si los grandes proveedores de nube guían un 2028 con inversión creciente por encima del 20 %, subiríamos el crecimiento de 2028.</w:t>
      </w:r>
    </w:p>
    <w:p>
      <w:pPr>
        <w:pStyle w:val="ListParagraph"/>
        <w:numPr>
          <w:ilvl w:val="0"/>
          <w:numId w:val="2"/>
        </w:numPr>
        <w:spacing w:after="60"/>
      </w:pPr>
      <w:r>
        <w:t xml:space="preserve">Si el precio baja de 9.500,96 TWD, Mantener; por debajo de 4.753,91, Comprar (con calidad «Sí»).</w:t>
      </w:r>
    </w:p>
    <w:p>
      <w:pPr>
        <w:pStyle w:val="ListParagraph"/>
        <w:numPr>
          <w:ilvl w:val="0"/>
          <w:numId w:val="2"/>
        </w:numPr>
        <w:spacing w:after="60"/>
      </w:pPr>
      <w:r>
        <w:t xml:space="preserve">Si Nan Juen se homologa en Vera Rubin, reforzaríamos la venta.</w:t>
      </w:r>
    </w:p>
    <w:p>
      <w:pPr>
        <w:pStyle w:val="Heading2"/>
      </w:pPr>
      <w:r>
        <w:t xml:space="preserve">Dónde discrepamos del mercado</w:t>
      </w:r>
    </w:p>
    <w:p>
      <w:pPr>
        <w:keepNext/>
        <w:spacing w:after="100"/>
      </w:pPr>
      <w:r>
        <w:rPr>
          <w:b/>
          <w:bCs/>
        </w:rPr>
        <w:t xml:space="preserve">Lo que descuenta el precio.</w:t>
      </w:r>
    </w:p>
    <w:p>
      <w:pPr>
        <w:spacing w:after="100"/>
      </w:pPr>
      <w:r>
        <w:t xml:space="preserve">Un BPA de unos 500 en 2027 y algo más en 2028, con ventas de 75.000-88.000 M y el margen de hoy, y un múltiplo de unas 20x sobre ese beneficio sin descuento por pico de ciclo. Los analistas, todos en comprar, ven la caída de septiembre como una pausa entre plataformas y Vera Rubin como el siguiente escalón.</w:t>
      </w:r>
    </w:p>
    <w:p>
      <w:pPr>
        <w:keepNext/>
        <w:spacing w:after="100"/>
      </w:pPr>
      <w:r>
        <w:rPr>
          <w:b/>
          <w:bCs/>
        </w:rPr>
        <w:t xml:space="preserve">Lo que creemos nosotros.</w:t>
      </w:r>
    </w:p>
    <w:p>
      <w:pPr>
        <w:spacing w:after="100"/>
      </w:pPr>
      <w:r>
        <w:t xml:space="preserve">Un BPA de 386 en 2027 y 400 en 2028: crecimiento del 25 % en 2027, del 8 % en 2028 y un bache en 2029, con el margen bajando del 80 % al 73 % por el segundo proveedor. A ese beneficio, el mercado debería pagar menos múltiplo, no más, porque es beneficio de pico.</w:t>
      </w:r>
    </w:p>
    <w:p>
      <w:pPr>
        <w:keepNext/>
        <w:spacing w:after="100"/>
      </w:pPr>
      <w:r>
        <w:rPr>
          <w:b/>
          <w:bCs/>
        </w:rPr>
        <w:t xml:space="preserve">Por qué podemos tener razón.</w:t>
      </w:r>
    </w:p>
    <w:p>
      <w:pPr>
        <w:spacing w:after="100"/>
      </w:pPr>
      <w:r>
        <w:t xml:space="preserve">Porque la propia empresa solo promete crecer a doble dígito y reconoce que julio-agosto llevaban pedidos urgentes; porque el consenso ha doblado su BPA en cuatro meses siguiendo los datos mensuales; y porque el último ciclo (2023) castigó a la empresa con un −26 % de ventas.</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TWD) · precio actual 10.100,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3.726,19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8.949,95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3.669,43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Líder con margen excepcional</w:t>
      </w:r>
      <w:r>
        <w:t xml:space="preserve">: margen bruto del 87,4 % en el 2T26 y ≈ 80 % de los raíles de IA [5, 18].</w:t>
      </w:r>
    </w:p>
    <w:p>
      <w:pPr>
        <w:pStyle w:val="ListParagraph"/>
        <w:numPr>
          <w:ilvl w:val="0"/>
          <w:numId w:val="2"/>
        </w:numPr>
        <w:spacing w:after="60"/>
      </w:pPr>
      <w:r>
        <w:rPr>
          <w:b/>
        </w:rPr>
        <w:t xml:space="preserve">Balance de caja</w:t>
      </w:r>
      <w:r>
        <w:t xml:space="preserve">: 29.408 M de caja frente a 311 M de deuda bancaria [3].</w:t>
      </w:r>
    </w:p>
    <w:p>
      <w:pPr>
        <w:pStyle w:val="ListParagraph"/>
        <w:numPr>
          <w:ilvl w:val="0"/>
          <w:numId w:val="2"/>
        </w:numPr>
        <w:spacing w:after="60"/>
      </w:pPr>
      <w:r>
        <w:rPr>
          <w:b/>
        </w:rPr>
        <w:t xml:space="preserve">Demanda fuerte en 2027</w:t>
      </w:r>
      <w:r>
        <w:t xml:space="preserve">: inversión de los proveedores de nube +60 % según TrendForce [16].</w:t>
      </w:r>
    </w:p>
    <w:p>
      <w:pPr>
        <w:pStyle w:val="ListParagraph"/>
        <w:numPr>
          <w:ilvl w:val="0"/>
          <w:numId w:val="2"/>
        </w:numPr>
        <w:spacing w:after="60"/>
      </w:pPr>
      <w:r>
        <w:rPr>
          <w:b/>
        </w:rPr>
        <w:t xml:space="preserve">Patentes</w:t>
      </w:r>
      <w:r>
        <w:t xml:space="preserve">: más de 3.600, frente a más de 300 del segundo proveedor [10, 17].</w:t>
      </w:r>
    </w:p>
    <w:p>
      <w:pPr>
        <w:pStyle w:val="ListParagraph"/>
        <w:numPr>
          <w:ilvl w:val="0"/>
          <w:numId w:val="2"/>
        </w:numPr>
        <w:spacing w:after="60"/>
      </w:pPr>
      <w:r>
        <w:rPr>
          <w:b/>
        </w:rPr>
        <w:t xml:space="preserve">Familia alineada</w:t>
      </w:r>
      <w:r>
        <w:t xml:space="preserve">: 26,7 % del capital, sin ventas ni acciones pignoradas [24].</w:t>
      </w:r>
    </w:p>
    <w:p>
      <w:pPr>
        <w:pStyle w:val="Heading2"/>
      </w:pPr>
      <w:r>
        <w:t xml:space="preserve">En contra</w:t>
      </w:r>
    </w:p>
    <w:p>
      <w:pPr>
        <w:pStyle w:val="ListParagraph"/>
        <w:numPr>
          <w:ilvl w:val="0"/>
          <w:numId w:val="2"/>
        </w:numPr>
        <w:spacing w:after="60"/>
      </w:pPr>
      <w:r>
        <w:rPr>
          <w:b/>
        </w:rPr>
        <w:t xml:space="preserve">Precio de pico</w:t>
      </w:r>
      <w:r>
        <w:t xml:space="preserve">: 26,2x nuestro BPA de 2027e, frente a 12-15x adelantado en 2020-2024.</w:t>
      </w:r>
    </w:p>
    <w:p>
      <w:pPr>
        <w:pStyle w:val="ListParagraph"/>
        <w:numPr>
          <w:ilvl w:val="0"/>
          <w:numId w:val="2"/>
        </w:numPr>
        <w:spacing w:after="60"/>
      </w:pPr>
      <w:r>
        <w:rPr>
          <w:b/>
        </w:rPr>
        <w:t xml:space="preserve">DCF inverso exigente</w:t>
      </w:r>
      <w:r>
        <w:t xml:space="preserve">: pide un 22,5 % anual de crecimiento hasta 2035.</w:t>
      </w:r>
    </w:p>
    <w:p>
      <w:pPr>
        <w:pStyle w:val="ListParagraph"/>
        <w:numPr>
          <w:ilvl w:val="0"/>
          <w:numId w:val="2"/>
        </w:numPr>
        <w:spacing w:after="60"/>
      </w:pPr>
      <w:r>
        <w:rPr>
          <w:b/>
        </w:rPr>
        <w:t xml:space="preserve">Segundo proveedor homologado</w:t>
      </w:r>
      <w:r>
        <w:t xml:space="preserve">: Nan Juen en GB300 desde septiembre de 2025 [17].</w:t>
      </w:r>
    </w:p>
    <w:p>
      <w:pPr>
        <w:pStyle w:val="ListParagraph"/>
        <w:numPr>
          <w:ilvl w:val="0"/>
          <w:numId w:val="2"/>
        </w:numPr>
        <w:spacing w:after="60"/>
      </w:pPr>
      <w:r>
        <w:rPr>
          <w:b/>
        </w:rPr>
        <w:t xml:space="preserve">Ciclo visible</w:t>
      </w:r>
      <w:r>
        <w:t xml:space="preserve">: ventas de septiembre −31 % mensual [8].</w:t>
      </w:r>
    </w:p>
    <w:p>
      <w:pPr>
        <w:pStyle w:val="ListParagraph"/>
        <w:numPr>
          <w:ilvl w:val="0"/>
          <w:numId w:val="2"/>
        </w:numPr>
        <w:spacing w:after="60"/>
      </w:pPr>
      <w:r>
        <w:rPr>
          <w:b/>
        </w:rPr>
        <w:t xml:space="preserve">Concentración y Taiwán</w:t>
      </w:r>
      <w:r>
        <w:t xml:space="preserve">: pocos clientes y casi toda la producción en Kaohsiung.</w:t>
      </w:r>
    </w:p>
    <w:p>
      <w:pPr>
        <w:pStyle w:val="Heading2"/>
      </w:pPr>
      <w:r>
        <w:t xml:space="preserve">Qué tiene que pasar para que la tesis funcione</w:t>
      </w:r>
    </w:p>
    <w:p>
      <w:pPr>
        <w:spacing w:after="100"/>
      </w:pPr>
      <w:r>
        <w:t xml:space="preserve">La tesis de venta depende de que 2027-2028 crezcan bastante menos que el consenso. La señal de que no se cumple sería un 4T26 por encima de 18.000 M de ventas con margen bruto ≥ 80 %, y unas ventas mensuales que vuelvan a los 6.000 M con Vera Rubin. La señal de que sí: ventas de octubre-noviembre por debajo de 5.000 M y un margen bruto del 3T26 por debajo del del 2T26 (87,4 %).</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mensuales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4.464 M (septiembre)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4.000 M dos meses o &gt; 6.500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dato del ciclo, cada día 10.</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87,4 %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75 %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precio frente al segundo proveedor.</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 de los proveedores de nube 2027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 (TrendForce)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Motor de la demanda.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servidores de Nan Juen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3.045 M de ventas totales (doce meses)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 interanual</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del segundo proveedor.</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USD/TWD</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30</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Pérdidas de cambio y margen.</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48,6x / 16,7x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57,3x / 21,4x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49,6x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36,70x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169,0 %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-1,4x · -1,2x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 de 13 (4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King Slide Works se constituyó el 22-sep-1986 en Luzhu (Kaohsiung) y la preside desde entonces su fundador, Lin Tsung-chi [15]. Empezó con guías y bisagras ocultas para muebles y pasó a los raíles para equipos electrónicos e industriales; con los años, los kits de raíles para servidores en rack se convirtieron en el negocio principal, vendido a través de la filial King Slide Technology [1]. Cotiza en la Bolsa de Taiwán desde el 25-jun-2008 [1]. La transformación de verdad llegó con los racks de IA: las ventas cayeron un 26 % en 2023 con el ajuste de inventarios de servidores, se recuperaron en 2024 y se multiplicaron con los racks de Nvidia (GB200 y GB300) en 2025-2026, hasta 17.338 M TWD solo en el 3T26 [2, 8]. El 6-ago-2026 la acción superó por primera vez los 10.000 TWD [18].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Constitución en Luzhu (Kaohsiung), con Lin Tsung-chi como responsable [15].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la Bolsa de Taiwán (25 de junio)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−26 % por el ajuste de inventarios de servidores; el margen bruto aguanta en el 61 %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Nan Juen termina la preparación para producir raíles de GB300 y se presenta como segundo proveedor (septiembre)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17.501 M TWD (+72,8 %); los servidores son el 91 % antes de eliminaciones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2T26 con margen bruto del 87,4 %; la acción pasa de 10.000 TWD (6 de agosto) y marca máximo el 18 de agosto [11, 18].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Arranque de la planta de Houston (Texas) en septiembre y anuncio de las fases 3 y 5 en Taiwán, que doblan la capacidad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de septiembre −31 % mensual; tres sesiones con caída máxima del 10 % (7-8 de octubre) [8, 10].</w:t>
            </w:r>
          </w:p>
        </w:tc>
      </w:tr>
    </w:tbl>
    <w:p>
      <w:pPr>
        <w:spacing w:after="160" w:before="0"/>
      </w:pPr>
    </w:p>
    <w:p>
      <w:pPr>
        <w:pStyle w:val="Heading1"/>
      </w:pPr>
      <w:r>
        <w:t xml:space="preserve">2. Modelo de negocio</w:t>
      </w:r>
    </w:p>
    <w:p>
      <w:pPr>
        <w:pStyle w:val="Confianza"/>
        <w:spacing w:after="100"/>
      </w:pPr>
      <w:r>
        <w:t xml:space="preserve">Confianza: Baja</w:t>
      </w:r>
    </w:p>
    <w:p>
      <w:pPr>
        <w:spacing w:after="100"/>
      </w:pPr>
      <w:r>
        <w:t xml:space="preserve">King Slide diseña y fabrica raíles telescópicos y kits de raíles que sostienen servidores, conmutadores, equipos de almacenamiento y bandejas de alimentación dentro de los racks de los centros de datos, y guías y bisagras para muebles de oficina, hogar y cocina [1]. El cliente directo son los ensambladores de servidores taiwaneses y estadounidenses que montan los racks para los grandes proveedores de nube; el cliente que decide el diseño es el proveedor de nube o Nvidia, que validan el raíl con el chasis de cada generación [11, 17]. Más del 90 % de las ventas son de servidores [8]. Fabrica en Luzhu (Kaohsiung) y, desde septiembre de 2026, en Houston (Texas), y prepara dos ampliaciones en Taiwán que doblan la superficie [11].</w:t>
      </w:r>
    </w:p>
    <w:p>
      <w:pPr>
        <w:pStyle w:val="Heading2"/>
      </w:pPr>
      <w:r>
        <w:t xml:space="preserve">Cómo gana dinero</w:t>
      </w:r>
    </w:p>
    <w:p>
      <w:pPr>
        <w:spacing w:after="100"/>
      </w:pPr>
      <w:r>
        <w:t xml:space="preserve">Vende cada kit de raíles por unidad de servidor o de bandeja; no hay ingresos recurrentes por contrato, pero cada plataforma nueva (de Hopper a Blackwell y a Vera Rubin) obliga a rediseñar y revalidar el raíl, y quien lo diseña suele quedarse el volumen de esa generación [11, 17]. El margen depende de la mezcla: los racks de IA llevan bandejas más pesadas y refrigeración líquida, con raíles más caros y de más margen; el margen bruto pasó del 52,9 % de 2021 al 87,4 % del 2T26 [2, 17]. Los gastos fijos son pequeños (7 % de las ventas en 2025), así que cada TWD adicional de ventas deja casi todo en el EBIT. La contrapartida es la dependencia del ciclo de inversión de los centros de datos y del calendario de Nvidia: un cambio de plataforma deja huecos de pedidos, como en septiembre de 2026 [8, 10].</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King Slide Technology (servidores)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+91,5 %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King Slide Works (matriz: muebles y otros)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Otros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Eliminaciones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TW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King Slide Technology (servidores)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King Slide Works (matriz: muebles y otros)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Otros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Eliminaciones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-664</w:t>
            </w:r>
          </w:p>
        </w:tc>
      </w:tr>
    </w:tbl>
    <w:p>
      <w:pPr>
        <w:spacing w:after="160" w:before="0"/>
      </w:pPr>
    </w:p>
    <w:p>
      <w:pPr>
        <w:pStyle w:val="Heading2"/>
      </w:pPr>
      <w:r>
        <w:t xml:space="preserve">Clientes, recurrencia y poder de precios</w:t>
      </w:r>
    </w:p>
    <w:p>
      <w:pPr>
        <w:spacing w:after="100"/>
      </w:pPr>
      <w:r>
        <w:t xml:space="preserve">La empresa no publica el peso de cada cliente en las fuentes accesibles; el informe anual, donde Taiwán obliga a nombrar a los clientes de más del 10 % de las ventas, no se ha podido leer (MOPS bloqueado). La dirección habla de pedidos de «fabricantes de servidores estadounidenses y taiwaneses» y de cercanía a los proveedores de nube norteamericanos [11]. Los grandes ensambladores de racks de IA son pocos (Foxconn, Quanta, Wistron/Wiwynn, Supermicro, Dell), de modo que la concentración es por fuerza alta. El poder de precios se ve en los márgenes: el precio por unidad de los raíles de nueva generación no baja, sube, según la prensa del sector [17], y el margen bruto ha subido 34 puntos en cinco años con costes de acero y aluminio sin bajar.</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mensuales (M TWD)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6.466 (agosto 2026)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4.464 (septiembre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 mensual; +196,2 % interanual</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descenso tras seis meses de máximos. La empresa lo atribuye a que terminaron los pedidos urgentes de julio y agosto; la prensa, a la transición hacia la plataforma Vera Rubin de Nvidia [6, 8, 10].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del trimestre (M TWD)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10.830 (2T26)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17.338 (3T26)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+60,1 % trimestral; +296,9 % interanual</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Enero-septiembre de 2026: 33.618 M TWD, +167,8 % interanual; la empresa lo explica por el inicio de envíos de productos nuevos [1, 6,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trimestral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77,7 % (1T26)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87,4 %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Récord. La dirección espera mantenerlo en el 70-80 % o más, como nivel normal [5,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mensual (M TWD)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4.787 (julio 2026; BPA 50,24)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3.819 (agosto 2026; BPA 40,07)</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Cifras propias publicadas por obligación de la bolsa. Agosto: margen antes de impuestos del 74,6 % y neto del 59,1 %, con pérdidas de cambio [9, 10].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 los servidores en las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 (2025, filial de servidores antes de eliminaciones)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más del 90 % (dirección, agosto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 estable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dirección se describe como «la acción de IA más pura» de la bolsa de Taiwán [8, 12].</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raíles y kits de raíles para servidores y equipos de centros de datos, una pieza pequeña (menos del 1 % del valor de un servidor, estimación propia por las ventas de King Slide frente al gasto en servidores) cuyo volumen sigue a las unidades de servidores y racks. No hay un estudio público que mida ese mercado, así que usamos como serie de demanda los ingresos mundiales del mercado de servidores de TrendForce (639.200 M USD en 2026, más de 1 billón en 2027) [16]. Como referencia de escala: las ventas de King Slide de 2026e (≈ 1.500 M USD) serían en torno al 0,25 % de ese gasto.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Mercado de servidores ≈ 639.200 M USD en 2026 (servidores de IA ≈ 479.000 M) y más de 1.000.000 M en 2027 [16]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4" name="Gráfico 4" descr="Tamaño del mercado (miles de millones de USD (ingresos del mercado mundial de servidores, TrendForce))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 de los grandes proveedores de nube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Inversión conjunta de los nueve mayores de 957.000 M USD en 2026 (+106 %) y más de 1,5 billones en 2027 (+60 %) [16].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Unidades de servidores de 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Envíos +32,2 % en 2026 y casi +36 % en 2027 [16].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Racks más pesados y con refrigeración líquida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raíles de nueva generación suben de precio por unidad [17]; margen bruto de King Slide del 87,4 % en el 2T26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de plataforma de Nvidia (Blackwell a Vera Rubin)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septiembre −31 % mensual en la transición; los bancos esperan que Vera Rubin tire de pedidos desde el 4T26 [8, 10].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Escasez de CPU y memoria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Retrasa pedidos de servidores de uso general (septiembre de 2026) [10]; TrendForce cita escasez y alza de precios de la memoria [16].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Segundo proveedor</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Nan Juen se presenta como segundo proveedor de raíles de GB300 desde septiembre de 2025 [17].</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5" name="Gráfico 5"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líder con ≈ 80 % del segmento de IA según estimaciones de mercado y un segundo proveedor mucho menor (Nan Juen, 3.045 M TWD de ventas en doce meses frente a 25.598 M de King Slide) [18, 19].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Pocos ensambladores y pocos proveedores de nube, que eligen el diseño y buscan un segundo proveedor para cada plataforma [11, 17].</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Acero, aluminio y rodamientos son materias primas con muchos proveedores; el coste de ventas fue el 24 % de las ventas en 2025 [2].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3.000 patentes de King Slide y más de 300 de Nan Juen; uno o dos años desde el diseño a la producción y hace falta que un proveedor de nube asigne el proyecto [17].</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racks preintegrados de Nvidia y los diseños abiertos (OCP) cambian quién decide el raíl, pero el rack sigue necesitándolo; ninguna arquitectura conocida lo elimina [17].</w:t>
            </w:r>
          </w:p>
        </w:tc>
      </w:tr>
    </w:tbl>
    <w:p>
      <w:pPr>
        <w:spacing w:after="160" w:before="0"/>
      </w:pPr>
    </w:p>
    <w:p>
      <w:pPr>
        <w:pStyle w:val="Heading2"/>
      </w:pPr>
      <w:r>
        <w:t xml:space="preserve">Ciclo</w:t>
      </w:r>
    </w:p>
    <w:p>
      <w:pPr>
        <w:spacing w:after="100"/>
      </w:pPr>
      <w:r>
        <w:t xml:space="preserve">TrendForce subió en octubre su previsión de envíos de servidores de IA para 2026 al +32,2 % y espera casi +36 % en 2027, con la inversión de los proveedores de nube duplicándose en 2026 [16]. Es una fase de expansión tardía y muy fuerte: el precedente es 2023, cuando las ventas de King Slide cayeron un 26 % tras el exceso de inventario de servidores de 2022 [2]. En 2020 y 2022 la acción cayó un 16 % y un 24 % (bolsa.json). El primer aviso del ciclo actual es el −31 % de las ventas de septiembre de 2026 [8].</w:t>
      </w:r>
    </w:p>
    <w:p>
      <w:pPr>
        <w:pStyle w:val="Heading2"/>
      </w:pPr>
      <w:r>
        <w:t xml:space="preserve">Regulación</w:t>
      </w:r>
    </w:p>
    <w:p>
      <w:pPr>
        <w:spacing w:after="100"/>
      </w:pPr>
      <w:r>
        <w:t xml:space="preserve">Los raíles no tienen regulación propia. Les afectan los aranceles de Estados Unidos sobre productos taiwaneses (la planta de Houston, en producción desde septiembre de 2026, sirve en parte para evitarlos) y los controles de exportación de chips de IA a China, que limitan el destino de los racks pero no el de los raíles a los clientes estadounidenses [11]. La propiedad intelectual es la regulación que más pesa: la empresa dice haber ganado pleitos de patentes [11].</w:t>
      </w:r>
    </w:p>
    <w:p>
      <w:pPr>
        <w:pStyle w:val="Heading2"/>
      </w:pPr>
      <w:r>
        <w:t xml:space="preserve">Tendencias y disrupción</w:t>
      </w:r>
    </w:p>
    <w:p>
      <w:pPr>
        <w:spacing w:after="100"/>
      </w:pPr>
      <w:r>
        <w:t xml:space="preserve">Tres tendencias favorecen a King Slide: racks cada vez más densos y pesados, refrigeración líquida y ciclos de producto más cortos (cada generación de GPU o de chip propio obliga a rediseñar) [11, 16]. Dos la amenazan: la búsqueda de segundo proveedor por parte de los clientes, que ya ha dado entrada a Nan Juen en GB300 [17], y la estandarización del rack por Nvidia, que puede trasladar el poder de diseño del cliente final al proveedor de la plataforma. La IA en sí no sustituye el producto: lo multiplica.</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en raíles para servidores de IA, con ≈ 80 % según estimaciones de mercado citadas por la prensa (no es una cifra de la empresa) [18]; también fabrica guías para muebles, un negocio pequeño (≈ 2.000 M TWD) sin cuota publicada.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847"/>
        <w:gridCol w:w="953"/>
        <w:gridCol w:w="1059"/>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Nan Juen International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Taiwán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6584.TWO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3.045</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Segundo proveedor de raíles de GB300 desde septiembre de 2025; más de 300 patentes [17]. Margen EBITDA de doce meses del 30,9 % (Yahoo) frente al 75,5 % de King Slide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Accuride International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Estados Unidos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Fabricante privado de guías y raíles para muebles y equipos, sin cuentas públicas. No consta como proveedor relevante en los racks de IA en las fuentes leídas.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Proveedores propios de los ensambladores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Taiwán y 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ensambladores de servidores pueden encargar raíles sencillos para servidores de uso general; en los racks de IA validados la prensa no cita a otros proveedores que King Slide y Nan Juen [17].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6" name="Gráfico 6"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7" name="Gráfico 7"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el raíl no gana valor porque lo usen más clientes.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 o dos años de diseño y validación por plataforma; cambiar de proveedor dentro de una generación es caro, pero cada generación nueva reabre la elección [4].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3.600 patentes, según Morgan Stanley, y pleitos ganados; Nan Juen tiene más de 300 [4, 10].</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EBITDA del 75,5 % en doce meses frente al 30,9 % de Nan Juen, con más escala y automatización [6, 7].</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 pequeño en valor: un segundo proveedor necesita volumen de una plataforma entera para pagar el desarrollo [4].</w:t>
            </w:r>
          </w:p>
        </w:tc>
      </w:tr>
    </w:tbl>
    <w:p>
      <w:pPr>
        <w:spacing w:after="160" w:before="0"/>
      </w:pPr>
    </w:p>
    <w:p>
      <w:pPr>
        <w:pStyle w:val="Heading2"/>
      </w:pPr>
      <w:r>
        <w:t xml:space="preserve">Amenazas</w:t>
      </w:r>
    </w:p>
    <w:p>
      <w:pPr>
        <w:spacing w:after="100"/>
      </w:pPr>
      <w:r>
        <w:t xml:space="preserve">La amenaza principal es el segundo proveedor: los proveedores de nube y Nvidia prefieren dos fuentes, y Nan Juen ya entró en GB300 [17]. Con una cuota del 80 % y un margen bruto del 87 %, cualquier entrada se nota primero en el precio. Probabilidad media de que en Vera Rubin o en la siguiente generación el segundo proveedor gane 10-20 puntos de cuota. La segunda es que el diseño del rack lo fije Nvidia (MGX, racks preintegrados) y negocie el raíl con su propio poder de compra; probabilidad baja-media. La tercera, un competidor chino barato en servidores para China, limitado por los controles de exportación de los chips.</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6.342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10.129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63,44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17.501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12.449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12.089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9.837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100,70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w:t>
            </w:r>
          </w:p>
        </w:tc>
      </w:tr>
    </w:tbl>
    <w:p>
      <w:pPr>
        <w:spacing w:after="160" w:before="0"/>
      </w:pPr>
    </w:p>
    <w:p>
      <w:pPr>
        <w:spacing w:after="100"/>
      </w:pPr>
      <w:r>
        <w:t xml:space="preserve">Crecimiento anual compuesto 2021-2025: ingresos </w:t>
      </w:r>
      <w:r>
        <w:rPr>
          <w:b/>
          <w:bCs/>
        </w:rPr>
        <w:t xml:space="preserve">28,9 %</w:t>
      </w:r>
      <w:r>
        <w:t xml:space="preserve">, EBITDA </w:t>
      </w:r>
      <w:r>
        <w:rPr>
          <w:b/>
          <w:bCs/>
        </w:rPr>
        <w:t xml:space="preserve">43,5 %</w:t>
      </w:r>
      <w:r>
        <w:t xml:space="preserve">, BPA </w:t>
      </w:r>
      <w:r>
        <w:rPr>
          <w:b/>
          <w:bCs/>
        </w:rPr>
        <w:t xml:space="preserve">47,0 %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Ingresos y EBITDA (TW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t xml:space="preserve">Todo el crecimiento es orgánico: King Slide no ha comprado empresas. Las ventas pasaron de 6.342 M TWD en 2021 a 17.501 M en 2025 (+72,8 % en 2025 y +75,8 % en 2024), tras caer un 26,1 % en 2023 con el ajuste de inventarios de servidores [2]. El margen bruto subió del 52,9 % de 2021 al 76,1 % de 2025 y al 87,4 % del 2T26, por el peso de los raíles para racks de IA (más pesados, con refrigeración líquida y más caros por unidad) y por el apalancamiento de una estructura de costes casi fija: los gastos generales y de I+D sumaron el 7,0 % de las ventas en 2025 frente al 9,8 % de 2021 [2, 5]. La diferencia entre el beneficio antes de impuestos y el operativo es el resultado financiero: intereses de una caja de 24.084 M (725 M en 2025) y diferencias de cambio que van y vienen con el dólar (+942 M en 2024, −441 M en 2025, −2.243 M en el 2T25 y +476 M en el 1T26) [2, 5].</w:t>
      </w:r>
    </w:p>
    <w:p>
      <w:pPr>
        <w:pStyle w:val="Heading2"/>
      </w:pPr>
      <w:r>
        <w:t xml:space="preserve">Ajustes y partidas no recurrentes</w:t>
      </w:r>
    </w:p>
    <w:p>
      <w:pPr>
        <w:spacing w:after="100"/>
      </w:pPr>
      <w:r>
        <w:t xml:space="preserve">Cifras publicadas, sin ajustes de la empresa. El único componente volátil son las diferencias de cambio: casi todas las ventas se facturan en dólares y la caja tiene una parte en dólares, de modo que cada movimiento del USD/TWD pasa por el resultado financiero (en el 2T25 la apreciación del dólar taiwanés costó 2.243 M y dejó el beneficio neto del trimestre en 614 M) [5]. No se tratan como no recurrentes en el EBITDA (no lo están: quedan debajo del EBIT), pero sí se quitan del BPA proyectado. El BPA diluido (100,70 en 2025) cuenta como acciones potenciales la remuneración de empleados liquidable en acciones; el básico es 103,23 sobre 95,3 M acciones emitidas [1, 2].</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Inferior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8.986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73,22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0" name="Gráfico 10"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pStyle w:val="Heading2"/>
      </w:pPr>
      <w:r>
        <w:t xml:space="preserve">Lo que dijo la dirección en las últimas presentaciones</w:t>
      </w:r>
    </w:p>
    <w:p>
      <w:pPr>
        <w:spacing w:after="100"/>
      </w:pPr>
      <w:r>
        <w:t xml:space="preserve">En la conferencia en línea del 7-ago-2026, el vicepresidente ejecutivo y portavoz Wang Chun-chiang dijo que el segundo semestre sería mejor que el primero, con pedidos de los fabricantes de servidores estadounidenses y taiwaneses y unas ventas de julio en máximos; que el margen bruto se mantendrá en el 70-80 % o más como nivel normal; y que la planta de Houston (Texas), ya con la producción de prueba hecha, empezaba a fabricar en septiembre para servir de cerca a los proveedores de nube estadounidenses [11]. Anunció dos ampliaciones en Taiwán (fases 3 y 5) que empezarán a construirse a final de año, con 220.000 m² que doblan la capacidad actual, y una inversión total de unos 10.000 M TWD pagada con caja (unos 30.000 M), sin ampliar capital [11]. Frente a la conferencia de mayo, el discurso pasa de «la demanda es sólida» a una agenda de producto para 2027-2029: el ciclo de renovación de los servidores se acorta con cada generación de GPU y de chips propios, y la empresa dice tener ya patentes para esas generaciones [7, 11]. En las fuentes accesibles no consta lo que preguntaron los analistas; la empresa no dio una guía numérica para 2027 ni nombró clientes [11]. El 2T26 superó con holgura las estimaciones previas de un bróker local (ventas de 8.120 M frente a 10.830 M reales) [13]. Frente al BPA que esperaba el consenso de Investing, King Slide batió en los cuatro últimos trimestres (2T26: 74,38 frente a 45,40; 1T26: 36,58 frente a 31,09) y falló en el 2T25 (6,42 frente a 15,42) por las pérdidas de cambio; para el 3T26 se esperan 114,38 [30].</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15.433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12.603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19.236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-11.163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15.638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20.581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16.436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26.472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17.495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-15.554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21.292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35.083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5.086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-22.435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28.026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5,6x</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t xml:space="preserve">El balance es casi todo caja: 24.084 M de 35.083 M de activo a final de 2025 (69 %) y 29.408 M de 47.111 M en junio de 2026 [3]. El circulante comercial (clientes + existencias − proveedores) pasó de 5.086 M (29 % de las ventas) a final de 2025 a 11.261 M en junio, porque los clientes se dispararon hasta 10.478 M con las ventas del 2T26 (10.830 M); son unos 88 días de ventas del trimestre, frente a 85 días a final de 2025, sin señal de que la empresa esté financiando a sus clientes [3, 5]. La deuda bancaria residual (311 M) y los arrendamientos (1.235 M, sobre todo naves) son irrelevantes frente a la caja [3].</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11.334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10.380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9.837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106,25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Flujo de caja libre frente a beneficio neto (TW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Acumulado 2021-2025: FCF </w:t>
      </w:r>
      <w:r>
        <w:rPr>
          <w:b/>
          <w:bCs/>
        </w:rPr>
        <w:t xml:space="preserve">21.851</w:t>
      </w:r>
      <w:r>
        <w:t xml:space="preserve">, conversión </w:t>
      </w:r>
      <w:r>
        <w:rPr>
          <w:b/>
          <w:bCs/>
        </w:rPr>
        <w:t xml:space="preserve">88 %</w:t>
      </w:r>
      <w:r>
        <w:t xml:space="preserve"> del beneficio neto; adquisiciones 0, dividendos 7.947, recompras 0.</w:t>
      </w:r>
    </w:p>
    <w:p>
      <w:pPr>
        <w:spacing w:after="100"/>
      </w:pPr>
      <w:r>
        <w:t xml:space="preserve">La conversión de beneficio en caja es alta: el flujo libre (operativo − capex − arrendamientos) sumó 10.380 M en 2025, el 106 % del beneficio neto, porque el beneficio de 2025 llevaba 441 M de pérdidas de cambio que no son caja y porque el circulante consumió solo 699 M [4]. 2021 es el año anómalo: el circulante absorbió 909 M al acumular existencias en plena escasez de componentes y el flujo libre quedó en 718 M [4]. En los últimos doce meses a junio de 2026 el circulante consumió 5.819 M por el salto de los clientes, y aun así el flujo libre fue de 11.599 M [4]. El capex de 2016-2025 osciló entre el 3 % y el 12 % de las ventas; la empresa no separa el de mantenimiento, que estimamos (estimación propia) en torno a la amortización, 360 M en 2025. Lo que viene es otra escala: unos 10.000 M para doblar la capacidad (fases 3 y 5 en Taiwán) y la planta de Houston [11].</w:t>
      </w:r>
    </w:p>
    <w:p>
      <w:pPr>
        <w:pStyle w:val="Heading1"/>
      </w:pPr>
      <w:r>
        <w:t xml:space="preserve">9. Calidad contable</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85,36</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Sin acceso al informe anual (MOPS bloqueado y web de la empresa con certificado roto), no hemos leído la opinión del auditor ni las notas. Lo que se puede contrastar cuadra: el beneficio antes de impuestos y el BPA de cada trimestre de las cuentas de S&amp;P Global coinciden con los de la ficha oficial de la Bolsa de Taiwán, y las ventas trimestrales con la suma de las ventas mensuales oficiales [1, 2, 5, 6]. El tipo impositivo efectivo es estable (20,1-21,1 % en 2021-2025, con el general de Taiwán en el 20 %) y el flujo operativo supera al beneficio neto salvo en 2021 y en los doce meses a junio de 2026, cuando subieron los clientes [2, 4]. No hay fondo de comercio, ni capitalización de gastos visible (intangibles de 6 M), ni remuneración en acciones relevante en la diferencia entre BPA básico y diluido (2,5 %) [2, 3]. El riesgo contable propio del caso es otro: la volatilidad del beneficio por diferencias de cambio (−2.243 M en un trimestre), que no es manipulación sino exposición al dólar sin coberturas visibles.</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Diferencias de cambio grandes en el beneficio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−2.243 M (2T25) y +827 M (3T25) por trimestre; en 2025, −441 M. No afectan al EBIT, pero sí al BPA publicado y a la historia del PER [5].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Clientes que doblan en seis meses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4.630 M a final de 2025 y 10.478 M en junio de 2026, en línea con las ventas del 2T26 (88 días de ventas del trimestre) [3, 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Informe anual y opinión del auditor no leídos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MOPS y la web de la empresa no se pueden abrir desde aquí; ver huecos.</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94"/>
        <w:gridCol w:w="985"/>
        <w:gridCol w:w="985"/>
        <w:gridCol w:w="985"/>
        <w:gridCol w:w="1095"/>
        <w:gridCol w:w="1095"/>
        <w:gridCol w:w="1095"/>
        <w:gridCol w:w="1204"/>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4.274</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4.374</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4.725</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5.357</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5.664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pStyle w:val="Heading2"/>
      </w:pPr>
      <w:r>
        <w:t xml:space="preserve">Fondo de comercio y compras</w:t>
      </w:r>
    </w:p>
    <w:p>
      <w:pPr>
        <w:spacing w:after="100"/>
      </w:pPr>
      <w:r>
        <w:t xml:space="preserve">Fondo de comercio: 0 M en 2025 (el 0 % del capital invertido medio); ha subido más de un 5 % en 0 de 4 años: sin compras. Sin compras relevantes: el publicado ya es el ROIC del negocio.</w:t>
      </w:r>
    </w:p>
    <w:p>
      <w:pPr>
        <w:spacing w:after="100"/>
      </w:pPr>
      <w:r>
        <w:rPr>
          <w:b/>
          <w:bCs/>
        </w:rPr>
        <w:t xml:space="preserve">ROIC incremental</w:t>
      </w:r>
      <w:r>
        <w:t xml:space="preserve"> (variación del NOPAT sobre variación del capital invertido en el periodo): 532,4 % · </w:t>
      </w:r>
      <w:r>
        <w:rPr>
          <w:b/>
          <w:bCs/>
        </w:rPr>
        <w:t xml:space="preserve">WACC</w:t>
      </w:r>
      <w:r>
        <w:t xml:space="preserve">: 10,1 %.</w:t>
      </w:r>
    </w:p>
    <w:p>
      <w:pPr>
        <w:spacing w:after="100"/>
      </w:pPr>
      <w:r>
        <w:t xml:space="preserve">King Slide crea mucho valor: el ROIC pasó del 50,8 % en 2021 al 169,0 % en 2025, frente a un WACC del 10,13 %, con un capital invertido de solo 5.664 M (inmovilizado y circulante, sin la caja). Lo mueve el margen: el NOPAT pasó de 2.172 M a 9.573 M con un capital que solo creció un 33 %. El ROIC incremental de 2021-2025 es altísimo (más de 500 %), porque las ventas de IA llegaron sin apenas inversión. El ROE (39,9 % en 2025) es mucho menor por la caja acumulada, el 69 % del activo. Frente a los comparables, el margen EBITDA del 75 % triplica el de Nan Juen (30,9 %) y el de Asia Vital (25,4 %) [28]. La pregunta no es si el negocio es bueno, sino cuánto del ROIC de 2025-2026 es estructural: en 2021-2023, con márgenes del 43-50 %, ya era del 48-69 %.</w:t>
      </w:r>
    </w:p>
    <w:p>
      <w:pPr>
        <w:pStyle w:val="Heading1"/>
      </w:pPr>
      <w:r>
        <w:t xml:space="preserve">11. Deuda y solvencia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-27.862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4.871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-22.991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e inversiones a corto de 29.408 M TWD a 30-jun-2026 frente a 311 M de deuda bancaria y 1.235 M de arrendamientos; de esa caja salen 4.860 M de dividendo (51 TWD × 95,3 M acciones) aprobado en la junta del 30-jun y pendiente de pago al cierre del semestre [3, 14].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Covenants, pasivos fuera de la deuda y contingencias</w:t>
      </w:r>
    </w:p>
    <w:p>
      <w:pPr>
        <w:spacing w:after="100"/>
      </w:pPr>
      <w:r>
        <w:t xml:space="preserve">No hay pasivos asimilables a deuda de importe relevante: pensiones de 10,5 M, impuestos diferidos de 186 M y 17,5 M de ingresos diferidos a largo plazo [3]. El pasivo corriente de junio de 2026 (11.698 M) incluye 3.337 M de impuestos por pagar y 5.316 M de «otros», casi todo el dividendo aprobado y no pagado (4.860 M), que el puente resta de la caja [3]. No constan en las fuentes accesibles litigios, garantías, factoring ni covenants; la empresa sí cita pleitos por patentes como demandante [11].</w:t>
      </w:r>
    </w:p>
    <w:p>
      <w:pPr>
        <w:pStyle w:val="Heading1"/>
      </w:pPr>
      <w:r>
        <w:t xml:space="preserve">12. Asignación de capital</w:t>
      </w:r>
    </w:p>
    <w:p>
      <w:pPr>
        <w:pStyle w:val="Confianza"/>
        <w:spacing w:after="100"/>
      </w:pPr>
      <w:r>
        <w:t xml:space="preserve">Confianza: Media</w:t>
      </w:r>
    </w:p>
    <w:p>
      <w:pPr>
        <w:spacing w:after="100"/>
      </w:pPr>
      <w:r>
        <w:t xml:space="preserve">Dividendo en efectivo en torno a la mitad del beneficio: 51 TWD por acción con cargo a 2025 (50,6 % del BPA diluido), 32,2 con cargo a 2024 y 14,19 con cargo a 2023, aprobados en la junta de junio y pagados en verano [1]. El de 2025 suma 4.860,2 M TWD, de un beneficio distribuible de 22.338,6 M, y los estatutos fijan que el efectivo sea al menos el 10 % del dividendo total, con libertad para retener beneficio según las necesidades de inversión [14]. No hay recompras ni ampliaciones de capital: el capital es de 952,97 M TWD (95,3 M acciones de 10 TWD) desde hace años [1, 3]. La prioridad declarada para la caja es la capacidad: unos 10.000 M para las fases 3 y 5 en Taiwán, más 1.000 M para la segunda planta y residencias de empleados, pagados con caja y sin dilución [11].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10.380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3.069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5" name="Gráfico 15" descr="Usos de la caja (TW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spacing w:after="100"/>
      </w:pPr>
      <w:r>
        <w:t xml:space="preserve">King Slide no compra empresas: todo el crecimiento sale de su propia ingeniería y de sus patentes (más de 3.600, según Morgan Stanley) [10]. Con un ROIC operativo altísimo (el capital invertido sin caja ronda 11.000-12.000 M en 2025 frente a un EBIT de 12.089 M) y una caja que ya es el 69 % del activo, la dirección no ha aprovechado para recomprar acciones: reparte la mitad del beneficio y acumula el resto. Es una asignación prudente, adecuada en un negocio cíclico, pero que deja en la caja unos 30.000 M que rinden un 2-3 % [3, 4]. El plan de 10.000 M es el primero de esa escala y el que dirá si la empresa sabe invertir en capacidad sin pasarse de ciclo.</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Lin Tsung-chi (林聰吉)</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y presidente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1986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Fundó la empresa en 1986 en Luzhu (Kaohsiung) y la preside desde entonces [20, 22]. La llevó de las guías para muebles al liderazgo mundial en raíles para servidores; las ventas se han multiplicado por 2,8 entre 2021 y 2025 y el margen operativo ha pasado del 43 % al 69 % [5]. Tiene 8,26 M acciones a título personal (8,67 %) y 5,57 M a través de Hai Hu Investment (5,84 %), más 1,96 M de personas vinculadas (2,06 %), según el registro de la bolsa a septiembre de 2026 [24].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Lin Shu-chen (林淑珍)</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general (總經理) y consejera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general y consejera en representación de Long Sheng Investment (6,23 M acciones, 6,54 %); a título personal tiene 1,76 M (1,84 %) [20, 24]. Según la prensa, es de la segunda generación de la familia fundadora y está casada con el portavoz, Wang Chun-chiang [22]. Ha anunciado el arranque de Houston en el 3T26 y la expansión a Europa como siguiente paso [18].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Wang Chun-chiang (王俊強)</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portavoz y consejero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Portavoz ante la bolsa y la cara de la empresa en las conferencias [11, 21]. Yerno del fundador, según la prensa [22]. Tenía 1,543 M acciones al ser elegido y 1,623 M hoy: ha comprado, no vendido [24]. Sus previsiones cualitativas de 2026 (segundo semestre mejor que el primero, margen bruto del 70-80 % o más) se han cumplido hasta el 3T26 [8, 11].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Hsueh Ya-ling (薛雅玲)</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Responsable de finanzas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Responsable del departamento financiero según el registro de la bolsa (3.011 acciones) [24]. Sin más información pública sobre su carrera en las fuentes accesibles.</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Segundo semestre mejor que el primero (conferencia del 7-ago-2026) [11]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3T26: ventas de 17.338 M TWD, por encima de todo el 1S26 (16.279 M) [8]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normal del 70-80 % o más [11]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2T26: 87,4 %; 1T26: 77,7 % [5]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Producción en Houston desde septiembre de 2026 [11]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confirmación publicada del arranque en las fuentes leídas</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Es una empresa familiar de fundador, con la segunda generación ya en la dirección: la hija del fundador como directora general y su marido como vicepresidente ejecutivo y portavoz [22]. La estabilidad es total (el mismo presidente desde 1986) y el historial reciente de previsiones, bueno, aunque son siempre cualitativas: la empresa no da cifras de ventas ni de margen para el año siguiente [11]. No hay plan de sucesión publicado más allá de la segunda generación ya instalada. El riesgo de equipo es de concentración: tres personas de la misma familia deciden todo, y el mercado no tiene una guía numérica con la que pedirles cuentas.</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 de 13 (4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Lin Tsung-chi (林聰吉), en representación de Hai Hu Investment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1986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Lin Shu-chen (林淑珍), en representación de Long Sheng Investment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y directora general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Wang Chun-chiang (王俊強)</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vicepresidente ejecutivo y portavoz</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Wu Yu-ti (吳雨緹)</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(obligatoria en Taiwán: todos los independientes)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Yang Fu-hsuan (楊馥瑄)</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 Wen-chang (李文璋)</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Tsai Wen-chih (蔡文治)</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57 %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sin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Lin Tsung-chi (personal)</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 fundadora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8,26 M acciones; registrado como gran accionista (≥ 10 % con vinculados) [24]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Long Sheng Investment (隆盛投資)</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 fundadora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6,23 M acciones, igual que al ser elegida consejera [24]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Hai Hu Investment (海湖投資)</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 fundadora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5,569 M acciones; 2.000 menos que al ser elegida [24]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Personas vinculadas al fundador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 fundadora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1,96 M acciones [24]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Lin Shu-chen (personal)</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 fundadora (directora general)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1,76 M acciones [24]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Wang Chun-chiang</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 fundadora (consejero)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1,543 M a 1,623 M acciones desde su elección: compras [24]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Inversores extranjeros (conjunto)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Bajan del 24,47 % (3-jul-2026) al 22,83 % (16-oct-2026) [21]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7" name="Gráfico 17"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No hemos podido leer el informe anual ni el de remuneraciones (MOPS bloqueado). En Taiwán la ley obliga a fijar en los estatutos un porcentaje del beneficio para la remuneración de empleados y consejeros, que se paga en efectivo o en acciones; el BPA diluido de King Slide (100,70 en 2025 frente a 103,23 básico) sugiere que una parte de la de empleados puede liquidarse en acciones [5]. No hay evidencia de un variable a largo plazo ligado al ROIC o a la rentabilidad del accionista, habitual en las empresas familiares taiwanesas.</w:t>
      </w:r>
    </w:p>
    <w:p>
      <w:pPr>
        <w:pStyle w:val="Heading2"/>
      </w:pPr>
      <w:r>
        <w:t xml:space="preserve">Operaciones vinculadas, estructura de control y defensas</w:t>
      </w:r>
    </w:p>
    <w:p>
      <w:pPr>
        <w:spacing w:after="100"/>
      </w:pPr>
      <w:r>
        <w:t xml:space="preserve">Una sola clase de acciones, sin límites de voto. La familia fundadora suma unos 25,5 M acciones registradas, el 26,7 % del capital (fundador, sus dos sociedades, personas vinculadas, la directora general y el portavoz), y ocupa los tres puestos ejecutivos del consejo [20, 24]. Con el resto muy repartido (extranjeros 22,8 %) controla de hecho la junta y el nombramiento de la dirección. Los cuatro independientes son mayoría del consejo (4 de 7) y forman la comisión de auditoría, como exige la ley taiwanesa. No constan acciones pignoradas (0 en todos los consejeros), operaciones vinculadas relevantes ni blindajes; las sociedades de la familia son solo tenedoras de acciones [24].</w:t>
      </w:r>
    </w:p>
    <w:p>
      <w:pPr>
        <w:pStyle w:val="Heading2"/>
      </w:pPr>
      <w:r>
        <w:t xml:space="preserve">Señales de alerta</w:t>
      </w:r>
    </w:p>
    <w:p>
      <w:pPr>
        <w:pStyle w:val="ListParagraph"/>
        <w:numPr>
          <w:ilvl w:val="0"/>
          <w:numId w:val="2"/>
        </w:numPr>
        <w:spacing w:after="60"/>
      </w:pPr>
      <w:r>
        <w:t xml:space="preserve">Control familiar con tres miembros de la misma familia en la dirección y en el consejo, sin consejero independiente coordinador [20, 22].</w:t>
      </w:r>
    </w:p>
    <w:p>
      <w:pPr>
        <w:pStyle w:val="ListParagraph"/>
        <w:numPr>
          <w:ilvl w:val="0"/>
          <w:numId w:val="2"/>
        </w:numPr>
        <w:spacing w:after="60"/>
      </w:pPr>
      <w:r>
        <w:t xml:space="preserve">Ninguna venta relevante de la familia: el registro de septiembre de 2026 muestra las mismas acciones que al ser elegidos (Hai Hu −2.000; el portavoz, +80.000) y ninguna pignorada [24].</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La empresa no da cifras. En la conferencia del 7-ago-2026 dijo que el segundo semestre de 2026 sería mejor que el primero, que el margen bruto se mantendría en el 70-80 % o más y que tiene producto para 2027-2029; en octubre, según la prensa, se fijó como objetivo seguir creciendo a doble dígito en 2027 [8, 29]. El 3T26 (17.338 M TWD de ventas) ya ha superado todo el primer semestre [8].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51.968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42.148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40.789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345,40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154,60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13 analistas [26]</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75.062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58.136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501,90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226,30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13 analistas [26]</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87.675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69.347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68.359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535,90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248,20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[26]</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48.618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51.968</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38.651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42.148</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60.772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75.062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46.187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59.700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65.634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87.675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47.913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69.347</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-30,9 %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 / 0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15.132,54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12.000,00 – 18.360,00</w:t>
            </w:r>
          </w:p>
        </w:tc>
      </w:tr>
    </w:tbl>
    <w:p>
      <w:pPr>
        <w:spacing w:after="160" w:before="0"/>
      </w:pPr>
    </w:p>
    <w:p>
      <w:pPr>
        <w:pStyle w:val="Heading2"/>
      </w:pPr>
      <w:r>
        <w:t xml:space="preserve">Revisiones de estimaciones</w:t>
      </w:r>
    </w:p>
    <w:p>
      <w:pPr>
        <w:spacing w:after="100"/>
      </w:pPr>
      <w:r>
        <w:t xml:space="preserve">Las estimaciones se han disparado en cuatro meses. En junio de 2026 un bróker local estimaba un BPA de 187,8 TWD para 2026 y de 251 para 2027, con objetivo de 7.500 [13]; en octubre, el consenso de MarketScreener está en 345,4 y 501,9, Morgan Stanley en 382,77 para 2026 y más de 502 para 2027, y otro bróker local en 534,41 para 2027 con 82.400 M de ventas [10, 26, 29]. El objetivo medio ha pasado a 15.132,54 TWD [27]. Tras la caída de las ventas de septiembre, la prensa recoge que los analistas no descartan recortar si las ventas no se recuperan pronto [29]. El consenso de Yahoo coincide: 350,67 para 2026 (12 analistas) y 496,54 para 2027 (13) [28]. Para el 3T26 Investing espera un BPA de 114,38 [30].</w:t>
      </w:r>
    </w:p>
    <w:p>
      <w:pPr>
        <w:pStyle w:val="Heading1"/>
      </w:pPr>
      <w:r>
        <w:t xml:space="preserve">16. Comportamiento en bolsa</w:t>
      </w:r>
    </w:p>
    <w:p>
      <w:pPr>
        <w:pStyle w:val="Confianza"/>
        <w:spacing w:after="100"/>
      </w:pPr>
      <w:r>
        <w:t xml:space="preserve">Confianza: Media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8" name="Gráfico 18"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-41,2 %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La acción ha multiplicado por 2,7 su valor en 2026 (+170,3 % con dividendos frente al +66,8 % del ETF 0050 y al +67,0 % del índice de semiconductores SOXX) y lleva tres años al +135 % anual [25]. Se explica por el beneficio: el BPA de doce meses pasó de 63,44 en 2024 a 176,21 a junio de 2026 [1]. La volatilidad es de valor de crecimiento extremo (67 % anual, 77 % en los últimos 60 días) y la caída máxima de 5 años fue del 41,2 % entre febrero y abril de 2025, con el miedo a los aranceles [25]. La beta mensual frente al 0050 es baja (0,75; semanal de 2 años 0,92) porque el 0050 pesa mucho TSMC y la acción se mueve por su propio ciclo de pedidos, no porque tenga poco riesgo [25].</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-16,1 % / +30,3 % / +177,5 % / +202,4 %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-30,4 % / +247,1 %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alcista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2026-11-11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may-jun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mayo de 3.790 M (+46 % mensual, +172 % interanual) y del 2T muy por encima de lo esperado por los nuevos modelos de servidores de IA; un bróker local sube el objetivo a 7.500 [13].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jul-ago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+100,7 %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 subida de un mes en seis (hasta el 27-ago): resultados del 2T26 (BPA 74,38, margen bruto 87,4 %), beneficio de julio de 4.787 M (BPA 50,24) y máximo histórico de cierre de 14.510 [1, 9, 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sep-oct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Mayor caída de un mes en seis (hasta el 8-oct): ventas de septiembre −31 % mensual por el fin de los pedidos urgentes y la transición a Vera Rubin, con tres sesiones a −10 % (7 y 8-oct, y 8-sep); coincide con una caída general de las tecnológicas de Taiwán [8, 29, 31].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2026-11-11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Investing espera un BPA de 114,38 [30].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Bank of America (compra, objetivo 14.888) y Morgan Stanley (sobreponderar, 15.000) mantienen la recomendación tras las ventas de septiembre [10].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rumor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publica en la bolsa una aclaración sobre una información del Economic Daily News (página A03); también el 8-sep. El contenido no se ha podido leer (MOPS bloqueado) [1].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septiembre de 4.464 M (−31 % mensual, +196 % interanual); 3T26 17.338 M (+60 % trimestral) [8].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2026-08-14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bolsa pide adelantar el beneficio de julio: 4.787 M, BPA 50,24; el de agosto se publica en octubre (3.819 M, BPA 40,07) [9, 10].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2026-08-11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fundador pasa a ser la primera fortuna de Taiwán según Forbes; no consta ninguna venta de la familia, y el porcentaje de los consejeros sigue en el 14,10 % [21, 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acción ha caído un 30,4 % desde el máximo de agosto y un 16,1 % en un mes, pero sigue un 49 % por encima de su media de 200 sesiones y un 202 % por encima de hace un año. La caída tiene causa conocida y dentro de la tesis: el −31 % de las ventas de septiembre, la duda sobre el hueco de pedidos entre Blackwell y Vera Rubin y un mercado taiwanés a la baja [8, 29]. No hay hecho pendiente que pueda mover el precio más de un 5 % en contra fuera del propio negocio: ninguna colocación anunciada, ampliación ni pleito con fecha. Los resultados del 11-nov no aplazan nada (regla 11). Veredicto: no cambia.</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spacing w:after="100"/>
      </w:pPr>
      <w:r>
        <w:t xml:space="preserve">Con el precio de cierre de cada año y el BPA del mismo año, King Slide cotizó entre 9x (2022) y 37x (2025), y con el BPA del año siguiente (lo que el mercado esperaba ganar) entre 12x y 15x en 2020-2024 [1, 25]. Hoy cotiza a 57x el BPA de doce meses a junio (176,21) y a unas 20x el BPA de consenso de 2027 [1, 26]. El salto del múltiplo de 2025 al cierre (37x) no fue una burbuja de expectativas sino el beneficio que estaba por llegar: con el BPA real de 2026 el cierre de 2025 queda en torno a 11-12x. Lo estructural que ha cambiado es el margen (del 43 % al 74 % de margen operativo) y la dependencia de un solo ciclo, el de los racks de IA.</w:t>
      </w:r>
    </w:p>
    <w:p>
      <w:pPr>
        <w:pStyle w:val="Heading1"/>
      </w:pPr>
      <w:r>
        <w:t xml:space="preserve">18. Comparables cotizados</w:t>
      </w:r>
    </w:p>
    <w:p>
      <w:pPr>
        <w:pStyle w:val="Confianza"/>
        <w:spacing w:after="100"/>
      </w:pPr>
      <w:r>
        <w:t xml:space="preserve">Confianza: Media</w:t>
      </w:r>
    </w:p>
    <w:p>
      <w:pPr>
        <w:spacing w:after="100"/>
      </w:pPr>
      <w:r>
        <w:t xml:space="preserve">Proveedores taiwaneses de componentes y montaje para servidores de IA, con el mismo cliente (proveedores de nube y ensambladores de racks), el mismo ciclo y la misma bolsa: Nan Juen (el único competidor directo cotizado), Chenbro (chasis), Asia Vital Components y Auras (refrigeración), Lotes y BizLink (conectores y cables), Jentech (disipadores), Wiwynn (ensamblador de racks) y Delta (alimentación). No hay comparables extranjeros con un producto igual: Accuride es privada. Todos con estimaciones de Yahoo a 20-oct-2026, PER de los próximos 12 meses = 0,2 × 2026e + 0,8 × 2027e.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King Slide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TW</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962.530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Nan Juen International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TW</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33.110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Chenbro Micom</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TW</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100.621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Asia Vital Components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TW</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1.305.206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Auras Technology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TW</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129.842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Lotes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TW</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205.289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BizLink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TW</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375.527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Jentech Precision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TW</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978.906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Wiwynn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TW</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1.069.919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Delta Electronics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TW</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4.169.057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94"/>
        <w:gridCol w:w="1056"/>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30,9 %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19.336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 / 23,6x / 29,9x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3.264,36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5.029,53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6.307,75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 / 19,0x / 22,1x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7.772,32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8.949,95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10.410,20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25.598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4,3x / 5,2x / 6,8x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1.404,31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1.648,74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2.073,13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0" name="Gráfico 20"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La mediana del PER de los próximos 12 meses del grupo es 19,0x, con un abanico de 10,8x (Wiwynn, ensamblador de margen bajo) a 47,9x (Jentech) [28]. King Slide cotiza a unas 20x el BPA de consenso de los próximos doce meses, en la mediana, con un margen EBITDA del 75 % frente al 7-36 % del grupo y sin deuda. La prima de margen no se traduce en prima de PER porque el mercado ya descuenta que ese margen está en un pico: el comparable más directo, Nan Juen, cotiza a 21,3x con un margen de 31 %. Usaríamos el PER y no el EV/EBITDA (la caja de King Slide pesa poco en su valor empresa, un 3 %). Ninguno de los comparables tiene una cuota del 80 % de su nicho; todos comparten el riesgo de ciclo de los racks de IA.</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queda fijo en 48.618 M (+177,8 %): enero-septiembre oficial de 33.618 M [6] más un 4T26 de unos 15.000 M (5.000 M al mes, entre los 4.464 M de septiembre y los 6.400 M de julio-agosto), con Vera Rubin empezando a tirar en el 4T26 según BofA [10]. 2027e +25 %: la empresa habla de seguir creciendo a doble dígito [29], el consenso de MarketScreener espera +44 % [26] y TrendForce, envíos de servidores de IA +36 % y gasto de los proveedores de nube +60 % [16]; nos quedamos por debajo porque 2026 lleva pedidos urgentes que la propia empresa reconoce [8] y porque Nan Juen ya es segundo proveedor [17]. 2028e +8 %, 2029e −10 % (una digestión del ciclo como la de 2023, −26 % [2]) y 2030e 0 %; después 4 %, 4 %, 3 %, 3 % y 2,5 %.</w:t>
      </w:r>
    </w:p>
    <w:p>
      <w:pPr>
        <w:keepNext/>
        <w:spacing w:after="100"/>
      </w:pPr>
      <w:r>
        <w:rPr>
          <w:b/>
          <w:bCs/>
        </w:rPr>
        <w:t xml:space="preserve">Márgenes.</w:t>
      </w:r>
    </w:p>
    <w:p>
      <w:pPr>
        <w:spacing w:after="100"/>
      </w:pPr>
      <w:r>
        <w:t xml:space="preserve">Margen EBITDA del 79,5 % en 2026e (78,2 % en el 1S26 y algo más en el 3T26, con el margen bruto del 2T26 en el 87,4 % [5]). Baja al 76 % en 2027e, al 73 % en 2028e y al 60 % desde 2033e: un segundo proveedor en cada plataforma y unos clientes muy concentrados acaban llevando el precio hacia abajo. El 60 % final sigue por encima del 63,1 % de 2024 menos tres puntos y muy por encima del 46-54 % de 2021-2023 [2]: suponemos que las patentes y los racks de IA mantienen buena parte de la mejora. La dirección habla de un margen bruto del 70-80 % «o más» [11], que con unos gastos del 5-7 % de las ventas equivale a un margen EBITDA del 65-75 %.</w:t>
      </w:r>
    </w:p>
    <w:p>
      <w:pPr>
        <w:keepNext/>
        <w:spacing w:after="100"/>
      </w:pPr>
      <w:r>
        <w:rPr>
          <w:b/>
          <w:bCs/>
        </w:rPr>
        <w:t xml:space="preserve">Inversión y circulante.</w:t>
      </w:r>
    </w:p>
    <w:p>
      <w:pPr>
        <w:spacing w:after="100"/>
      </w:pPr>
      <w:r>
        <w:t xml:space="preserve">Capex del 3 % de las ventas en 2026e (1.460 M; 1.156 M en los doce meses a junio [4]), del 7 % y el 6 % en 2027e-2028e (unos 4.000 M al año) por las fases 3 y 5 en Taiwán y la planta de Houston, unos 10.000 M en total según la empresa [11], y del 2,2-3 % después, por encima de una amortización que sube del 0,9 % al 2 % de las ventas. Circulante comercial del 28 % de las ventas: 29 % a final de 2025 y 26 % de las ventas anualizadas del 2T26 a junio [3]. Tipo impositivo del 21 % (20,1-21,1 % en 2021-2025 [2]).</w:t>
      </w:r>
    </w:p>
    <w:p>
      <w:pPr>
        <w:keepNext/>
        <w:spacing w:after="100"/>
      </w:pPr>
      <w:r>
        <w:rPr>
          <w:b/>
          <w:bCs/>
        </w:rPr>
        <w:t xml:space="preserve">Coste del capital.</w:t>
      </w:r>
    </w:p>
    <w:p>
      <w:pPr>
        <w:spacing w:after="100"/>
      </w:pPr>
      <w:r>
        <w:t xml:space="preserve">Tasa libre: bono de Taiwán a 10 años al 2,03 % (20-oct-2026) [32]. Beta de 1,2: la mensual de 5 años frente al ETF 0050 es 0,75 y la semanal de 2 años 0,92 [25], pero el 0050 pesa mucho TSMC y subestima el riesgo de una empresa con una volatilidad del 67 % que depende de un solo ciclo; usamos una beta de componente de hardware cíclico. Prima de mercado del 5,5 % y 1,5 puntos adicionales por Taiwán (riesgo geopolítico del estrecho, donde está casi toda la producción) y por la concentración de clientes. Sin deuda: WACC del 10,13 %. Con la prima implícita del mercado (4,2 %) el motor da un WACC del 8,57 %.</w:t>
      </w:r>
    </w:p>
    <w:p>
      <w:pPr>
        <w:keepNext/>
        <w:spacing w:after="100"/>
      </w:pPr>
      <w:r>
        <w:rPr>
          <w:b/>
          <w:bCs/>
        </w:rPr>
        <w:t xml:space="preserve">Valor terminal.</w:t>
      </w:r>
    </w:p>
    <w:p>
      <w:pPr>
        <w:spacing w:after="100"/>
      </w:pPr>
      <w:r>
        <w:t xml:space="preserve">Gordon con un 1,5 % de crecimiento, entre la inflación esperada de Taiwán (≈ 1,5-2 %) y la tasa libre menos medio punto (1,53 %). Implica unas 12x el EBITDA terminal, en línea con el múltiplo de salida de 12x que dejamos como contraste y por debajo de la mediana de los comparables de hoy (EV/EBITDA de 23,6x en un pico de ciclo) [28]. El valor terminal pesa el 46 % del valor.</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8,57 %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177,8 %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8.025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46.187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9.572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27.056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9.869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27.795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38.987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7.964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23.946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7.691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20.031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17.997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7.916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16.713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8.015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15.439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14.440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69.476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41.686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8.462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31.221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13.480</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1" name="Gráfico 21" descr="Flujo de caja libre para la empresa proyectado (TW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367.195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500.229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180.927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151.187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332.114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27.862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355.105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3.726,19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2" name="Gráfico 22" descr="De dónde sale el valor empresa del DCF (TW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3.918,41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4.032,49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4.161,52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4.308,65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4.477,97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3.722,65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3.820,50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3.930,38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4.054,67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4.196,39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3.547,44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3.631,92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3.726,19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3.832,05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3.951,78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3.389,72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3.463,09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3.544,49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3.635,32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3.737,32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3.247,01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3.311,06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3.381,77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3.460,21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3.547,75</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3.256,56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3.427,19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3.608,75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3.801,89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4.007,30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3.308,31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3.482,31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3.667,47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3.864,46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4.073,97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3.360,06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3.537,43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3.726,19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3.927,02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4.140,65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3.411,82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3.592,54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3.784,90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3.989,59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4.207,33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3.463,57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3.647,66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3.843,62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4.052,15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4.274,01</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23.714 M (8 %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 (reinvierte el 11 %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64,5 % (histórico: 532,4 %)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28,9 % frente al 21,7 %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La proyección apenas necesita inversión neta de la amortización (reinversión acumulada de 23.714 M, el 8 % del NOPAT, con un capex bruto medio del 3,3 % de las ventas). En un negocio de activos ligeros, el crecimiento medio del 21,7 %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+177,8 %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más unidades de racks de IA (GB300 y el arranque de Vera Rubin) y de racks de CPU, conmutadores y alimentación [11, 16]. Precio: raíles más pesados y caros por unidad, margen bruto de 87,4 % en el 2T26 [5, 17]. Otros: el dólar, que pasó de unos 30,4 a 32,6 TWD [33]. Ya hay nueve meses publicados.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+18 %, por debajo del +36 % de envíos de servidores de IA de TrendForce [16], porque 2026 llevaba pedidos urgentes [8] y un segundo proveedor gana cuota. Precio +7 % por la mezcla de Vera Rubin.</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+6 % y precio +2 %: el gasto de los proveedores de nube se estabiliza tras dos años de +106 % y +60 % [16].</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Digestión del ciclo: volumen −8 % y precio −2 %, como la caída del 26 % de 2023 tras el exceso de inventario de servidores [2], pero más suave.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planas: el volumen vuelve a crecer con la renovación de los racks y el precio sigue bajando por la competencia.</w:t>
            </w:r>
          </w:p>
        </w:tc>
      </w:tr>
    </w:tbl>
    <w:p>
      <w:pPr>
        <w:spacing w:after="160" w:before="0"/>
      </w:pPr>
    </w:p>
    <w:p>
      <w:pPr>
        <w:spacing w:after="100"/>
      </w:pPr>
      <w:r>
        <w:t xml:space="preserve">El motor da «Sí»: la proyección casi no necesita inversión neta (8 % del NOPAT), el crecimiento financiable con la reinversión bruta es del 18,6 % y el ROIC de 2025 es del 169 %. Nosotros decimos «En parte». El crecimiento medio del 21,7 % sale casi todo de 2026e, ya publicado, y después nuestro base crece poco; eso sí lo sostiene la calidad. Lo que no está asegurado es el nivel de partida: un margen EBITDA cercano al 80 % y una cuota del 80 % en los raíles de IA [18] con un foso estrecho (diseño validado por generación, patentes), pocos clientes que deciden y un segundo proveedor ya homologado en GB300 [17]. La empresa nunca ha pasado un bache del ciclo de IA con este tamaño: el último (2023) le costó un 26 % de ventas [2]. No hay estudio del tamaño del mercado de raíles, así que la prueba de cuota se hace a mano: nuestras ventas de 2030e (59.071 M) serían el 0,2 % del gasto en servidores de TrendForce para 2027 (más de 1 billón de USD [16]), una proporción menor que la de 2026 (≈ 0,24 %).</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22,5 % (base: 4,4 %)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n.d.ningún margen hasta el 90 % justifica el precio (base: 60,0 %)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4,5 % (WACC: 10,1 %)</w:t>
            </w:r>
          </w:p>
        </w:tc>
      </w:tr>
    </w:tbl>
    <w:p>
      <w:pPr>
        <w:spacing w:after="160" w:before="0"/>
      </w:pPr>
    </w:p>
    <w:p>
      <w:pPr>
        <w:spacing w:after="100"/>
      </w:pPr>
      <w:r>
        <w:t xml:space="preserve">El DCF da 3.726,19 TWD por acción, un 63,1 % por debajo del precio, con el valor terminal en el 46 % del valor y un WACC del 10,13 %; con la prima implícita del mercado sube a 4.459,47. El DCF inverso es lo importante: para justificar 10.100 TWD, las ventas tendrían que crecer un 22,5 % anual en 2027-2035 desde los 48.618 M de 2026e, frente al 4,4 % de nuestro base, y ningún margen hasta el 90 % lo justifica con nuestro crecimiento. Es decir, el precio supone que 2026 no es un pico sino un escalón, y que las ventas se multiplican por 6 en nueve años más, hasta unos 300.000 M TWD: más de 9.000 M USD de raíles, con la cuota y el margen de hoy. La rentabilidad anual implícita en el precio con nuestras cifras es del 4,5 %, menos de la mitad del WACC. Es una exigencia muy alta para un fabricante de componentes de un solo ciclo: en 2020-2024 el mercado nunca pagó más de 15x el beneficio del año siguiente.</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2.315,29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proveedores de nube frenan su inversión en 2027 tras dos años de gasto récord, como en 2023, y el cambio a Vera Rubin deja un trimestre sin pedidos; Nan Juen gana cuota en la nueva plataforma. Las ventas se quedan en 2027 al nivel de 2026 y caen un 7 % en 2028, con el margen EBITDA en el 65 %.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3.726,19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Vera Rubin tira de los pedidos desde el 4T26 y 2027 crece un 25 %, por debajo del consenso; el margen baja poco a poco con el segundo proveedor. En 2029 llega una digestión del ciclo más suave que la de 2023 y después el negocio crece al ritmo de los centros de datos.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4.910,04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inversión en IA sigue al ritmo de TrendForce (+60 % en 2027), King Slide mantiene el 80 % en Vera Rubin y en los racks de CPU, conmutadores y alimentación, y las ventas crecen un 45 % en 2027 y un 18 % en 2028 con el margen EBITDA en el 78 %.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Valor por acción por escenario (TWD) · precio actual 10.100,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bCs/>
        </w:rPr>
        <w:t xml:space="preserve">Valor ponderado por probabilidad:</w:t>
      </w:r>
      <w:r>
        <w:t xml:space="preserve"> 3.669,43 TWD (-63,7 %).</w:t>
      </w:r>
    </w:p>
    <w:p>
      <w:pPr>
        <w:spacing w:after="100"/>
      </w:pPr>
      <w:r>
        <w:t xml:space="preserve">Los tres escenarios del DCF quedan por debajo del precio: el bajista vale 2.315,29 TWD (−77,1 %) y el alcista 4.910,04 (−51,4 %). Con la prima del mercado, el alcista sube a 5.929,54. La asimetría, de −0,67x, no compensa: incluso con el crecimiento y el margen del alcista el valor a largo plazo es la mitad del precio, porque todos suponen que el ciclo de racks de IA se normaliza después de 2028. A 12 meses la cuenta es menos extrema porque el mercado paga hoy 26,2x nuestro BPA de 2027e: el alcista daría 12.151,80 (+20,8 %) y el bajista 2.830,96 (−71,5 %).</w:t>
      </w:r>
    </w:p>
    <w:p>
      <w:pPr>
        <w:pStyle w:val="Heading1"/>
      </w:pPr>
      <w:r>
        <w:t xml:space="preserve">22. Suma de partes</w:t>
      </w:r>
    </w:p>
    <w:p>
      <w:pPr>
        <w:pStyle w:val="Confianza"/>
        <w:spacing w:after="100"/>
      </w:pPr>
      <w:r>
        <w:t xml:space="preserve">Confianza: Media</w:t>
      </w:r>
    </w:p>
    <w:p>
      <w:pPr>
        <w:spacing w:after="100"/>
      </w:pPr>
      <w:r>
        <w:t xml:space="preserve">King Slide publica sus segmentos por sociedad (la filial de servidores y la matriz de muebles), sin resultado de cada una en las fuentes accesibles. Los muebles son unos 2.000 M TWD de ventas, el 4 % de 2026e: una suma de partes no cambiaría el valor y no tendría cifras propias en que apoyarse.</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4" name="Gráfico 24" descr="Valor por acción según cada método (TWD) · precio actual 10.100,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2.875,00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10.100,00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15.085,00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15.132,54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18.360,00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7.772,32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8.949,95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10.410,20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3.463,09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3.726,19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4.054,67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2.315,29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3.669,43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4.910,04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4.191,33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4.459,47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4.768,69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10.049,50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10.100,00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10.150,50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3.726,19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8.949,95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3.669,43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4.753,91 TWD (-52,9 % sobre 10.100,00).</w:t>
      </w:r>
    </w:p>
    <w:p>
      <w:pPr>
        <w:spacing w:after="100"/>
      </w:pPr>
      <w:r>
        <w:t xml:space="preserve">Pesamos el DCF un 50 %, los escenarios un 30 % y los comparables un 20 %; sin transacciones. El DCF es el método que mejor recoge lo que importa aquí, cuánto dura el ciclo; los comparables (PER de 19,0x de mediana, 8.949,95 TWD) son proveedores del mismo ciclo y en el mismo punto, así que heredan el pico, y por eso pesan poco. El EV/EBITDA de los comparables daría 5.029,53 y el EV/ventas 1.648,74, porque el margen de King Slide (75 %) no tiene igual. La dispersión es enorme: de 2.315 (bajista) a 8.950 (comparables), todos por debajo del precio, y el objetivo de los analistas (15.132,54) por encima de todos. El valor objetivo de la síntesis es de 4.753,91 TWD (−52,9 %).</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248,33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2.830,96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-71,5 %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399,51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(26.2x) ÷ 1.1 (tope: la mediana de 5 años, 13.5x,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9.508,34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510,58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(ni la historia ni los comparables pagan más)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12.151,80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+20,8 %</w:t>
            </w:r>
          </w:p>
        </w:tc>
      </w:tr>
    </w:tbl>
    <w:p>
      <w:pPr>
        <w:spacing w:after="160" w:before="0"/>
      </w:pPr>
    </w:p>
    <w:p>
      <w:pPr>
        <w:spacing w:after="100"/>
      </w:pPr>
      <w:r>
        <w:rPr>
          <w:b/>
          <w:bCs/>
        </w:rPr>
        <w:t xml:space="preserve">Objetivo a 12 meses (ponderado):</w:t>
      </w:r>
      <w:r>
        <w:t xml:space="preserve"> 8.499,86 TWD · rentabilidad -15,3 % (base -5,4 %) · señal Vender.</w:t>
      </w:r>
    </w:p>
    <w:p>
      <w:pPr>
        <w:spacing w:after="100"/>
      </w:pPr>
      <w:r>
        <w:t xml:space="preserve">Para comparar, con la regla v2 (historia al cierre, mismo precio): 9,0x / 24,0x / 25,1x, -14,8 % Vender; con el tope anterior del base (×1,3, 14-oct mediodía): -27,0 % Vender.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2027e (386,12) queda un 23,1 % por debajo del consenso (501,9) y el de 2028e (399,51) un 25,4 % por debajo (535,9) [26]. La diferencia es de ventas y de margen: crecemos un 25 % en 2027 y un 8 % en 2028 frente al +44 % y +17 % del consenso, y llevamos el margen EBITDA al 73 % en 2028 frente al 79 % implícito en el consenso. No acercamos la cifra: el consenso ha doblado su BPA de 2027 en cuatro meses (251 en junio [13]), las ventas de septiembre cayeron un 31 % y la empresa solo promete doble dígito [29]. Nuestro base a 12 meses (9.508,34) queda un 37,2 % por debajo del objetivo medio de los analistas (15.132,54), que está fuera de nuestro rango (2.830,96-12.151,80).</w:t>
      </w:r>
    </w:p>
    <w:p>
      <w:pPr>
        <w:keepNext/>
        <w:spacing w:after="100"/>
      </w:pPr>
      <w:r>
        <w:rPr>
          <w:b/>
          <w:bCs/>
        </w:rPr>
        <w:t xml:space="preserve">Del valor intrínseco al objetivo a 12 meses.</w:t>
      </w:r>
    </w:p>
    <w:p>
      <w:pPr>
        <w:spacing w:after="100"/>
      </w:pPr>
      <w:r>
        <w:t xml:space="preserve">El objetivo ponderado a 12 meses es de 8.499,86 TWD (−15,3 % con dividendo) y el del base de 9.508,34 (−5,4 %): la regla da Vender. El valor intrínseco (4.753,91) está un 44 % por debajo del objetivo a 12 meses: el mercado paga 26,2x nuestro BPA de 2027e y la regla no supone que vuelva a su mediana adelantada de 13,5x en un año, solo que se modera hasta el tope de 23,8x. El BPA base crece un 58 % anual desde 2025, pero ese salto ya está casi todo publicado (2026e, con nueve meses de ventas oficiales); de 2026e a 2028e crece un 10 % anual. Para que la distancia se cerrara al alza haría falta que 2027-2028 confirmaran el consenso (BPA de 536 en 2028): con nuestro múltiplo base, unos 12.750 TWD. Con la v2 de control la señal es la misma (−14,8 %).</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10-nov-2026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octubre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lectura del 4T26 tras el −31 % de septiembre; con más de 5.000 M el 4T26 superaría nuestro supuesto de 15.000 M</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y conferencia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con 17.338 M de ventas; se esperan 114,38 de BPA [30]; lo importante es lo que diga de Vera Rubin y de 2027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4T26-1T27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Arranque de los pedidos de Vera Rubin</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BofA espera que tire de los pedidos desde el 4T26 [10]; un retraso alargaría el hueco de septiembre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Inicio de obras de las fases 3 y 5 (doble de capacidad) y plena producción en Houston</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Capex de unos 10.000 M; confirma o no la confianza de la dirección en 2027-2029 [11]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propuesta de dividendo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un reparto del 50 %, unos 165 TWD por acción (1,6 %)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Cifras de inversión de los proveedores de nube para 2027-2028</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TrendForce espera más de 1,5 billones USD en 2027 (+60 %) [16]; un recorte cambiaría el ciclo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Pico del ciclo de inversión en 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Ciclo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−38 % sobre el DCF base (bajista: 2.315,29)</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neta de 27.861 M y gastos fijos pequeños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mensuales por debajo de 4.000 M dos meses seguidos o recorte de la inversión de los proveedores de nube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Segundo proveedor (Nan Juen) y presión de precio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punto de margen EBITDA ≈ −1 % del DCF; −10 puntos de cuota ≈ −15 % de ventas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3.600 patentes y uno o dos años de validación por plataforma [10, 17]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trimestral por debajo del 70 %, o Nan Juen con ventas de servidores al alza más de un 50 % interanual</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Concentración de clientes (pocos ensambladores y proveedores de nube)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Perder un cliente grande: −15 a −25 % de ventas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Diseño validado en cada generación con los grandes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 ventas mensuales sin causa de plataforma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Geopolítica de Taiwán (estrecho, bloqueo, aranceles de EE. UU.)</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País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Bloqueo: pérdida casi total; aranceles: −2 a −5 puntos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Planta de Houston en producción desde septiembre de 2026 y plan para Europa [11]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Escalada militar en el estrecho o aranceles sobre componentes taiwaneses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Dólar taiwanés fuerte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Divisa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de USD/TWD ≈ −4 % del BPA y pérdidas de cambio en la caja en dólares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 en TWD, pero sin coberturas visibles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USD/TWD por debajo de 30 (hoy 32,6) [33]</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de plataforma que salte a King Slide (racks estandarizados por Nvidia)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Tecnología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a −30 %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Patentes para 2027-2029 [11]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Nvidia o un proveedor de nube anuncian otro proveedor de raíles de referencia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Ejecución de la ampliación (10.000 M) en mal momento del ciclo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a −3 % (capex sin ventas)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Pagada con caja; terreno y plan escalonado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Capex por encima de 5.000 M en un año con ventas a la baja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 familiar y poca información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Descuento de múltiplo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Cuatro independientes de siete y sin acciones pignoradas [24]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de la familia o pignoración de acciones</w:t>
            </w:r>
          </w:p>
        </w:tc>
      </w:tr>
    </w:tbl>
    <w:p>
      <w:pPr>
        <w:spacing w:after="160" w:before="0"/>
      </w:pPr>
    </w:p>
    <w:p>
      <w:pPr>
        <w:pStyle w:val="Heading2"/>
      </w:pPr>
      <w:r>
        <w:t xml:space="preserve">Pre-mortem</w:t>
      </w:r>
    </w:p>
    <w:p>
      <w:pPr>
        <w:spacing w:after="100"/>
      </w:pPr>
      <w:r>
        <w:t xml:space="preserve">Es octubre de 2029 y la acción vale 6.000 TWD, un 40 % menos. Lo que pasó: Vera Rubin arrancó tarde y el 4T26 se quedó en 12.000 M, pero el mercado lo perdonó porque los proveedores de nube confirmaron 1,5 billones USD de inversión para 2027. El problema llegó en 2028: con los centros de datos llenos y la electricidad como cuello de botella, el gasto en servidores de IA dejó de crecer y los ensambladores redujeron inventario, como en 2023. A la vez, Nan Juen, homologado en GB300, ganó un tercio de los raíles de Vera Rubin Ultra ofreciendo un 20 % menos de precio, y King Slide tuvo que bajar los suyos para no perder más. Las ventas de 2028 cayeron un 15 % y el margen EBITDA bajó del 79 % al 62 %; el BPA pasó de 330 a 230 y el mercado volvió a pagar las 12-15x de siempre por un fabricante de componentes de ciclo. Los indicadores que lo anticipaban: el −31 % de septiembre de 2026, que se repitió en cada cambio de plataforma; el margen bruto trimestral, que dejó de subir; y los primeros pedidos de Nan Juen en racks de Vera Rubin.</w:t>
      </w:r>
    </w:p>
    <w:p>
      <w:pPr>
        <w:pStyle w:val="Heading2"/>
      </w:pPr>
      <w:r>
        <w:t xml:space="preserve">Riesgo de inteligencia artificial</w:t>
      </w:r>
    </w:p>
    <w:p>
      <w:pPr>
        <w:spacing w:after="100"/>
      </w:pPr>
      <w:r>
        <w:rPr>
          <w:b/>
          <w:bCs/>
        </w:rPr>
        <w:t xml:space="preserve">Exposición:</w:t>
      </w:r>
      <w:r>
        <w:t xml:space="preserve"> Alta · </w:t>
      </w:r>
      <w:r>
        <w:rPr>
          <w:b/>
          <w:bCs/>
        </w:rPr>
        <w:t xml:space="preserve">Sentido:</w:t>
      </w:r>
      <w:r>
        <w:t xml:space="preserve"> Mixto · </w:t>
      </w:r>
      <w:r>
        <w:rPr>
          <w:b/>
          <w:bCs/>
        </w:rPr>
        <w:t xml:space="preserve">Efecto en valor (3-5 años):</w:t>
      </w:r>
      <w:r>
        <w:t xml:space="preserve"> +/−: el alcista vale +32 % sobre el base y el bajista −38 % (DCF), casi todo por el ciclo de inversión en IA</w:t>
      </w:r>
    </w:p>
    <w:p>
      <w:pPr>
        <w:spacing w:after="100"/>
      </w:pPr>
      <w:r>
        <w:t xml:space="preserve">La IA no sustituye el producto: un rack necesita raíles se fabriquen como se fabriquen los chips, y los racks de IA (más pesados, con refrigeración líquida) usan raíles más caros. Más del 90 % de las ventas son de servidores y casi todo el crecimiento de 2024-2026 viene de los racks de IA [8], así que la IA impulsa el negocio y a la vez lo hace depender de un solo ciclo de inversión. La amenaza no es tecnológica sino de demanda: si los proveedores de nube frenan su gasto (hoy 957.000 M USD en 2026, +106 % [16]), King Slide pierde ventas y precio a la vez. Veredicto de riesgo de IA: impulsa (no sustituye), con riesgo alto de ciclo. Qué vigilar: las ventas mensuales (umbral: menos de 4.000 M dos meses seguidos) y las guías de inversión de los grandes proveedores de nube (umbral: crecimiento de 2027 por debajo del 20 %).</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 que más afecta a las cifras es la seguridad del suministro y la geografía de la producción: casi toda la fabricación está en Luzhu (Kaohsiung), en una isla con riesgo sísmico y geopolítico, y los clientes estadounidenses piden producción local (de ahí Houston) [11]. Los raíles son acero y aluminio estampados, con un consumo de energía moderado; no hemos encontrado datos de emisiones de la empresa en las fuentes accesibles. La gobernanza (empresa familiar, sin consejero coordinador) es el tercer asunto, ya tratado en la sección de gobierno.</w:t>
      </w:r>
    </w:p>
    <w:p>
      <w:pPr>
        <w:pStyle w:val="Heading2"/>
      </w:pPr>
      <w:r>
        <w:t xml:space="preserve">Controversias</w:t>
      </w:r>
    </w:p>
    <w:p>
      <w:pPr>
        <w:spacing w:after="100"/>
      </w:pPr>
      <w:r>
        <w:t xml:space="preserve">No hemos encontrado sanciones, litigios en contra ni incidentes en los últimos tres años en la prensa leída. La empresa dice haber ganado pleitos de patentes como demandante [11]. Publicó en septiembre y octubre de 2026 dos aclaraciones sobre informaciones del Economic Daily News, cuyo contenido no hemos podido leer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Clientes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peso tienen el primer cliente y los cinco primeros en 2025 y en 2026, y cuántos son proveedores de nube directos?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el informe anual no conocemos la concentración, el principal riesgo de una caída de ventas.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Cuota en Vera Rubin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cuota tiene King Slide en los raíles de Vera Rubin frente a GB300, y Nan Juen está homologado en la nueva plataforma?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diferencia entre nuestro base y el consenso es sobre todo de cuota y precio en 2027-2028.</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por raíl de Vera Rubin es mayor o menor que el de GB300, y cuánto del margen bruto del 87 % del 2T26 viene de precio y cuánto de mezcla?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margen EBITDA del 73 % o del 79 % en 2028 mueve el BPA un 8 %.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Septiembre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las ventas de julio-agosto fueron pedidos urgentes que no se repetirán y cómo serán octubre-diciembre?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Nuestro 4T26 de 15.000 M y el consenso de 18.400 M dependen de esto.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Capacidad</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qué volumen de ventas se llena la capacidad doblada de las fases 3 y 5, y qué pasa con ese capex si 2028 es un año de digestión?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inversión de 10.000 M es la primera de esa escala y fija la amortización futura.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Divisa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no cubre el dólar, con más de 30.000 M de caja y casi todas las ventas en USD?</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diferencias de cambio movieron el beneficio de un trimestre un 80 % (2T25).</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hará con una caja que puede pasar de 50.000 M en 2027? ¿Recompras, dividendo extraordinario?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caja es el 3 % del valor de mercado pero rinde un 2-3 %.</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Dividido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PTT Stock: hilo de las ventas de agosto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unas ventas de agosto planas frente a julio (+0,9 %), la mayoría da por visto el techo («las ventas han tocado techo», «se acabó el sueño», «es un cíclico») y una minoría recuerda que julio ya ganó 50 TWD por acción [34].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PTT Stock: hilo de las ventas de septiembre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caída del 31 % mensual se lee como fin de los pedidos de racks; se critica que la nota de la empresa solo explique el crecimiento interanual y no la caída mensual; unos pocos lo ven como una pausa entre plataformas [35].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PTT Stock: réplica con los informes de BofA y Morgan Stanley</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autor resume a los dos bancos (bajada normal, Vera Rubin en el 4T26) y pregunta si alguien ha recortado; las respuestas desconfían de los objetivos de los extranjeros y señalan que uno de ellos venía vendiendo [36].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PTT Stock: noticia de las tres sesiones a la baja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analista de televisión ve un techo de mercado en «M» y anticipa más caídas de ventas de las tecnológicas en octubre; el foro se burla de él pero no defiende a King Slide [37].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PTT Stock: hilo sobre si queda recorrido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Entre bromas, unos la ven como «líder mundial, más fuerte que TSMC» y otros proponen comprar Nan Juen o un ETF con mucho peso de la acción en su lugar [38].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 tocado techo el ciclo?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pregunta correcta. Las ventas de septiembre (4.464 M) volvieron al nivel de junio y el 4T26 dependerá de Vera Rubin; nuestro caso base ya supone que 2026 es un año de pico y que 2029 cae. Pero el 3T26 (17.338 M) aún creció un 60 % y la inversión de los proveedores de nube sube otro 60 % en 2027 según TrendForce [6, 16].</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Credibilidad de los bancos extranjeros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consenso sí ha subido muy deprisa (BPA de 2027 de 251 en junio a 502 en octubre); los objetivos de 15.000 suponen unas 30x el BPA de 2027, por encima de lo que pagó el mercado en el pasado (12-15x adelantado) [26].</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Nan Juen como alternativa barata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Nan Juen es el segundo proveedor en GB300, pero vende la octava parte que King Slide con menos de la mitad de margen; es un riesgo de precio a medio plazo, no de volumen inmediato [17].</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 solo un cajón»: producto sencillo, múltiplo de tecnológica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margen del 87 % no es de un cajón: refleja patentes y validación con los clientes. Pero el foro acierta en que el foso es de diseño por generación, no de red ni de software [17].</w:t>
            </w:r>
          </w:p>
        </w:tc>
      </w:tr>
    </w:tbl>
    <w:p>
      <w:pPr>
        <w:spacing w:after="160" w:before="0"/>
      </w:pPr>
    </w:p>
    <w:p>
      <w:pPr>
        <w:spacing w:after="100"/>
      </w:pPr>
      <w:r>
        <w:t xml:space="preserve">El foro ha pasado del entusiasmo de agosto (la acción a más de 10.000 TWD, el fundador como primera fortuna de Taiwán) a la desconfianza: cada dato mensual se lee como señal de techo y los informes de los bancos se reciben con sorna. No es capitulación (el precio sigue un 202 % por encima de hace un año) sino la duda natural tras una subida de 2,7 veces en el año. Coincide con nuestra preocupación central, el pico del ciclo, y va en contra del consenso de analistas, unánime en comprar. No aporta ningún riesgo que el informe no recoja; sí confirma que la acción será muy sensible a las ventas de octubre (publicación hacia el 10-nov) y a los resultados del 11-nov.</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17 de 22 controles correctos y 5 explicados. Fuentes: 39 (6 primarias); citas distintas en el texto: 38.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«En parte»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28,0 % frente a 29,1 % real: genera una variación de circulante de 8.527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46 %.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proyectada coherente con la histórica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DCF proyecta 27.448 M de flujo libre medio en sus tres primeros años, frente a 6.019 M de media real en los tres últimos: justifica el salto (circulante, inversión, márgenes) o ajusta los supuestos. Explicación: Las ventas de 2026e (48.618 M) casi triplican las de 2025 y son 4,4 veces la media de 2023-2025: el flujo libre medio de 2026-2028 sube en la misma proporción. El flujo libre de los doce meses a junio de 2026 ya fue de 11.599 M con un circulante que consumió 5.819 M, y solo el 3T26 vendió 17.338 M.</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Proyección propia frente a consenso (2027e)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propio -22,6 % frente al consenso: justifica la diferencia en el DCF. Explicación: Diferencia deliberada y explicada en dcf.justificacion y en valoracion.objetivo_12m.diferencia_consenso: crecemos un 25 % en 2027 (la empresa habla de «doble dígito») frente al +44 % del consenso, y el margen EBITDA baja al 76 % por la entrada del segundo proveedor.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Proyección propia frente a consenso (2028e)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propio -30,9 % frente al consenso: justifica la diferencia en el DCF. Explicación: Misma explicación: nuestro base supone que 2026-2027 son años altos del ciclo de racks de IA (crecimiento del 8 % en 2028 y caída del 10 % en 2029, como en 2023) frente a un consenso que sigue creciendo un 17 % en 2028.</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BPA base de 2028e (399,51) supone un 58,3 % anual desde 100,70 (2025): explícalo en valoracion.objetivo_12m.comentario o la confianza es baja. Explicación: El 58 % anual desde 2025 sale casi todo de 2026e, que ya está publicado en tres cuartas partes (BPA básico del 1S26 de 110,96, beneficio de julio y agosto de 8.606 M y ventas de enero-septiembre de 33.618 M): nuestro 2026e (327,72) queda por debajo del consenso (345,4). De 2026e a 2028e el BPA base crece un 10 % anual. Explicado en valoracion.objetivo_12m.comentario.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«Alta» (las dos reglas dan Vender, rentabilidad del -52,4 % (-46,7 % con la prima del mercado) y el precio pide 18,1 puntos más de crecimiento que el caso base) y el análisis pone «Media»: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39 fuentes (6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Explicación: MOPS y la web de la empresa están bloqueados desde la nube; las primarias accesibles son la ficha de la TWSE, tres conjuntos de datos abiertos de la bolsa (ventas mensuales, participaciones de consejeros y dividendos) y dos del registro mercantil (GCIS). Las cuentas se han cuadrado con ellas.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23.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19. Transacciones precedentes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 años y opinión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en MOPS (doc.twse.com.tw): bloqueo «FOR SECURITY REASONS»; 2) web de la empresa (kingslide.com): error de certificado; 3) búsqueda web del despacho firmante: sin resultados fiables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geografías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segmentos del informe anual en MOPS: bloqueada; 2) StockAnalysis y ficha de la TWSE: sin reparto geográfico; 3) prensa (CNA, UAnalyze): solo «clientes estadounidenses y taiwaneses», sin porcentajes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vencimientos de la deuda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préstamos en MOPS: bloqueada; 2) StockAnalysis: solo corto y largo plazo (72,5 M y 238,7 M a jun-26); 3) importe irrelevante frente a la caja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3T26 completo (margen y BPA)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resultados del 3T26: se publican el 11-nov-2026; 2) ficha de la TWSE: solo ventas de julio-septiembre; 3) prensa: beneficio propio de julio (4.787 M) y agosto (3.819 M), sin septiembre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tamaño del mercado de raíles para servidores y serie de 5 años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TrendForce: solo servidores (639.200 M USD en 2026); 2) prensa sectorial de Taiwán (UDN, Mirror Media): solo cuota del líder, sin tamaño; 3) derivarlo de las ventas de King Slide y su cuota del 80 %: circular, no se usa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peso del primero y de los diez primeros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en MOPS (obligación de nombrar clientes &gt; 10 %): bloqueado; 2) web de la empresa: certificado roto; 3) prensa y conferencia: solo «fabricantes de servidores estadounidenses y taiwaneses»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 y cuota de Nan Juen y Accuride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cuentas de Nan Juen en MOPS: bloqueadas; 2) Yahoo: solo EBITDA (30,9 %); 3) Accuride es privada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del primer ejecutivo y votaciones de la junta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y actas de la junta del 30-jun-2026 en MOPS: bloqueados; 2) web de la empresa: certificado roto; 3) prensa: sin cifras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de directivos (申報轉讓) de los últimos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MOPS (declaraciones de transferencia): bloqueado; 2) Yahoo Taiwán, página de transferencias: 404; 3) datos abiertos de la TWSE (t187ap11_L): participaciones de septiembre de 2026 frente a las del nombramiento, sin ventas relevantes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precedentes con múltiplo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compras de fabricantes de raíles (Accuride y otros): privados, sin múltiplos publicados; 2) operaciones de componentes de servidores en Taiwán: ninguna comparable con cifras; 3) prensa: sin operaciones en el nicho en 5-7 años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posición corta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ficha de la TWSE: solo variaciones diarias de venta en descubierto (en lotes, sin saldo); 2) Yahoo Taiwán: sin saldo en las páginas abiertas; 3) MOPS: bloqueado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plantilla y flotante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en MOPS: bloqueado; 2) StockAnalysis y cnyes: sin plantilla; 3) flotante: solo consejeros 14,10 % y grandes tenedores 54,5 %, sin dato de la familia en registro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ESG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 sostenibilidad en MOPS y en la web de la empresa: bloqueados; 2) MSCI y Sustainalytics: sin calificación pública abierta; 3) prensa: sin cifras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King Slide Works Co., Ltd. (2059): ficha de la compañía (cierres, BPA trimestral, ventas mensuales, dividendos y anuncios)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Taiwan Stock Exchange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https://www.twse.com.tw/pdf/en/2059_en.pdf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King Slide Works (TPE:2059) Income Statement (S&amp;P Global Market Intelligence)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StockAnalysis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https://stockanalysis.com/quote/tpe/2059/financials/income-statement/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King Slide Works (TPE:2059) Balance Sheet (S&amp;P Global Market Intelligence)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https://stockanalysis.com/quote/tpe/2059/financials/balance-sheet/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King Slide Works (TPE:2059) Cash Flow Statement (S&amp;P Global Market Intelligence)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https://stockanalysis.com/quote/tpe/2059/financials/cash-flow-statement/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King Slide Works (TPE:2059) Quarterly Income Statement (S&amp;P Global Market Intelligence)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https://stockanalysis.com/quote/tpe/2059/financials/income-statement/?p=quarterly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mensuales de las cotizadas (t187ap05_L), septiembre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Taiwan Stock Exchange (OpenAPI)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https://openapi.twse.com.tw/v1/opendata/t187ap05_L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川湖上半年大賺11個股本 躍台股史上第3檔萬元股</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Agencia Central de Noticias (CNA)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https://www.cna.com.tw/news/afe/202608060193.aspx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川湖9月營收44.6億元月減3成 終止連6月創高</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Agencia Central de Noticias (CNA)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https://www.cna.com.tw/news/afe/202610060202.aspx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股后川湖股價刷高! 獲利提前開獎單月狂賺5個股本</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ETtoday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https://finance.ettoday.net/news/3219364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第三季營收年增大幅成長 297%，美銀、大摩維持川湖買進投資評等</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https://finance.technews.tw/2026/10/07/bank-of-america-and-morgan-stanley-maintain-their-buy-rating-on-chuanhu</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〈川湖法說〉王俊強預告下半年營運會更好 提早佈局2027至2029新產品迭代</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UAnalyze (Anue 鉅亨)</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https://uanalyze.com.tw/articles/3983152984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King Slide Works (TPE:2059) Financials Overview: Revenue by Segment (S&amp;P Global Market Intelligence)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https://stockanalysis.com/quote/tpe/2059/financials/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上市櫃236家跌停!本土投顧喊目標價7500元 川湖逆勢攻漲停</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ETtoday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https://finance.ettoday.net/news/3179420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Distribución de dividendos aprobada (t187ap45_L): ejercicio 2025, 51 TWD por acción, 4.860,2 M TWD en total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Taiwan Stock Exchange (OpenAPI)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https://openapi.twse.com.tw/v1/opendata/t187ap45_L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Registro mercantil: 川湖科技股份有限公司 (22274989), datos básicos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Ministerio de Economía de Taiwán (GCIS)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https://data.gcis.nat.gov.tw/od/data/api/6BBA2268-1367-4B42-9CCA-BC17499EBE8C?$format=json&amp;$filter=Company_Name%20like%20%E5%B7%9D%E6%B9%96%E7%A7%91%E6%8A%80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 server shipments and CSP CapEx outlook (nota de prensa, 14-oct-2026)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TrendForce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https://www.trendforce.com/presscenter/news/20261014-13269.html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滑軌產業進入壁壘高懸 台廠先進者優勢屹立不搖 (先探投資週刊)</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Economic Daily News (UDN)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https://money.udn.com/money/story/5607/9011858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川湖第二季財報與萬元股 (20260806)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Mirror Media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https://www.mirrormedia.mg/story/amp/20260806-181fin-183010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Nan Juen International (6584.TWO): ficha de cotización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https://finance.yahoo.com/quote/6584.TWO/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Registro mercantil: consejeros de 川湖科技股份有限公司 (22274989) y acciones registradas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Ministerio de Economía de Taiwán (GCIS)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https://data.gcis.nat.gov.tw/od/data/api/4E5F7653-1B91-4DDC-99D5-468530FAE396?$format=json&amp;$filter=Business_Accounting_NO%20eq%2022274989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川湖(2059) 大戶籌碼: extranjeros, grandes tenedores y consejeros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Yahoo奇摩股市</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https://tw.stock.yahoo.com/quote/2059.TW/major-holders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川湖(2059)董事長林聰吉躍居台灣新首富</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Business Today (今周刊)</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https://www.businesstoday.com.tw/article/category/183008/post/202608110003/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川湖 (2059) 基本資料: presidente, director general y portavoz</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Anue 鉅亨</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https://www.cnyes.com/twstock/2059/company/profile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Participaciones y pignoraciones de consejeros, directivos y grandes accionistas (t187ap11_L), septiembre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Taiwan Stock Exchange (OpenAPI)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https://openapi.twse.com.tw/v1/opendata/t187ap11_L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2059.TW, 0050.TW y SOXX (bolsa.mjs y movimiento.mjs)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https://finance.yahoo.com/quote/2059.TW/history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King Slide Works: estimaciones financieras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https://www.marketscreener.com/quote/stock/KING-SLIDE-WORKS-CO-LTD-13491368/finances/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King Slide Works: consenso de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https://www.marketscreener.com/quote/stock/KING-SLIDE-WORKS-CO-LTD-13491368/consensus/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Fichas y estimaciones de King Slide y de sus comparables (quoteSummary)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https://finance.yahoo.com/quote/2059.TW/analysis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川湖9月營收較上月驚見「斷崖式」下滑、股價跳空跌停 VR換機潮成關鍵</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Commercial Times (工商時報)</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https://www.ctee.com.tw/news/20261007700736-430201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King Slide Works: earnings (próximos resultados y BPA real frente al previsto)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https://www.investing.com/equities/king-slide-earnings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川湖連吞跌停 (旺得富理財網)</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Business Today (今周刊)</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https://www.businesstoday.com.tw/article/category/183008/post/202610080008/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Taiwan 10-Year Government Bond Yield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Economics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https://tradingeconomics.com/taiwan/government-bond-yield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USD/TWD (TWD=X), cotización del 20-oct-2026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https://finance.yahoo.com/quote/TWD=X/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[情報] 2059 川湖 8月營收 M:0.92% Y:344.42%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PTT (foro Stock)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https://www.ptt.cc/bbs/Stock/M.1788763545.A.175.html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[情報] 2059 川湖 9月營收 M:-30.96% Y:196.22%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PTT (foro Stock)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https://www.ptt.cc/bbs/Stock/M.1791271892.A.6F6.html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 [情報] 2059 川湖 9月營收 (informes de BofA y Morgan Stanley)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PTT (foro Stock)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https://www.ptt.cc/bbs/Stock/M.1791366146.A.35C.html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[新聞] 川湖連吞3根跌停！陳嘉偉揭M頭</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PTT (foro Stock)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https://www.ptt.cc/bbs/Stock/M.1791451565.A.4AB.html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[標的] 2059川湖 操作空間?</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PTT (foro Stock)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https://www.ptt.cc/bbs/Stock/M.1792503947.A.BFE.html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 (T12m with sustainable payout)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81,0 %</w:t>
      </w:r>
      <w:r>
        <w:t xml:space="preserve"> · Secciones con menos del 60 % de campos cubiertos: </w:t>
      </w:r>
      <w:r>
        <w:rPr>
          <w:b/>
          <w:bCs/>
        </w:rPr>
        <w:t xml:space="preserve">capital, gobierno, transacciones, calidad</w:t>
      </w:r>
      <w:r>
        <w:t xml:space="preserve"> · Generado el 20 oct 2026.</w:t>
      </w:r>
    </w:p>
    <w:p>
      <w:pPr>
        <w:pStyle w:val="Nota"/>
        <w:spacing w:after="100"/>
      </w:pPr>
      <w:r>
        <w:t xml:space="preserve">Línea cotizada: 2059 en la Bolsa de Taiwán (TWSE), en TWD; las cuentas también en TWD (NIIF adoptadas en Taiwán), cierre a 31 de diciembre. MOPS (mops, mopsov y doc.twse.com.tw) responde «FOR SECURITY REASONS» desde la nube y la web de la empresa (kingslide.com) tiene un certificado que no se puede verificar: no se han leído el informe anual, las notas, la presentación de resultados ni las actas de la junta. Las cuentas 2021-2025 y los doce meses a junio de 2026 son las de S&amp;P Global Market Intelligence vía StockAnalysis (actualizadas el 6-ago-2026), cuadradas con la ficha oficial de la Bolsa de Taiwán (BPA trimestral, beneficio antes de impuestos acumulado, ventas mensuales y dividendos) y con los datos abiertos de la bolsa (ventas mensuales hasta septiembre de 2026, participaciones de consejeros y dividendo aprobado). El 3T26 solo tiene ventas oficiales (17.338 M) y el beneficio propio de julio y agosto publicado a petición de la bolsa; los resultados completos salen el 11-nov-2026. Precio: cierre del 20-oct-2026 (10.100 TWD; la sesión de Taipéi cierra a las 05:30 UTC). El BPA propio y la historia del PER van en base básica (95,3 M acciones emitidas); el BPA diluido publicado es un 2,5 % menor por la remuneración de empleados en acciones. La concentración de clientes por nombre y el reparto geográfico no están en las fuentes accesibles.</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20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King Slide Works Co., Ltd. (2059.TW)</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(TWD) · precio actual 10.100,00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(2.875,00 – 15.085,00)</c:v>
                </c:pt>
                <c:pt idx="1">
                  <c:v>Precio objetivo de los analistas (12.000,00 – 18.360,00)</c:v>
                </c:pt>
                <c:pt idx="2">
                  <c:v>Comparables: PER NTM (7.772,32 – 10.410,20)</c:v>
                </c:pt>
                <c:pt idx="3">
                  <c:v>DCF (WACC y g ± 0,5) (3.463,09 – 4.054,67)</c:v>
                </c:pt>
                <c:pt idx="4">
                  <c:v>Escenarios (bajista – alcista) (2.315,29 – 4.910,04)</c:v>
                </c:pt>
                <c:pt idx="5">
                  <c:v>DCF con la prima implícita del mercado (4,2 %)</c:v>
                </c:pt>
                <c:pt idx="6">
                  <c:v>Precio actual (10.100,00)</c:v>
                </c:pt>
              </c:strCache>
            </c:strRef>
          </c:cat>
          <c:val>
            <c:numRef>
              <c:f>Hoja1!$B$2:$B$8</c:f>
              <c:numCache>
                <c:formatCode>#,##0</c:formatCode>
                <c:ptCount val="7"/>
                <c:pt idx="0">
                  <c:v>2875</c:v>
                </c:pt>
                <c:pt idx="1">
                  <c:v>12000</c:v>
                </c:pt>
                <c:pt idx="2">
                  <c:v>7772.32</c:v>
                </c:pt>
                <c:pt idx="3">
                  <c:v>3463.09</c:v>
                </c:pt>
                <c:pt idx="4">
                  <c:v>2315.29</c:v>
                </c:pt>
                <c:pt idx="5">
                  <c:v>4191.33</c:v>
                </c:pt>
                <c:pt idx="6">
                  <c:v>10049.5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(2.875,00 – 15.085,00)</c:v>
                </c:pt>
                <c:pt idx="1">
                  <c:v>Precio objetivo de los analistas (12.000,00 – 18.360,00)</c:v>
                </c:pt>
                <c:pt idx="2">
                  <c:v>Comparables: PER NTM (7.772,32 – 10.410,20)</c:v>
                </c:pt>
                <c:pt idx="3">
                  <c:v>DCF (WACC y g ± 0,5) (3.463,09 – 4.054,67)</c:v>
                </c:pt>
                <c:pt idx="4">
                  <c:v>Escenarios (bajista – alcista) (2.315,29 – 4.910,04)</c:v>
                </c:pt>
                <c:pt idx="5">
                  <c:v>DCF con la prima implícita del mercado (4,2 %)</c:v>
                </c:pt>
                <c:pt idx="6">
                  <c:v>Precio actual (10.100,00)</c:v>
                </c:pt>
              </c:strCache>
            </c:strRef>
          </c:cat>
          <c:val>
            <c:numRef>
              <c:f>Hoja1!$C$2:$C$8</c:f>
              <c:numCache>
                <c:formatCode>#,##0</c:formatCode>
                <c:ptCount val="7"/>
                <c:pt idx="0">
                  <c:v>12210</c:v>
                </c:pt>
                <c:pt idx="1">
                  <c:v>6360</c:v>
                </c:pt>
                <c:pt idx="2">
                  <c:v>2637.880000000001</c:v>
                </c:pt>
                <c:pt idx="3">
                  <c:v>591.5799999999999</c:v>
                </c:pt>
                <c:pt idx="4">
                  <c:v>2594.75</c:v>
                </c:pt>
                <c:pt idx="5">
                  <c:v>577.3599999999997</c:v>
                </c:pt>
                <c:pt idx="6">
                  <c:v>101</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(TWD, millones)</a:t>
            </a:r>
          </a:p>
        </c:rich>
      </c:tx>
      <c:overlay val="0"/>
    </c:title>
    <c:autoTitleDeleted val="0"/>
    <c:plotArea>
      <c:layout/>
      <c:barChart>
        <c:barDir val="col"/>
        <c:grouping val="stacked"/>
        <c:varyColors val="0"/>
        <c:ser>
          <c:idx val="0"/>
          <c:order val="0"/>
          <c:tx>
            <c:strRef>
              <c:f>Hoja1!$B$1</c:f>
              <c:strCache>
                <c:ptCount val="1"/>
                <c:pt idx="0">
                  <c:v>King Slide Technology (servidores)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4479</c:v>
                </c:pt>
                <c:pt idx="1">
                  <c:v>6088</c:v>
                </c:pt>
                <c:pt idx="2">
                  <c:v>4427</c:v>
                </c:pt>
                <c:pt idx="3">
                  <c:v>8359</c:v>
                </c:pt>
                <c:pt idx="4">
                  <c:v>16006</c:v>
                </c:pt>
              </c:numCache>
            </c:numRef>
          </c:val>
        </c:ser>
        <c:ser>
          <c:idx val="1"/>
          <c:order val="1"/>
          <c:tx>
            <c:strRef>
              <c:f>Hoja1!$C$1</c:f>
              <c:strCache>
                <c:ptCount val="1"/>
                <c:pt idx="0">
                  <c:v>King Slide Works (matriz: muebles y otros)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2476</c:v>
                </c:pt>
                <c:pt idx="1">
                  <c:v>2343</c:v>
                </c:pt>
                <c:pt idx="2">
                  <c:v>1649</c:v>
                </c:pt>
                <c:pt idx="3">
                  <c:v>2183</c:v>
                </c:pt>
                <c:pt idx="4">
                  <c:v>2058</c:v>
                </c:pt>
              </c:numCache>
            </c:numRef>
          </c:val>
        </c:ser>
        <c:ser>
          <c:idx val="2"/>
          <c:order val="2"/>
          <c:tx>
            <c:strRef>
              <c:f>Hoja1!$D$1</c:f>
              <c:strCache>
                <c:ptCount val="1"/>
                <c:pt idx="0">
                  <c:v>Otros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146.72</c:v>
                </c:pt>
                <c:pt idx="1">
                  <c:v>140.5</c:v>
                </c:pt>
                <c:pt idx="2">
                  <c:v>97.85</c:v>
                </c:pt>
                <c:pt idx="3">
                  <c:v>114.04</c:v>
                </c:pt>
                <c:pt idx="4">
                  <c:v>100.48</c:v>
                </c:pt>
              </c:numCache>
            </c:numRef>
          </c:val>
        </c:ser>
        <c:ser>
          <c:idx val="3"/>
          <c:order val="3"/>
          <c:tx>
            <c:strRef>
              <c:f>Hoja1!$E$1</c:f>
              <c:strCache>
                <c:ptCount val="1"/>
                <c:pt idx="0">
                  <c:v>Eliminaciones</c:v>
                </c:pt>
              </c:strCache>
            </c:strRef>
          </c:tx>
          <c:spPr>
            <a:solidFill>
              <a:srgbClr val="EDA100"/>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Hoja1!$E$2:$E$6</c:f>
              <c:numCache>
                <c:formatCode>#,##0</c:formatCode>
                <c:ptCount val="5"/>
                <c:pt idx="0">
                  <c:v>-759.29</c:v>
                </c:pt>
                <c:pt idx="1">
                  <c:v>-772.56</c:v>
                </c:pt>
                <c:pt idx="2">
                  <c:v>-410.58</c:v>
                </c:pt>
                <c:pt idx="3">
                  <c:v>-526.56</c:v>
                </c:pt>
                <c:pt idx="4">
                  <c:v>-663.71</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King Slide Technology (servidores)</c:v>
                </c:pt>
                <c:pt idx="1">
                  <c:v>King Slide Works (matriz: muebles y otros)</c:v>
                </c:pt>
                <c:pt idx="2">
                  <c:v>Otros</c:v>
                </c:pt>
                <c:pt idx="3">
                  <c:v>Eliminaciones</c:v>
                </c:pt>
              </c:strCache>
            </c:strRef>
          </c:cat>
          <c:val>
            <c:numRef>
              <c:f>Hoja1!$B$2:$B$5</c:f>
              <c:numCache>
                <c:formatCode>General</c:formatCode>
                <c:ptCount val="4"/>
                <c:pt idx="0">
                  <c:v>91.5</c:v>
                </c:pt>
                <c:pt idx="1">
                  <c:v>11.8</c:v>
                </c:pt>
                <c:pt idx="2">
                  <c:v>0.6</c:v>
                </c:pt>
                <c:pt idx="3">
                  <c:v>-3.8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(miles de millones de USD (ingresos del mercado mundial de servidores, TrendForce))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2026e</c:v>
                </c:pt>
                <c:pt idx="1">
                  <c:v>2027e</c:v>
                </c:pt>
              </c:strCache>
            </c:strRef>
          </c:cat>
          <c:val>
            <c:numRef>
              <c:f>Hoja1!$B$2:$B$3</c:f>
              <c:numCache>
                <c:formatCode>#,##0</c:formatCode>
                <c:ptCount val="2"/>
                <c:pt idx="0">
                  <c:v>639.2</c:v>
                </c:pt>
                <c:pt idx="1">
                  <c:v>1000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4</c:v>
                </c:pt>
                <c:pt idx="2">
                  <c:v>1</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King Slide</c:v>
                </c:pt>
                <c:pt idx="1">
                  <c:v>Nan Juen International</c:v>
                </c:pt>
                <c:pt idx="2">
                  <c:v>Accuride International</c:v>
                </c:pt>
                <c:pt idx="3">
                  <c:v>Proveedores propios de los ensambladores</c:v>
                </c:pt>
              </c:strCache>
            </c:strRef>
          </c:cat>
          <c:val>
            <c:numRef>
              <c:f>Hoja1!$B$2:$B$5</c:f>
              <c:numCache>
                <c:formatCode>0.0"%"</c:formatCode>
                <c:ptCount val="4"/>
                <c:pt idx="0">
                  <c:v>69.1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3</c:v>
                </c:pt>
                <c:pt idx="2">
                  <c:v>4</c:v>
                </c:pt>
                <c:pt idx="3">
                  <c:v>3</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(TWD,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6342</c:v>
                </c:pt>
                <c:pt idx="1">
                  <c:v>7799</c:v>
                </c:pt>
                <c:pt idx="2">
                  <c:v>5763</c:v>
                </c:pt>
                <c:pt idx="3">
                  <c:v>10129</c:v>
                </c:pt>
                <c:pt idx="4">
                  <c:v>17501</c:v>
                </c:pt>
                <c:pt idx="5">
                  <c:v>48618</c:v>
                </c:pt>
                <c:pt idx="6">
                  <c:v>60772</c:v>
                </c:pt>
                <c:pt idx="7">
                  <c:v>65634</c:v>
                </c:pt>
                <c:pt idx="8">
                  <c:v>59071</c:v>
                </c:pt>
                <c:pt idx="9">
                  <c:v>59071</c:v>
                </c:pt>
                <c:pt idx="10">
                  <c:v>61433</c:v>
                </c:pt>
                <c:pt idx="11">
                  <c:v>63891</c:v>
                </c:pt>
                <c:pt idx="12">
                  <c:v>65807</c:v>
                </c:pt>
                <c:pt idx="13">
                  <c:v>67782</c:v>
                </c:pt>
                <c:pt idx="14">
                  <c:v>69476</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2934.42</c:v>
                </c:pt>
                <c:pt idx="1">
                  <c:v>3977.45</c:v>
                </c:pt>
                <c:pt idx="2">
                  <c:v>3157.3</c:v>
                </c:pt>
                <c:pt idx="3">
                  <c:v>6428.98</c:v>
                </c:pt>
                <c:pt idx="4">
                  <c:v>12449.48</c:v>
                </c:pt>
                <c:pt idx="5">
                  <c:v>38651</c:v>
                </c:pt>
                <c:pt idx="6">
                  <c:v>46187</c:v>
                </c:pt>
                <c:pt idx="7">
                  <c:v>47913</c:v>
                </c:pt>
                <c:pt idx="8">
                  <c:v>38987</c:v>
                </c:pt>
                <c:pt idx="9">
                  <c:v>37805</c:v>
                </c:pt>
                <c:pt idx="10">
                  <c:v>38089</c:v>
                </c:pt>
                <c:pt idx="11">
                  <c:v>38973</c:v>
                </c:pt>
                <c:pt idx="12">
                  <c:v>39484</c:v>
                </c:pt>
                <c:pt idx="13">
                  <c:v>40669</c:v>
                </c:pt>
                <c:pt idx="14">
                  <c:v>41686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52.9</c:v>
                </c:pt>
                <c:pt idx="1">
                  <c:v>57.3</c:v>
                </c:pt>
                <c:pt idx="2">
                  <c:v>61.3</c:v>
                </c:pt>
                <c:pt idx="3">
                  <c:v>69.1</c:v>
                </c:pt>
                <c:pt idx="4">
                  <c:v>76</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46.3</c:v>
                </c:pt>
                <c:pt idx="1">
                  <c:v>51</c:v>
                </c:pt>
                <c:pt idx="2">
                  <c:v>54.8</c:v>
                </c:pt>
                <c:pt idx="3">
                  <c:v>63.5</c:v>
                </c:pt>
                <c:pt idx="4">
                  <c:v>71.1</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42.9</c:v>
                </c:pt>
                <c:pt idx="1">
                  <c:v>48.1</c:v>
                </c:pt>
                <c:pt idx="2">
                  <c:v>50.1</c:v>
                </c:pt>
                <c:pt idx="3">
                  <c:v>60.2</c:v>
                </c:pt>
                <c:pt idx="4">
                  <c:v>69.1</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32.7</c:v>
                </c:pt>
                <c:pt idx="1">
                  <c:v>52</c:v>
                </c:pt>
                <c:pt idx="2">
                  <c:v>46.9</c:v>
                </c:pt>
                <c:pt idx="3">
                  <c:v>60.8</c:v>
                </c:pt>
                <c:pt idx="4">
                  <c:v>56.2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81.1</c:v>
                </c:pt>
                <c:pt idx="1">
                  <c:v>66.1</c:v>
                </c:pt>
                <c:pt idx="2">
                  <c:v>104.1</c:v>
                </c:pt>
                <c:pt idx="3">
                  <c:v>68</c:v>
                </c:pt>
                <c:pt idx="4">
                  <c:v>69.6</c:v>
                </c:pt>
                <c:pt idx="5">
                  <c:v>59.7</c:v>
                </c:pt>
                <c:pt idx="6">
                  <c:v>37.8</c:v>
                </c:pt>
                <c:pt idx="7">
                  <c:v>156.1</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0">
                  <c:v>81.1</c:v>
                </c:pt>
                <c:pt idx="1">
                  <c:v>66.1</c:v>
                </c:pt>
                <c:pt idx="2">
                  <c:v>104.1</c:v>
                </c:pt>
                <c:pt idx="3">
                  <c:v>68</c:v>
                </c:pt>
                <c:pt idx="4">
                  <c:v>69.6</c:v>
                </c:pt>
                <c:pt idx="5">
                  <c:v>59.7</c:v>
                </c:pt>
                <c:pt idx="6">
                  <c:v>37.8</c:v>
                </c:pt>
                <c:pt idx="7">
                  <c:v>156.1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100</c:v>
                </c:pt>
                <c:pt idx="1">
                  <c:v>85</c:v>
                </c:pt>
                <c:pt idx="2">
                  <c:v>103</c:v>
                </c:pt>
                <c:pt idx="3">
                  <c:v>113</c:v>
                </c:pt>
                <c:pt idx="4">
                  <c:v>97</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113</c:v>
                </c:pt>
                <c:pt idx="1">
                  <c:v>101</c:v>
                </c:pt>
                <c:pt idx="2">
                  <c:v>166</c:v>
                </c:pt>
                <c:pt idx="3">
                  <c:v>144</c:v>
                </c:pt>
                <c:pt idx="4">
                  <c:v>101</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69</c:v>
                </c:pt>
                <c:pt idx="1">
                  <c:v>47</c:v>
                </c:pt>
                <c:pt idx="2">
                  <c:v>56</c:v>
                </c:pt>
                <c:pt idx="3">
                  <c:v>54</c:v>
                </c:pt>
                <c:pt idx="4">
                  <c:v>62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(TWD,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714.97</c:v>
                </c:pt>
                <c:pt idx="1">
                  <c:v>3078.01</c:v>
                </c:pt>
                <c:pt idx="2">
                  <c:v>2872.48</c:v>
                </c:pt>
                <c:pt idx="3">
                  <c:v>4806.08</c:v>
                </c:pt>
                <c:pt idx="4">
                  <c:v>10379.75</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2073</c:v>
                </c:pt>
                <c:pt idx="1">
                  <c:v>4056</c:v>
                </c:pt>
                <c:pt idx="2">
                  <c:v>2704</c:v>
                </c:pt>
                <c:pt idx="3">
                  <c:v>6156</c:v>
                </c:pt>
                <c:pt idx="4">
                  <c:v>9837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50.8</c:v>
                </c:pt>
                <c:pt idx="1">
                  <c:v>68.6</c:v>
                </c:pt>
                <c:pt idx="2">
                  <c:v>48.2</c:v>
                </c:pt>
                <c:pt idx="3">
                  <c:v>90</c:v>
                </c:pt>
                <c:pt idx="4">
                  <c:v>169</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10.1</c:v>
                </c:pt>
                <c:pt idx="1">
                  <c:v>10.1</c:v>
                </c:pt>
                <c:pt idx="2">
                  <c:v>10.1</c:v>
                </c:pt>
                <c:pt idx="3">
                  <c:v>10.1</c:v>
                </c:pt>
                <c:pt idx="4">
                  <c:v>10.1</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16.4</c:v>
                </c:pt>
                <c:pt idx="1">
                  <c:v>28.7</c:v>
                </c:pt>
                <c:pt idx="2">
                  <c:v>16.9</c:v>
                </c:pt>
                <c:pt idx="3">
                  <c:v>32.6</c:v>
                </c:pt>
                <c:pt idx="4">
                  <c:v>39.9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-2.84</c:v>
                </c:pt>
                <c:pt idx="1">
                  <c:v>-2.81</c:v>
                </c:pt>
                <c:pt idx="2">
                  <c:v>-3.63</c:v>
                </c:pt>
                <c:pt idx="3">
                  <c:v>-2.42</c:v>
                </c:pt>
                <c:pt idx="4">
                  <c:v>-1.8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(TWD,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0</c:v>
                </c:pt>
                <c:pt idx="1">
                  <c:v>0</c:v>
                </c:pt>
                <c:pt idx="2">
                  <c:v>0</c:v>
                </c:pt>
                <c:pt idx="3">
                  <c:v>0</c:v>
                </c:pt>
                <c:pt idx="4">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583.22</c:v>
                </c:pt>
                <c:pt idx="1">
                  <c:v>1037</c:v>
                </c:pt>
                <c:pt idx="2">
                  <c:v>1906</c:v>
                </c:pt>
                <c:pt idx="3">
                  <c:v>1352</c:v>
                </c:pt>
                <c:pt idx="4">
                  <c:v>3069</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0</c:v>
                </c:pt>
                <c:pt idx="1">
                  <c:v>0</c:v>
                </c:pt>
                <c:pt idx="2">
                  <c:v>0</c:v>
                </c:pt>
                <c:pt idx="3">
                  <c:v>0</c:v>
                </c:pt>
                <c:pt idx="4">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Ejecutivo</c:v>
                </c:pt>
                <c:pt idx="1">
                  <c:v>Independiente</c:v>
                </c:pt>
              </c:strCache>
            </c:strRef>
          </c:cat>
          <c:val>
            <c:numRef>
              <c:f>Hoja1!$B$2:$B$3</c:f>
              <c:numCache>
                <c:formatCode>0</c:formatCode>
                <c:ptCount val="2"/>
                <c:pt idx="0">
                  <c:v>3</c:v>
                </c:pt>
                <c:pt idx="1">
                  <c:v>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Lin Tsung-chi (personal)</c:v>
                </c:pt>
                <c:pt idx="1">
                  <c:v>Long Sheng Investment (隆盛投資)</c:v>
                </c:pt>
                <c:pt idx="2">
                  <c:v>Hai Hu Investment (海湖投資)</c:v>
                </c:pt>
                <c:pt idx="3">
                  <c:v>Personas vinculadas al fundador</c:v>
                </c:pt>
                <c:pt idx="4">
                  <c:v>Lin Shu-chen (personal)</c:v>
                </c:pt>
                <c:pt idx="5">
                  <c:v>Wang Chun-chiang</c:v>
                </c:pt>
                <c:pt idx="6">
                  <c:v>Inversores extranjeros (conjunto)</c:v>
                </c:pt>
              </c:strCache>
            </c:strRef>
          </c:cat>
          <c:val>
            <c:numRef>
              <c:f>Hoja1!$B$2:$B$8</c:f>
              <c:numCache>
                <c:formatCode>0.0"%"</c:formatCode>
                <c:ptCount val="7"/>
                <c:pt idx="0">
                  <c:v>8.67</c:v>
                </c:pt>
                <c:pt idx="1">
                  <c:v>6.54</c:v>
                </c:pt>
                <c:pt idx="2">
                  <c:v>5.84</c:v>
                </c:pt>
                <c:pt idx="3">
                  <c:v>2.06</c:v>
                </c:pt>
                <c:pt idx="4">
                  <c:v>1.84</c:v>
                </c:pt>
                <c:pt idx="5">
                  <c:v>1.7</c:v>
                </c:pt>
                <c:pt idx="6">
                  <c:v>22.83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0.5</c:v>
                </c:pt>
                <c:pt idx="1">
                  <c:v>-2</c:v>
                </c:pt>
                <c:pt idx="2">
                  <c:v>-19.1</c:v>
                </c:pt>
                <c:pt idx="3">
                  <c:v>16.4</c:v>
                </c:pt>
                <c:pt idx="4">
                  <c:v>-15.9</c:v>
                </c:pt>
                <c:pt idx="5">
                  <c:v>77</c:v>
                </c:pt>
                <c:pt idx="6">
                  <c:v>-23.9</c:v>
                </c:pt>
                <c:pt idx="7">
                  <c:v>143.5</c:v>
                </c:pt>
                <c:pt idx="8">
                  <c:v>71.5</c:v>
                </c:pt>
                <c:pt idx="9">
                  <c:v>144.6</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19.6</c:v>
                </c:pt>
                <c:pt idx="1">
                  <c:v>18.1</c:v>
                </c:pt>
                <c:pt idx="2">
                  <c:v>-4.9</c:v>
                </c:pt>
                <c:pt idx="3">
                  <c:v>33.5</c:v>
                </c:pt>
                <c:pt idx="4">
                  <c:v>31.1</c:v>
                </c:pt>
                <c:pt idx="5">
                  <c:v>21.9</c:v>
                </c:pt>
                <c:pt idx="6">
                  <c:v>-21.2</c:v>
                </c:pt>
                <c:pt idx="7">
                  <c:v>27.5</c:v>
                </c:pt>
                <c:pt idx="8">
                  <c:v>48.6</c:v>
                </c:pt>
                <c:pt idx="9">
                  <c:v>36.9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14.1</c:v>
                </c:pt>
                <c:pt idx="1">
                  <c:v>6.6</c:v>
                </c:pt>
                <c:pt idx="2">
                  <c:v>24.3</c:v>
                </c:pt>
                <c:pt idx="3">
                  <c:v>21</c:v>
                </c:pt>
                <c:pt idx="4">
                  <c:v>27.6</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21</c:v>
                </c:pt>
                <c:pt idx="1">
                  <c:v>21</c:v>
                </c:pt>
                <c:pt idx="2">
                  <c:v>21</c:v>
                </c:pt>
                <c:pt idx="3">
                  <c:v>21</c:v>
                </c:pt>
                <c:pt idx="4">
                  <c:v>21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Pt>
            <c:idx val="9"/>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King Slide</c:v>
                </c:pt>
                <c:pt idx="1">
                  <c:v>Nan Juen International</c:v>
                </c:pt>
                <c:pt idx="2">
                  <c:v>Chenbro Micom</c:v>
                </c:pt>
                <c:pt idx="3">
                  <c:v>Asia Vital Components</c:v>
                </c:pt>
                <c:pt idx="4">
                  <c:v>Auras Technology</c:v>
                </c:pt>
                <c:pt idx="5">
                  <c:v>Lotes</c:v>
                </c:pt>
                <c:pt idx="6">
                  <c:v>BizLink</c:v>
                </c:pt>
                <c:pt idx="7">
                  <c:v>Jentech Precision</c:v>
                </c:pt>
                <c:pt idx="8">
                  <c:v>Wiwynn</c:v>
                </c:pt>
                <c:pt idx="9">
                  <c:v>Delta Electronics</c:v>
                </c:pt>
              </c:strCache>
            </c:strRef>
          </c:cat>
          <c:val>
            <c:numRef>
              <c:f>Hoja1!$B$2:$B$11</c:f>
              <c:numCache>
                <c:formatCode>0.0"x"</c:formatCode>
                <c:ptCount val="10"/>
                <c:pt idx="0">
                  <c:v>16.7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(TWD,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20641</c:v>
                </c:pt>
                <c:pt idx="1">
                  <c:v>28958</c:v>
                </c:pt>
                <c:pt idx="2">
                  <c:v>32745</c:v>
                </c:pt>
                <c:pt idx="3">
                  <c:v>31088</c:v>
                </c:pt>
                <c:pt idx="4">
                  <c:v>28637</c:v>
                </c:pt>
                <c:pt idx="5">
                  <c:v>28335</c:v>
                </c:pt>
                <c:pt idx="6">
                  <c:v>28964</c:v>
                </c:pt>
                <c:pt idx="7">
                  <c:v>29485</c:v>
                </c:pt>
                <c:pt idx="8">
                  <c:v>30369</c:v>
                </c:pt>
                <c:pt idx="9">
                  <c:v>31221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(TWD,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180927</c:v>
                </c:pt>
                <c:pt idx="1">
                  <c:v>151187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(TWD) · precio actual 10.100,00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2315.29</c:v>
                </c:pt>
                <c:pt idx="1">
                  <c:v>3726.19</c:v>
                </c:pt>
                <c:pt idx="2">
                  <c:v>4910.04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(TWD) · precio actual 10.100,00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(2.875,00 – 15.085,00)</c:v>
                </c:pt>
                <c:pt idx="1">
                  <c:v>Precio objetivo de los analistas (12.000,00 – 18.360,00)</c:v>
                </c:pt>
                <c:pt idx="2">
                  <c:v>Comparables: PER NTM (7.772,32 – 10.410,20)</c:v>
                </c:pt>
                <c:pt idx="3">
                  <c:v>DCF (WACC y g ± 0,5) (3.463,09 – 4.054,67)</c:v>
                </c:pt>
                <c:pt idx="4">
                  <c:v>Escenarios (bajista – alcista) (2.315,29 – 4.910,04)</c:v>
                </c:pt>
                <c:pt idx="5">
                  <c:v>DCF con la prima implícita del mercado (4,2 %)</c:v>
                </c:pt>
                <c:pt idx="6">
                  <c:v>Precio actual (10.100,00)</c:v>
                </c:pt>
              </c:strCache>
            </c:strRef>
          </c:cat>
          <c:val>
            <c:numRef>
              <c:f>Hoja1!$B$2:$B$8</c:f>
              <c:numCache>
                <c:formatCode>#,##0</c:formatCode>
                <c:ptCount val="7"/>
                <c:pt idx="0">
                  <c:v>2875</c:v>
                </c:pt>
                <c:pt idx="1">
                  <c:v>12000</c:v>
                </c:pt>
                <c:pt idx="2">
                  <c:v>7772.32</c:v>
                </c:pt>
                <c:pt idx="3">
                  <c:v>3463.09</c:v>
                </c:pt>
                <c:pt idx="4">
                  <c:v>2315.29</c:v>
                </c:pt>
                <c:pt idx="5">
                  <c:v>4191.33</c:v>
                </c:pt>
                <c:pt idx="6">
                  <c:v>10049.5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(2.875,00 – 15.085,00)</c:v>
                </c:pt>
                <c:pt idx="1">
                  <c:v>Precio objetivo de los analistas (12.000,00 – 18.360,00)</c:v>
                </c:pt>
                <c:pt idx="2">
                  <c:v>Comparables: PER NTM (7.772,32 – 10.410,20)</c:v>
                </c:pt>
                <c:pt idx="3">
                  <c:v>DCF (WACC y g ± 0,5) (3.463,09 – 4.054,67)</c:v>
                </c:pt>
                <c:pt idx="4">
                  <c:v>Escenarios (bajista – alcista) (2.315,29 – 4.910,04)</c:v>
                </c:pt>
                <c:pt idx="5">
                  <c:v>DCF con la prima implícita del mercado (4,2 %)</c:v>
                </c:pt>
                <c:pt idx="6">
                  <c:v>Precio actual (10.100,00)</c:v>
                </c:pt>
              </c:strCache>
            </c:strRef>
          </c:cat>
          <c:val>
            <c:numRef>
              <c:f>Hoja1!$C$2:$C$8</c:f>
              <c:numCache>
                <c:formatCode>#,##0</c:formatCode>
                <c:ptCount val="7"/>
                <c:pt idx="0">
                  <c:v>12210</c:v>
                </c:pt>
                <c:pt idx="1">
                  <c:v>6360</c:v>
                </c:pt>
                <c:pt idx="2">
                  <c:v>2637.880000000001</c:v>
                </c:pt>
                <c:pt idx="3">
                  <c:v>591.5799999999999</c:v>
                </c:pt>
                <c:pt idx="4">
                  <c:v>2594.75</c:v>
                </c:pt>
                <c:pt idx="5">
                  <c:v>577.3599999999997</c:v>
                </c:pt>
                <c:pt idx="6">
                  <c:v>101</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