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Constellation Software Inc.</w:t>
      </w:r>
    </w:p>
    <w:p>
      <w:pPr>
        <w:spacing w:after="60"/>
        <w:rPr>
          <w:color w:val="52514E"/>
          <w:sz w:val="22"/>
          <w:szCs w:val="22"/>
        </w:rPr>
      </w:pPr>
      <w:r>
        <w:rPr>
          <w:color w:val="52514E"/>
          <w:sz w:val="22"/>
          <w:szCs w:val="22"/>
        </w:rPr>
        <w:t xml:space="preserve">CSU · Toronto Stock Exchange (TSX) · ISIN CA21037X1006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2.104,75 USD (3.003,78 CAD)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2.320,86 USD (3.312,20 CAD) · mercado 2.710,71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+10,5 % · mercado +29,0 %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44.603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Constellation Software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CSU / CA21037X1006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Toronto Stock Exchange (TSX)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S&amp;P/TSX Composite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Software</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2.104,75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1.538,74 – 2.860,05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44.603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53.140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175 M CAD/día (≈ 123 M USD; 59.265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2.320,86 USD (3.312,20 CAD)</w:t>
      </w:r>
      <w:r>
        <w:t xml:space="preserve"> frente a 2.104,75 (3.003,78 CAD) · con la prima implícita del mercado: 2.710,71 (3.868,57 CAD) (+28,8 %) · Rentabilidad total esperada a 12 meses </w:t>
      </w:r>
      <w:r>
        <w:rPr>
          <w:b/>
          <w:bCs/>
        </w:rPr>
        <w:t xml:space="preserve">+10,5 %</w:t>
      </w:r>
      <w:r>
        <w:t xml:space="preserve"> · Alcista / bajista +48,8 % / -42,0 %</w:t>
      </w:r>
    </w:p>
    <w:p>
      <w:pPr>
        <w:spacing w:after="100"/>
      </w:pPr>
      <w:r>
        <w:rPr>
          <w:b/>
        </w:rPr>
        <w:t xml:space="preserve">La recomendación y por qué.</w:t>
      </w:r>
      <w:r>
        <w:t xml:space="preserve"> Comprar, con convicción baja. El valor objetivo es de 2.320,86 USD (3.312,20 CAD), un 10,3 % por encima del precio de 2.104,75 USD (3.003,78 CAD), y la rentabilidad total esperada a 12 meses es del 10,5 %. El alcista gana un 48,8 % y el bajista pierde un 42,0 %: asimetría de 1,16 veces. Las dos reglas discrepan: con nuestro coste de capital da Mantener (10,5 %, por debajo del 15 %) y con la prima de riesgo que hoy pide el mercado da Comprar (29,0 %). Manda la relativa, y el Comprar se sostiene porque también rinde más de un 5 % con nuestro WACC; pero significa que gana al mercado, no que cubra con holgura su coste de capital histórico. La convicción es baja por esa discrepancia; subiría si el orgánico sin divisa vuelve al 3 % o más en el 3T26 o 4T26, y la recomendación bajaría a Mantener si pasa a negativo.</w:t>
      </w:r>
    </w:p>
    <w:p>
      <w:pPr>
        <w:spacing w:after="100"/>
      </w:pPr>
      <w:r>
        <w:rPr>
          <w:b/>
        </w:rPr>
        <w:t xml:space="preserve">El negocio.</w:t>
      </w:r>
      <w:r>
        <w:t xml:space="preserve"> Constellation compra y conserva negocios de software vertical: miles de programas críticos para nichos (municipios, hospitales, concesionarios, clubes), con el 74,9 % de los ingresos recurrentes y ningún cliente por encima del 5 % [11]. Su ROIC del 21,7 % supera al WACC del 9,1 % en más de doce puntos, aunque era del 54-68 % en 2016-2018: las compras son cada vez mayores y más caras [1]. Su calidad sostiene el crecimiento previsto solo en parte: el flujo libre (≈2.000 M al año) basta para comprar el 11 % de crecimiento de 2027e, pero el orgánico está en mínimos de la década [10, 11].</w:t>
      </w:r>
    </w:p>
    <w:p>
      <w:pPr>
        <w:spacing w:after="100"/>
      </w:pPr>
      <w:r>
        <w:rPr>
          <w:b/>
        </w:rPr>
        <w:t xml:space="preserve">Finanzas.</w:t>
      </w:r>
      <w:r>
        <w:t xml:space="preserve"> Los ingresos crecieron al 20,8 % anual de 2016 a 2025, hasta 11.623 M, casi todo por compras; el orgánico es del 2-4 % y bajó al 1 % sin divisa en el 2T26 [1, 11]. De 2016 a 2025 generó 11.087 M de flujo libre y dedicó 9.245 M a compras. La deuda neta ajustada (con el IRGA y los pagos aplazados) es de 4.443 M, 1,3 veces el EBITDA.</w:t>
      </w:r>
    </w:p>
    <w:p>
      <w:pPr>
        <w:spacing w:after="100"/>
      </w:pPr>
      <w:r>
        <w:rPr>
          <w:b/>
        </w:rPr>
        <w:t xml:space="preserve">Equipo y gobierno.</w:t>
      </w:r>
      <w:r>
        <w:t xml:space="preserve"> Neutro. Consejo con 7 de 9 independientes y una remuneración sin planes a largo plazo, en la que los directivos invierten el 75 % del bonus en acciones bloqueadas [18]. Pero Mark Leonard, fundador y cerebro de la asignación de capital, dimitió por salud en septiembre de 2025 y dejó el consejo en mayo; Mark Miller dirige el grupo [39, 40].</w:t>
      </w:r>
    </w:p>
    <w:p>
      <w:pPr>
        <w:spacing w:after="100"/>
      </w:pPr>
      <w:r>
        <w:rPr>
          <w:b/>
        </w:rPr>
        <w:t xml:space="preserve">Valoración.</w:t>
      </w:r>
      <w:r>
        <w:t xml:space="preserve"> El DCF, que trata las compras como inversión (≈1,3 veces las ventas que compra), da 2.484,20 USD (+18,0 %). El DCF inverso dice que el precio supone un crecimiento del 7,4 % anual hasta 2035e frente al 9,1 % de nuestro caso base y al 20,8 % de la década pasada: no es exigente para su historial. Cotiza a 15,3 veces el EBITDA de los últimos 12 meses, el mínimo de su década, y a 12,5 veces el de los próximos, por debajo de la mediana del software vertical (13,3 veces); comparables y transacciones dan 2.027,51 y 2.137,21 USD. Discrepamos poco del mercado: creemos que las compras seguirán rindiendo, pero con menos margen sobre el coste de capital que antes.</w:t>
      </w:r>
    </w:p>
    <w:p>
      <w:pPr>
        <w:spacing w:after="100"/>
      </w:pPr>
      <w:r>
        <w:rPr>
          <w:b/>
        </w:rPr>
        <w:t xml:space="preserve">Riesgos y catalizadores.</w:t>
      </w:r>
      <w:r>
        <w:t xml:space="preserve"> El mayor riesgo es que la IA generativa erosione el software vertical y el orgánico pase a negativo (el bajista: 1.220,49 USD, −42,0 %); el segundo, que la rentabilidad de las compras siga bajando: cada punto menos de crecimiento quita unos 223 USD. Catalizadores: resultados del 3T26 a principios de noviembre y la primera carta anual de Miller en 2027.</w:t>
      </w:r>
    </w:p>
    <w:p>
      <w:pPr>
        <w:spacing w:after="100"/>
      </w:pPr>
      <w:r>
        <w:rPr>
          <w:b/>
        </w:rPr>
        <w:t xml:space="preserve">Qué cambiaría la decisión.</w:t>
      </w:r>
      <w:r>
        <w:t xml:space="preserve"> Seguiría siendo Comprar por debajo de 2.214,10 USD (3.159,84 CAD), pasaría a Mantener por encima y a Vender por encima de 3.017,12 USD (4.305,86 CAD). Bajaríamos a Mantener con un orgánico sin divisa negativo en el 3T26 o el 4T26, o si el capital desplegado cae por debajo del flujo libre dos trimestres seguidos sin recompras.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2.320,86 USD (3.312,20 CAD)</w:t>
      </w:r>
      <w:r>
        <w:t xml:space="preserve"> (+10,3 % sobre 2.104,75; rentabilidad total esperada +10,5 %) · con la prima implícita del mercado: 2.710,71 (3.868,57 CAD) (+28,8 %)</w:t>
      </w:r>
    </w:p>
    <w:p>
      <w:pPr>
        <w:spacing w:after="100"/>
      </w:pPr>
      <w:r>
        <w:t xml:space="preserve">Constellation Software es la mayor compradora del mundo de negocios de software vertical: más de 11.600 M de ingresos en miles de nichos, el 74,9 % recurrentes, y una máquina de reinvertir el flujo libre en compras con un ROIC del 21,7 % [1, 11]. Desde 2016 ha multiplicado sus ingresos por 5,5.</w:t>
      </w:r>
    </w:p>
    <w:p>
      <w:pPr>
        <w:spacing w:after="100"/>
      </w:pPr>
      <w:r>
        <w:t xml:space="preserve">El precio de 2.104,75 USD, un 26 % por debajo del máximo de 52 semanas, descuenta una Constellation que sigue comprando pero crece al 7,4 % anual hasta 2035, frente al 20,8 % de la década pasada. Cotiza a 15,3 veces el EBITDA de los últimos 12 meses, el mínimo de su década, y por debajo de la mediana del software vertical en los próximos 12 meses [44, 50].</w:t>
      </w:r>
    </w:p>
    <w:p>
      <w:pPr>
        <w:spacing w:after="100"/>
      </w:pPr>
      <w:r>
        <w:t xml:space="preserve">El mercado acierta en que el modelo se ha hecho más difícil: el ROIC ha bajado a un tercio del de 2016-2018, el orgánico está en el 1 % sin divisa y el fundador ya no dirige [1, 11, 39]. Exagera al tratar la IA como el fin del software vertical: no hay aún ningún dato de pérdida de clientes, y la estructura descentralizada sobrevive a Leonard. Para invertir hay que creer que el orgánico se quedará en el 2-3 % y que el grupo podrá seguir reinvirtiendo unos 2.000 M al año por encima del 9 % de coste de capital.</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2.320,86 USD (3.312,20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actual (CAD al tipo de 0,7007 USD por CAD)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2.104,75 USD (3.003,78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48,8 % / -42,0 %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frente a 9,1 %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2.710,71 USD (3.868,57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 frente a 11,5 %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(10,1 %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2.214,10 (3.159,84 CAD)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2.214,10 y 3.017,12 (3.159,84 y 4.305,86 CAD)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3.017,12 (4.305,86 CAD)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2.214,10 USD (3.159,84 CAD), pasaríamos a Mantener.</w:t>
      </w:r>
    </w:p>
    <w:p>
      <w:pPr>
        <w:pStyle w:val="ListParagraph"/>
        <w:numPr>
          <w:ilvl w:val="0"/>
          <w:numId w:val="2"/>
        </w:numPr>
        <w:spacing w:after="60"/>
      </w:pPr>
      <w:r>
        <w:t xml:space="preserve">Si el precio supera 3.017,12 USD (4.305,86 CAD), pasaríamos a Vender.</w:t>
      </w:r>
    </w:p>
    <w:p>
      <w:pPr>
        <w:pStyle w:val="ListParagraph"/>
        <w:numPr>
          <w:ilvl w:val="0"/>
          <w:numId w:val="2"/>
        </w:numPr>
        <w:spacing w:after="60"/>
      </w:pPr>
      <w:r>
        <w:t xml:space="preserve">Si el orgánico sin divisa es negativo en el 3T26 o el 4T26, pasaríamos a Mantener.</w:t>
      </w:r>
    </w:p>
    <w:p>
      <w:pPr>
        <w:pStyle w:val="ListParagraph"/>
        <w:numPr>
          <w:ilvl w:val="0"/>
          <w:numId w:val="2"/>
        </w:numPr>
        <w:spacing w:after="60"/>
      </w:pPr>
      <w:r>
        <w:t xml:space="preserve">Si el orgánico vuelve al 3 % o más con el capital desplegado por encima de 2.000 M al año, subiríamos la convicción.</w:t>
      </w:r>
    </w:p>
    <w:p>
      <w:pPr>
        <w:pStyle w:val="ListParagraph"/>
        <w:numPr>
          <w:ilvl w:val="0"/>
          <w:numId w:val="2"/>
        </w:numPr>
        <w:spacing w:after="60"/>
      </w:pPr>
      <w:r>
        <w:t xml:space="preserve">Si el Tesoro a 10 años supera el 5,75 %, el valor del DCF bajaría por debajo del precio.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IA generativa rebaja las barreras de entrada del software vertical y que, sin Mark Leonard, Constellation no podrá reinvertir su flujo libre con la rentabilidad de antes: crecimiento a la mitad que en la década pasada y un múltiplo de compounder maduro.</w:t>
      </w:r>
    </w:p>
    <w:p>
      <w:pPr>
        <w:keepNext/>
        <w:spacing w:after="100"/>
      </w:pPr>
      <w:r>
        <w:rPr>
          <w:b/>
          <w:bCs/>
        </w:rPr>
        <w:t xml:space="preserve">Lo que creemos nosotros.</w:t>
      </w:r>
    </w:p>
    <w:p>
      <w:pPr>
        <w:spacing w:after="100"/>
      </w:pPr>
      <w:r>
        <w:t xml:space="preserve">Coincidimos en que el crecimiento será menor (9,1 % anual en nuestro caso base) y en que las compras rinden menos que antes; pero el software crítico de nicho, con clientes pequeños y datos propios, es de lo último que reemplazará la IA, y el flujo libre sigue siendo de unos 2.400 M al año [1].</w:t>
      </w:r>
    </w:p>
    <w:p>
      <w:pPr>
        <w:keepNext/>
        <w:spacing w:after="100"/>
      </w:pPr>
      <w:r>
        <w:rPr>
          <w:b/>
          <w:bCs/>
        </w:rPr>
        <w:t xml:space="preserve">Por qué podemos tener razón.</w:t>
      </w:r>
    </w:p>
    <w:p>
      <w:pPr>
        <w:spacing w:after="100"/>
      </w:pPr>
      <w:r>
        <w:t xml:space="preserve">Porque el dato que mostraría la erosión, el orgánico, todavía es positivo (2-4 % en 2024-2025, 1 % sin divisa en el 2T26) y la caída del 2T26 se concentra en Altera [10, 11]. Nuestra diferencia con el mercado es pequeña: apostamos más por el modelo que por una reactivación.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104,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Ingresos recurrentes y dispersos</w:t>
      </w:r>
      <w:r>
        <w:t xml:space="preserve">: el 74,9 % recurrentes y ningún cliente por encima del 5 % [11].</w:t>
      </w:r>
    </w:p>
    <w:p>
      <w:pPr>
        <w:pStyle w:val="ListParagraph"/>
        <w:numPr>
          <w:ilvl w:val="0"/>
          <w:numId w:val="2"/>
        </w:numPr>
        <w:spacing w:after="60"/>
      </w:pPr>
      <w:r>
        <w:rPr>
          <w:b/>
        </w:rPr>
        <w:t xml:space="preserve">Crea valor</w:t>
      </w:r>
      <w:r>
        <w:t xml:space="preserve">: ROIC del 21,7 % frente a un WACC del 9,1 %.</w:t>
      </w:r>
    </w:p>
    <w:p>
      <w:pPr>
        <w:pStyle w:val="ListParagraph"/>
        <w:numPr>
          <w:ilvl w:val="0"/>
          <w:numId w:val="2"/>
        </w:numPr>
        <w:spacing w:after="60"/>
      </w:pPr>
      <w:r>
        <w:rPr>
          <w:b/>
        </w:rPr>
        <w:t xml:space="preserve">Flujo libre creciente</w:t>
      </w:r>
      <w:r>
        <w:t xml:space="preserve">: 2.402 M en los últimos 12 meses y 11.087 M en la década [1].</w:t>
      </w:r>
    </w:p>
    <w:p>
      <w:pPr>
        <w:pStyle w:val="ListParagraph"/>
        <w:numPr>
          <w:ilvl w:val="0"/>
          <w:numId w:val="2"/>
        </w:numPr>
        <w:spacing w:after="60"/>
      </w:pPr>
      <w:r>
        <w:rPr>
          <w:b/>
        </w:rPr>
        <w:t xml:space="preserve">Precio en mínimos de la década</w:t>
      </w:r>
      <w:r>
        <w:t xml:space="preserve">: 15,3 veces el EBITDA frente a una media de 21,3 veces.</w:t>
      </w:r>
    </w:p>
    <w:p>
      <w:pPr>
        <w:pStyle w:val="ListParagraph"/>
        <w:numPr>
          <w:ilvl w:val="0"/>
          <w:numId w:val="2"/>
        </w:numPr>
        <w:spacing w:after="60"/>
      </w:pPr>
      <w:r>
        <w:rPr>
          <w:b/>
        </w:rPr>
        <w:t xml:space="preserve">Alineación de la dirección</w:t>
      </w:r>
      <w:r>
        <w:t xml:space="preserve">: el 75 % del bonus neto se invierte en acciones bloqueadas [18].</w:t>
      </w:r>
    </w:p>
    <w:p>
      <w:pPr>
        <w:pStyle w:val="Heading2"/>
      </w:pPr>
      <w:r>
        <w:t xml:space="preserve">En contra</w:t>
      </w:r>
    </w:p>
    <w:p>
      <w:pPr>
        <w:pStyle w:val="ListParagraph"/>
        <w:numPr>
          <w:ilvl w:val="0"/>
          <w:numId w:val="2"/>
        </w:numPr>
        <w:spacing w:after="60"/>
      </w:pPr>
      <w:r>
        <w:rPr>
          <w:b/>
        </w:rPr>
        <w:t xml:space="preserve">Orgánico a la baja</w:t>
      </w:r>
      <w:r>
        <w:t xml:space="preserve">: 1 % sin divisa en el 2T26 y −19 % en el mantenimiento de Altera [10].</w:t>
      </w:r>
    </w:p>
    <w:p>
      <w:pPr>
        <w:pStyle w:val="ListParagraph"/>
        <w:numPr>
          <w:ilvl w:val="0"/>
          <w:numId w:val="2"/>
        </w:numPr>
        <w:spacing w:after="60"/>
      </w:pPr>
      <w:r>
        <w:rPr>
          <w:b/>
        </w:rPr>
        <w:t xml:space="preserve">ROIC a un tercio</w:t>
      </w:r>
      <w:r>
        <w:t xml:space="preserve">: del 54-68 % de 2016-2018 al 21,7 % de 2025 [1].</w:t>
      </w:r>
    </w:p>
    <w:p>
      <w:pPr>
        <w:pStyle w:val="ListParagraph"/>
        <w:numPr>
          <w:ilvl w:val="0"/>
          <w:numId w:val="2"/>
        </w:numPr>
        <w:spacing w:after="60"/>
      </w:pPr>
      <w:r>
        <w:rPr>
          <w:b/>
        </w:rPr>
        <w:t xml:space="preserve">Sin Mark Leonard</w:t>
      </w:r>
      <w:r>
        <w:t xml:space="preserve">: dimitió en septiembre de 2025 y dejó el consejo en mayo de 2026 [39, 40].</w:t>
      </w:r>
    </w:p>
    <w:p>
      <w:pPr>
        <w:pStyle w:val="ListParagraph"/>
        <w:numPr>
          <w:ilvl w:val="0"/>
          <w:numId w:val="2"/>
        </w:numPr>
        <w:spacing w:after="60"/>
      </w:pPr>
      <w:r>
        <w:rPr>
          <w:b/>
        </w:rPr>
        <w:t xml:space="preserve">Riesgo de la IA</w:t>
      </w:r>
      <w:r>
        <w:t xml:space="preserve">: la propia empresa lo añadió como factor de riesgo en 2025 [11].</w:t>
      </w:r>
    </w:p>
    <w:p>
      <w:pPr>
        <w:pStyle w:val="ListParagraph"/>
        <w:numPr>
          <w:ilvl w:val="0"/>
          <w:numId w:val="2"/>
        </w:numPr>
        <w:spacing w:after="60"/>
      </w:pPr>
      <w:r>
        <w:rPr>
          <w:b/>
        </w:rPr>
        <w:t xml:space="preserve">Asimetría justa</w:t>
      </w:r>
      <w:r>
        <w:t xml:space="preserve">: el bajista pierde un 42,0 % frente a un alcista del 48,8 %.</w:t>
      </w:r>
    </w:p>
    <w:p>
      <w:pPr>
        <w:pStyle w:val="Heading2"/>
      </w:pPr>
      <w:r>
        <w:t xml:space="preserve">Qué tiene que pasar para que la tesis funcione</w:t>
      </w:r>
    </w:p>
    <w:p>
      <w:pPr>
        <w:spacing w:after="100"/>
      </w:pPr>
      <w:r>
        <w:t xml:space="preserve">La tesis depende del crecimiento orgánico sin divisa: hoy en el 1 %, tiene que quedarse en el 2-3 % para que el modelo de compras siga creando valor. La señal de que no ocurre sería un orgánico negativo en el 3T26 o el 4T26 fuera de Altera, o un capital desplegado que cae por debajo del flujo libre sin que la empresa recompre acciones.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sin divisa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el 3T26 o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prueba de si la IA erosiona el software vertical.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desplegado en 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M en el 1S26 y 818 M comprometidos después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1.500 M al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que sigue reinvirtiendo el flujo libre.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FCFA2S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 M (12 meses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caja que se reinvierte.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 de Altera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orgánico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−10 %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compra reciente arrastra el orgánico del grupo.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ROIC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si las compras siguen rindiendo por encima del coste de capital.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15,3x / 12,5x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46,4x / 34,8x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Constellation Software se constituyó en Ontario el 23 de agosto de 1995 por iniciativa de Mark Leonard, con la idea de comprar y conservar para siempre pequeñas empresas de software vertical [19, 33]. Salió a bolsa en Toronto el 18 de mayo de 2006 [19]. Creció con miles de compras pequeñas y algunas grandes: Total Specific Solutions en Países Bajos (2013, 240 M EUR), que en 2021 se convirtió en Topicus.com y se repartió a los accionistas manteniendo el control con una acción de supervoto [19]; el negocio hospitalario de Allscripts (2022, hoy Altera) [11]; y WideOrbit, con la que nació Lumine Group en 2023 [19]. En septiembre de 2025 Leonard dimitió como presidente por motivos de salud y le sustituyó Mark Miller, director de operaciones con más de treinta años en el grupo [33]; Leonard no se presentó a la reelección como consejero en la junta del 15 de mayo de 2026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la sociedad en Ontario (23 de agosto)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Bolsa de Toronto (18 de mayo), con el símbolo CSU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100 % de Total Specific Solutions (Países Bajos) por 240 M EUR: base de la expansión europea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emisión de obligaciones subordinadas Series 1 mediante derechos a los accionistas (96 M CAD); se amplió en 2015 y 2023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Topicus B.V. y salida a bolsa de Topicus.com en la TSXV, repartida como dividendo en especie; CSU conserva el control con una acción de supervoto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Harris compra a Allscripts su negocio de hospitales y grandes consultas, hoy Altera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WideOrbit (169 M USD de ingresos en 2022; 490 M USD de precio bruto) y escisión de Lumine Group, en la que CSU queda con el 61,4 % [11,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emisión de bonos sénior: 1.000 M USD a 2029 (5,158 %) y 2034 (5,461 %)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belga Cipal Schaubroeck (administración local) por 258 M USD y otras adquisiciones por 1.321 M USD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Leonard dimite como presidente por motivos de salud (25 de septiembre); Mark Miller le sustituye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 deja el consejo tras la junta del 15 de mayo y pasa a asesorar en la estrategia de participaciones minoritarias (PEMS) [34].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Constellation Software adquiere, gestiona y desarrolla negocios de software vertical (VMS): programas críticos para la operación de clientes de un sector concreto, públicos o privados [19]. Se organiza en seis grupos operativos (Volaris, Harris, Jonas, Vela, Perseus y Total Specific Solutions/Topicus) más Lumine, con clientes en más de 150 mercados verticales: transporte público, administraciones locales, sanidad, clubes privados, distribución, construcción, concesionarios, servicios financieros, medios y comunicaciones, entre muchos otros [19]. Vende con equipos comerciales directos especializados por vertical y crece vendiendo productos complementarios a su base instalada [19]. En 2025 facturó 11.623 M USD: el 41,6 % en EE. UU., el 35,0 % en Reino Unido y Europa, el 9,1 % en Canadá y el 14,3 % en el resto del mundo, según el lugar donde se factura [21]. Tenía unos 64.000 empleados a tiempo completo a cierre de 2024 [19].</w:t>
      </w:r>
    </w:p>
    <w:p>
      <w:pPr>
        <w:pStyle w:val="Heading2"/>
      </w:pPr>
      <w:r>
        <w:t xml:space="preserve">Cómo gana dinero</w:t>
      </w:r>
    </w:p>
    <w:p>
      <w:pPr>
        <w:spacing w:after="100"/>
      </w:pPr>
      <w:r>
        <w:t xml:space="preserve">El 74,9 % de los ingresos de 2025 (8.700 de 11.623 M USD) fue mantenimiento y otros recurrentes: soporte posventa, contratos combinados de software y soporte, ingresos por transacción, servicios gestionados y SaaS [11]. Las licencias fueron solo 415 M (3,6 %), los servicios profesionales 2.126 M (18,3 %) y el hardware 382 M (3,3 %) [11]. Los costes son sobre todo de personal, por lo que el margen depende de la productividad de cada unidad y del peso de los recurrentes [11]. El crecimiento procede casi entero de compras: en 2025 los ingresos subieron un 15 %, con un crecimiento orgánico del 4 % (3 % sin efecto divisa); en el primer semestre de 2026, +19 % con un orgánico del 4 % (1 % sin divisa) [10, 11]. La caja de las filiales se reinvierte en adquisiciones que superan una tasa interna de retorno mínima fijada por la central, y la central aprueba todas las compras significativas [19].</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 y otros recurrentes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profesionales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Hardware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Mantenimiento y otros recurrentes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Servicios profesionales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Hardware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de clientes está muy atomizada: ningún cliente supuso más del 5 % de los ingresos en 2025 ni en 2024 [21], y en 2024 ninguno superó el 2 % [19]. Los clientes compran licencias de uso, no la propiedad del software, y pagan cuotas anuales de mantenimiento cuya renovación es la principal fuente de ingresos [11, 19]. El poder de precios se ve en el mantenimiento: su crecimiento orgánico sin efecto divisa fue del 5 % en 2025, frente a caídas del 8 % en licencias y del 4 % en servicios profesionales [11]. Entre el cuarto trimestre de 2023 y el de 2025, el mantenimiento creció de forma orgánica entre el 4 % y el 6 % sin divisa cada trimestre [11]. La empresa no publica tasas de renovación ni de bajas.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mantenimiento y recurrentes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 frente a 2025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recurrentes en los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Cálculo sobre ingresos por tipo de 2024 y 2025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sin divisa, total (4T)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3 %; 2T26: 1 % [10,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sin divisa, mantenimiento (4T)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5 %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Contraprestación total de adquisiciones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 [19] frente a 2025 (1.321 + 258 de Cipal Schaubroeck)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licencias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sin divisa −8 % en 2025 [11].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vertical: aplicaciones específicas de un sector (administración local, sanidad, transporte, distribución, ocio, servicios financieros…) vendidas a organizaciones públicas y privadas, en todo el mundo, con peso de Norteamérica y Europa [19]. No hay estadística oficial: los informes de mercado lo miden de forma distinta. Usamos Mordor Intelligence (147.110 M USD en 2025) [28] y lo contrastamos con Grand View Research (150.250 M USD en 2024) [29]; ambos dan órdenes de magnitud y crecimientos parecidos (11,5-12,5 % anual). Son cifras de consultoras privadas, con definiciones poco precisas, que sirven como orden de magnitud y no como dato exacto.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147.110 M USD en 2025 según Mordor Intelligence [28]; ≈ 150.250 M USD en 2024 según Grand View Research [29].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Mordor Intelligence))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 procesos en nichos (sector público, sanidad, pymes)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crecimiento del 11,5 % anual en 2026-2031 [28] y del 12,5 % en 2025-2033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licencia perpetua a mantenimiento y SaaS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CSU, las licencias cayeron un 8 % orgánico sin divisa en 2025 y el mantenimiento creció un 5 %; los recurrentes ya son el 74,9 % de los ingresos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nuevas funciones vendibles frente a menor barrera de entrada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CSU incluyó en 2026 un riesgo nuevo: la IA puede reducir las barreras de entrada y presionar precios [11]; el ETF de software IGV llegó a caer un 18 % en el año a principios de marzo de 2026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Presupuestos de los clientes (públicos y privados)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CSU reconoce que su demanda depende del gasto de capital de los clientes y de sus ciclos presupuestarios [19]; las licencias, la parte más cíclica, son solo el 3,6 % de los ingresos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Oferta de empresas en venta (capital riesgo y fundadores)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CSU cerró o comprometió compras por 802 M USD en los dos primeros meses y medio de 2026 [21]; la presión sobre las carteras de capital riesgo podría abaratar las compras [30].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en nichos pequeños: los diez mayores proveedores sumaban en torno al 35 % de los ingresos de 2025 [28]; la competencia se basa en funciones, calidad del soporte, precio y conocimiento del sector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(ninguno supera el 5 % de los ingresos de CSU) [21] y software crítico cuyo coste es pequeño frente al riesgo operativo de cambiar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principal insumo es personal: los costes de CSU son sobre todo de plantilla [11]; las licencias de terceros se usan solo cuando no son estratégicas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Nichos pequeños poco atractivos para grandes rivales, pero la propia CSU advierte que la IA puede reducir las barreras de entrada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agentes de IA (lanzamientos de Anthropic a principios de 2026) desencadenaron una caída del 18 % del ETF de software en el año [32]; en el software vertical crítico aún no hay datos de sustitución [30].</w:t>
            </w:r>
          </w:p>
        </w:tc>
      </w:tr>
    </w:tbl>
    <w:p>
      <w:pPr>
        <w:spacing w:after="160" w:before="0"/>
      </w:pPr>
    </w:p>
    <w:p>
      <w:pPr>
        <w:pStyle w:val="Heading2"/>
      </w:pPr>
      <w:r>
        <w:t xml:space="preserve">Ciclo</w:t>
      </w:r>
    </w:p>
    <w:p>
      <w:pPr>
        <w:spacing w:after="100"/>
      </w:pPr>
      <w:r>
        <w:t xml:space="preserve">El crecimiento orgánico sin divisa de CSU, el mejor indicador disponible del nicho, se ha movido entre el 1 % y el 4 % trimestral desde finales de 2023 (2 % en el 4T25, 1 % en el 2T26), con el mantenimiento entre el 4 % y el 6 % y las licencias en negativo [10, 11]. La parte cíclica (licencias, servicios y hardware) suma el 25 % de los ingresos [11]. No hemos obtenido series del sector para 2008-09, 2020 y 2022.</w:t>
      </w:r>
    </w:p>
    <w:p>
      <w:pPr>
        <w:pStyle w:val="Heading2"/>
      </w:pPr>
      <w:r>
        <w:t xml:space="preserve">Regulación</w:t>
      </w:r>
    </w:p>
    <w:p>
      <w:pPr>
        <w:spacing w:after="100"/>
      </w:pPr>
      <w:r>
        <w:t xml:space="preserve">No hay una regulación que fije precios o ingresos del software vertical. Afectan sobre todo la protección de datos y la ciberseguridad, porque muchos clientes son administraciones, hospitales y entidades financieras, y las normas nuevas sobre IA: CSU advierte de un mosaico de leyes en evolución que añade costes de cumplimiento y riesgo legal por sesgo, transparencia, propiedad intelectual y privacidad [11]. En la Unión Europea, donde CSU factura el 35 % con Reino Unido [21], el Reglamento de IA (Reglamento (UE) 2024/1689) se aplica de forma escalonada. La contratación pública (concursos) marca el ritmo de las ventas en los verticales públicos.</w:t>
      </w:r>
    </w:p>
    <w:p>
      <w:pPr>
        <w:pStyle w:val="Heading2"/>
      </w:pPr>
      <w:r>
        <w:t xml:space="preserve">Tendencias y disrupción</w:t>
      </w:r>
    </w:p>
    <w:p>
      <w:pPr>
        <w:spacing w:after="100"/>
      </w:pPr>
      <w:r>
        <w:t xml:space="preserve">La tendencia dominante es la IA generativa. Para el mercado es una amenaza: el ETF de software IGV llegó a caer un 18 % en el año a principios de marzo de 2026 tras los lanzamientos de agentes de Anthropic [32], y la acción de CSU se ha reducido a la mitad en doce meses, en parte por esta incertidumbre [31]. Para la empresa es también una palanca: sus filiales la usan para desarrollar más rápido y venderla a sus clientes, aunque Miller no da objetivos ni gasto en IA [31], y Topicus la describe como una capa sobre sistemas en los que los incumbentes controlan datos, procesos y confianza [30]. Otros consolidadores también la presentan como palanca: Vitec dice tener la IA integrada en toda la organización [27]. El paso a SaaS y a recurrentes continúa [11].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consolidador mundial de software vertical: con 11.623 M USD de ingresos en 2025 [21] tendría en torno al 7,9 % del mercado estimado por Mordor (147.110 M USD) [28] (estimación propia: ingresos de CSU entre tamaño del mercado). Su cuota en cada uno de sus más de 150 nichos no se publica.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Roper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Compounder de software vertical de EE. UU. que compra pocas empresas grandes; resultado de explotación 2.235,4 M USD en 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Tyler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TYL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para administraciones públicas de EE. UU., rival directo de Harris en municipios y tribunales; resultado de explotación 357,7 M USD en 2025 [22]; CSU lo cita entre sus competidores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Topicus.com (filial de CSU)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Filial cotizada consolidada por CSU; 1.552,3 M EUR de ingresos en 2025 y margen de explotación del 15,0 % en sus cuentas [24]; aquí en USD con la tabla de CSU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Lumine Group (filial de CSU)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LMN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para comunicaciones y medios, filial al 61,4 %; ingresos menos gastos y amortización de intangibles de la tabla de CSU [11].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Descartes Systems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DSGX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logístico y de cadena de suministro; ejercicio cerrado el 31-ene-2026; resultado de explotación 210,0 M USD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Vitec Software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VIT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Consolidador nórdico de software vertical; doce meses a junio de 2026: 3.525 M SEK de ventas y 761 M SEK de resultado de explotación [27]; convertido a 0,1086 USD por SEK (BCE, 31-dic-2025)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Enghouse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Comprador canadiense de software (contact center, operadores); ejercicio a 31-oct-2025: 498,9 M CAD de ingresos y 114,4 M CAD de resultado de explotación [26]; convertido a 0,7304 USD por CAD (BCE, 31-dic-2025) [35].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de gestión interna de cada cliente; no hay beneficio por que otros usuarios usen el mismo producto, salvo en nichos de transacciones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74,9 % de los ingresos es recurrente y el mantenimiento crece de forma orgánica un 4-6 % trimestral sin divisa aunque las licencias caigan [2]; el software es crítico y su coste es pequeño frente al riesgo operativo de cambiar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Protección por contrato, derechos de autor y secreto comercial, no por patentes [1]; el valor está en el conocimiento del sector de cada equipo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de CSU en 2025 en torno al 16,3 % (estimación propia con la tabla del MD&amp;A [2]), por debajo de Roper (28,3 %) [6] y Descartes (28,8 %) [8] y similar a Tyler (15,3 %)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pequeños donde caben uno o dos proveedores; mercado fragmentado (diez mayores ≈ 35 %) [11]; CSU prefiere comprar negocios con alta cuota relativa y competidores con poco capital [1].</w:t>
            </w:r>
          </w:p>
        </w:tc>
      </w:tr>
    </w:tbl>
    <w:p>
      <w:pPr>
        <w:spacing w:after="160" w:before="0"/>
      </w:pPr>
    </w:p>
    <w:p>
      <w:pPr>
        <w:pStyle w:val="Heading2"/>
      </w:pPr>
      <w:r>
        <w:t xml:space="preserve">Amenazas</w:t>
      </w:r>
    </w:p>
    <w:p>
      <w:pPr>
        <w:spacing w:after="100"/>
      </w:pPr>
      <w:r>
        <w:t xml:space="preserve">La principal amenaza es que la IA abarate tanto el desarrollo que aparezcan rivales o que los clientes construyan sus propias herramientas: la propia CSU lo reconoce como riesgo nuevo en su MD&amp;A de 2025, junto con la posibilidad de que competidores incorporen la IA más rápido [11]. El mercado lo descuenta: la acción se ha reducido a la mitad en doce meses [31]. En contra, los sistemas son críticos y caros de sustituir, y la empresa no ha visto todavía un efecto en el crecimiento orgánico, ni positivo ni negativo [30, 31]. El segundo riesgo es la competencia por las compras de Roper y de los consolidadores europeos (Vitec, Topicus), que puede encarecerlas [23, 27].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spacing w:after="100"/>
      </w:pPr>
      <w:r>
        <w:t xml:space="preserve">Crecimiento anual compuesto 2016-2025: ingresos </w:t>
      </w:r>
      <w:r>
        <w:rPr>
          <w:b/>
          <w:bCs/>
        </w:rPr>
        <w:t xml:space="preserve">20,8 %</w:t>
      </w:r>
      <w:r>
        <w:t xml:space="preserve">, EBITDA </w:t>
      </w:r>
      <w:r>
        <w:rPr>
          <w:b/>
          <w:bCs/>
        </w:rPr>
        <w:t xml:space="preserve">21,9 %</w:t>
      </w:r>
      <w:r>
        <w:t xml:space="preserve">, BPA </w:t>
      </w:r>
      <w:r>
        <w:rPr>
          <w:b/>
          <w:bCs/>
        </w:rPr>
        <w:t xml:space="preserve">10,6 %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2.125 M en 2016 a 11.623 M en 2025, con un crecimiento orgánico bajo (2 % en 2024 y 4 % en 2025; 2 % y 3 % sin divisa): casi todo el crecimiento es comprado [1, 8, 11, 15]. El margen EBITDA (EBIT más depreciación y amortización) subió del 26,0 % en 2016 al 28,2 % en 2025; 2019 no es comparable con 2018 por la NIIF 16 (el alquiler pasó de 78 M a 35 M y la depreciación de 27 M a 92 M) [7]. La amortización de intangibles adquiridos (1.182 M en 2025) separa mucho el EBITDA del EBIT. El beneficio neto es volátil por partidas bajo el EBIT: la revaluación del pasivo del IRGA (440 M en 2025, 183 M en 2024), el gasto de las acciones preferentes rescatables de Lumine (295 M en 2021 y 597 M en 2023, que hizo negativo el resultado de los minoritarios) y, en 2025, la pérdida de 260 M al pasar Asseco a puesta en equivalencia [1, 3, 5]. En 1S26 los ingresos crecieron un 19 % y el beneficio atribuido llegó a 641 M (192 M en 1S25) [9].</w:t>
      </w:r>
    </w:p>
    <w:p>
      <w:pPr>
        <w:pStyle w:val="Heading2"/>
      </w:pPr>
      <w:r>
        <w:t xml:space="preserve">Ajustes y partidas no recurrentes</w:t>
      </w:r>
    </w:p>
    <w:p>
      <w:pPr>
        <w:spacing w:after="100"/>
      </w:pPr>
      <w:r>
        <w:t xml:space="preserve">Se usan cifras reportadas: la empresa no publica EBITDA ajustado; su medida de gestión es el FCFA2S [11]. La cuenta se presenta por naturaleza: aquí el coste de ventas es hardware más licencias, mantenimiento y servicios de terceros, y los gastos generales quedan sin dato. El EBIT es ingresos menos gastos operativos (con depreciación y amortización); todo lo que la empresa presenta debajo (diferencias de cambio, revaluación del IRGA, ingresos financieros, ganancias por compras ventajosas, deterioros de 43 M en 2025, gasto de preferentes, revaluación de Asseco y gastos financieros) va en el resultado financiero, así que el EBITDA no incluye deterioros. Las ganancias por compras ventajosas (10 M en 2025, 54 M en 2023, 69 M en 2018) y los deterioros se repiten casi todos los años. El 1T25 se reexpresó (+34 M de beneficio por Asseco) [9, 10].</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Constellation no publica guía de resultados ni objetivos. Desde 2025 retransmite una conferencia de resultados (la del 4T25 figura en su web de inversores), pero las transcripciones no estuvieron accesibles para este análisis, así que este resumen sale de los MD&amp;A. El MD&amp;A del 4T25 añadió un nuevo factor de riesgo sobre la inteligencia artificial: la IA puede rebajar las barreras de entrada en sus verticales y los competidores pueden incorporarla antes o mejor [11]. En 2T26 el crecimiento orgánico bajó al 3 % (1 % sin divisa) desde el 6 % del 1T26, y la empresa lo atribuye sobre todo a Altera, cuyo mantenimiento cayó un 19 % orgánico frente a un 4 % de crecimiento en el resto del grupo, ambas cifras sin efecto divisa [10]. El FCFA2S del 2T26 subió un 57 %, a 345 M, ayudado por 80 M de intereses y dividendos cobrados y por una revaluación del IRGA menor [10]. La caja cayó 202 M en el semestre porque el capital desplegado en compras y dividendos superó el flujo operativo, y la empresa avisa de que podría necesitar financiación externa según el tamaño de las compras; tras el 30-jun-26 tenía comprometidas adquisiciones por 818 M [10]. Mark Leonard dejó la presidencia el 25-sep-2025 [18].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(2022: Altera (negocio de hospitales y grandes consultas de Allscripts), 727 M, consolidado desde el 2-may-22; Adapt IT desde el 3-ene-22.; 2023: WideOrbit (504 M, feb-23, aportada a Lumine) y Optimal Blue (705 M, con pagaré de 500 M a 40 años): las mayores compras de la serie.).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(sin arrendamientos ni IRGA) pasó de 347 M en 2016 a 4.131 M en 2025 y 4.196 M a jun-26; el 64 % no tiene recurso a la matriz (2.642 M en Topicus, Lumine y otras filiales) [1, 8, 10]. La empresa presenta la caja menos deuda: -1.043 M en 2025 y -1.309 M a jun-26 [10, 11]. El circulante es estructuralmente negativo por los ingresos diferidos (2.214 M en 2025) [1]. El fondo de comercio e intangibles, 8.388 M, son el 52 % del activo; el fondo de comercio solo 1.781 M, porque la mayor parte del precio se asigna a tecnología y a relaciones con clientes, que se amortizan [1]. Coste de la deuda: 240 M de intereses de deuda y obligaciones entre 3.803 M de deuda media de 2024-2025 (estimación propia). Vida media: 8,6 años ponderando el principal por su vencimiento (4,6 sin el pagaré a 2063; estimación propia)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11.087</w:t>
      </w:r>
      <w:r>
        <w:t xml:space="preserve">, conversión </w:t>
      </w:r>
      <w:r>
        <w:rPr>
          <w:b/>
          <w:bCs/>
        </w:rPr>
        <w:t xml:space="preserve">264 %</w:t>
      </w:r>
      <w:r>
        <w:t xml:space="preserve"> del beneficio neto; adquisiciones 9.245, dividendos 1.274, recompras 0.</w:t>
      </w:r>
    </w:p>
    <w:p>
      <w:pPr>
        <w:spacing w:after="100"/>
      </w:pPr>
      <w:r>
        <w:t xml:space="preserve">El flujo operativo pasó de 491 M en 2016 a 2.732 M en 2025 (83 % del EBITDA de 2025), siempre después de impuestos; los intereses pagados se clasifican en financiación (212 M en 2025) [1, 8]. La inversión en inmovilizado es mínima (68 M, un 0,6 % de los ingresos) porque la I+D se lleva a gastos y el crecimiento sale de adquisiciones, que absorben la mayor parte de la caja: 9.245 M netos en 2016-2025 (compras menos caja adquirida más pagos aplazados) frente a 12.938 M de flujo operativo acumulado [1, 2, 3, 4, 5, 6, 7, 8]. La empresa no separa capex de mantenimiento y de crecimiento. Años anómalos: 2019, con un dividendo extraordinario de 424 M; 2025, con 580 M en compras de inversiones (sobre todo Asseco, 460 M en efectivo) fuera de la línea de adquisiciones [1, 7]. El FCFA2S (CFO menos intereses, arrendamientos, capex y revaluación del IRGA, más intereses cobrados y menos la parte de minoritarios) fue de 1.683 M en 2025 [11].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 (Vaughan, Canadá)</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KPMG firma las cuentas al menos desde el ejercicio 2016 (diez ejercicios revisados) y la junta de 2026 propuso reelegirla [1, 8, 18]. La cuestión clave de auditoría de 2025 es el reconocimiento de ingresos: separar los servicios profesionales como obligación distinta y estimar las horas pendientes en los contratos por grado de avance [1]. No hay pagos en acciones: los directivos deben invertir en acciones compradas en el mercado una parte de su bonus (en torno al 75 % después de impuestos) [18]. La I+D no se capitaliza [1]. El ruido contable está bajo el EBIT: revaluación del IRGA, preferentes de Lumine y, en 2025, la contabilidad de Asseco (35 M de ganancia inicial, 211 M a otro resultado global, 119 M de ingreso por el derivado y 260 M de pérdida al pasar a puesta en equivalencia) [1]. Los deterioros son pequeños (43 M en 2025) y las compras ventajosas recurrentes [1]. El 1T25 se reexpresó por Asseco [10].</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Revaluación del pasivo del IRGA en la cuenta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440 M en 2025 y 183 M en 2024, sin salida de caja inmediata; depende de las ganancias de Topicus y del euro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Contabilidad compleja de Asseco Poland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Ganancias a otro resultado global (211 M), derivado (119 M) y pérdida de 260 M en la cuenta al cambiar de método en 2025; asignación del precio todavía provisional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con datos no auditados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previos de las empresas compradas salen de información no auditada de los vendedores y se revisan a posteriori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atrapada en filiales con deuda sin recurso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1.307 M de la caja de jun-26 están en Topicus, Lumine y otras filiales con límites para repartirla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del 1T25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 M de ingresos financieros y +34 M de beneficio por Asseco, corregidos en las cuentas del 1T26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Incumplimiento administrativo de un covenant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 de 51 M de una filial en 2025, reclasificado a corto y subsanado con 2 M de caja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18,8 % · </w:t>
      </w:r>
      <w:r>
        <w:rPr>
          <w:b/>
          <w:bCs/>
        </w:rPr>
        <w:t xml:space="preserve">WACC</w:t>
      </w:r>
      <w:r>
        <w:t xml:space="preserve">: 9,1 %.</w:t>
      </w:r>
    </w:p>
    <w:p>
      <w:pPr>
        <w:spacing w:after="100"/>
      </w:pPr>
      <w:r>
        <w:t xml:space="preserve">La empresa mide su propia rentabilidad con un ROIC sobre el capital invertido por los accionistas (beneficio ajustado para bonus entre el capital propio invertido medio), que es la base del bonus de la cúpula junto al crecimiento de los ingresos netos; a los gestores de casi todos los grupos se les descuenta un tipo sin riesgo del 5 % fijado por el consejo [18]. Asigna el capital por la TIR esperada de cada compra frente a una tasa mínima después de impuestos [19]. El patrimonio atribuido es bajo (3.576 M en 2025) frente al beneficio porque la empresa reparte poco y paga las compras con su caja y con deuda de filiales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4.443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3.089 M a cierre de 2025 más 1.072 M disponibles en la línea de crédito de CSI (sin disponer) [1]. A 30-jun-26, caja de 2.886 M, de la que unos 1.307 M están en Topicus, Lumine y otras filiales con deuda sin recurso y con límites para subir fondos a la matriz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Fitch: BBB+ (senior notes) y BBB (obligaciones subordinadas); S&amp;P: BBB (senior notes), según el AIF de 2024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de CSI bajo el IRGA (opción de venta de Joday Group y otros sobre su participación en Topicus Coop) sumaba 1.234 M a cierre de 2025 (775 M a corto) y 1.186 M a 30-jun-26; está en euros y su revaluación pasa por la cuenta [1, 9]. Se asimila a deuda y no está dentro de la deuda financiera de esta tabla. Pagos aplazados de adquisiciones: 432 M en 2025 (224 M a corto) más contraprestación contingente [1]. Las obligaciones subordinadas (361 M de principal, vencimiento 2040) pagan el 8,6 % hasta mar-27 y después IPC + 6,5 %, con opción de venta del tenedor con cinco años de preaviso [1]. El pagaré de Optimal Blue (500 M, 7 %, vence en 2063) capitaliza intereses [1]. En 2025 una filial incumplió un covenant administrativo de un préstamo de 51 M, ya subsanado [1]. Garantías y avales: 104 M [1]. El 8,2 % de DerbySoft en manos de terceros se registra como pasivo [9].</w:t>
      </w:r>
    </w:p>
    <w:p>
      <w:pPr>
        <w:pStyle w:val="Heading1"/>
      </w:pPr>
      <w:r>
        <w:t xml:space="preserve">12. Asignación de capital</w:t>
      </w:r>
    </w:p>
    <w:p>
      <w:pPr>
        <w:pStyle w:val="Confianza"/>
        <w:spacing w:after="100"/>
      </w:pPr>
      <w:r>
        <w:t xml:space="preserve">Confianza: Alta</w:t>
      </w:r>
    </w:p>
    <w:p>
      <w:pPr>
        <w:spacing w:after="100"/>
      </w:pPr>
      <w:r>
        <w:t xml:space="preserve">Dividendo trimestral de 1 USD por acción (85 M al año), sin cambios en toda la serie, y uno extraordinario de 20 USD en 2019 [1, 7]. No hay recompras: el número de acciones (21,19 M) no ha cambiado desde 2016 [1, 8]. La prioridad declarada es invertir todo el FCFA2S en adquisiciones que superen la tasa mínima de rentabilidad; la empresa dice que podría usarlo para dividendos o recompras, pero ese no es su objetivo [10]. La caja de los grupos está nocionalmente a disposición de la sede, salvo la de filiales con deuda sin recurso (Topicus, Lumine) [19]. Los directivos invierten en acciones una parte del bonus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Topicus.com (fusión con TSS y salida a bolsa en la TSXV)</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acciones de Topicus; importe = total de compras del año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Topicus consolida con un 60,65 % de CSI; origina el pasivo del IRGA (1.234 M en 2025)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Altera (hospitales y grandes consultas de Allscripts)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sin recurso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Mantenimiento orgánico -19 % en 2T26; 301 M de ingresos y 55 M de FCFA2S en 1S26 [4, 10].</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WideOrbit (software de publicidad para medios), aportada a Lumine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273 M en caja más 222 M en acciones especiales de Lumine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acciones especiales y preferentes de Lumine generaron 597 M de gasto en 2023 y se convirtieron en acciones en mar-24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Optimal Blue (software hipotecario)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más pagaré de 500 M al 7 % a 40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relevantes publicados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Negocios de seguridad vial y aparcamiento de Conduent (Elovate y Trellint)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174 M en caja y 106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datos separados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Cipal Schaubroeck (software para administración local, Bélgica)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pago aplazado y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reciente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Asseco Poland, 24,84 % (vía Topicus)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460 M en caja más un derivado valorado en 119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260 M en la cuenta al pasar a puesta en equivalencia; valor contable 655 M a cierre de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Synchronoss Technologies (100 %) y DerbySoft (91,8 %)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recientes (feb-26 y jun-26) [9].</w:t>
            </w:r>
          </w:p>
        </w:tc>
      </w:tr>
    </w:tbl>
    <w:p>
      <w:pPr>
        <w:spacing w:after="160" w:before="0"/>
      </w:pPr>
    </w:p>
    <w:p>
      <w:pPr>
        <w:spacing w:after="100"/>
      </w:pPr>
      <w:r>
        <w:t xml:space="preserve">En 2016-2025 la empresa invirtió 9.245 M netos en adquisiciones y pagó 1.274 M en dividendos, frente a 12.938 M de flujo operativo acumulado, sin emitir acciones ni recomprarlas [1, 2, 3, 4, 5, 6, 7, 8]. La deuda financiera subió de 347 M a 4.131 M, casi toda en filiales sin recurso o en bonos a largo plazo [1, 8]. Los deterioros son pequeños: 43 M en 2025, 28 M en 2024 [1]. La contraprestación total de compras bajó de 2.609 M en 2023 a 1.579 M en 2025 y repuntó en 1S26 (1.700 M más 818 M comprometidos después) [1, 3, 9, 10]. La empresa no publica múltiplos pagados; en su prueba de deterioro usa múltiplos de mercado de 1,5 a 5,0 veces los ingresos recurrentes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Miller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(primer ejecutivo) y director de operaciones; presidente ejecutivo de Volaris y presidente del consejo de Lumine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Cofundó Trapeze Group en 1988, la primera compañía que compró CSI (1995), y lleva más de 30 años en CSI y Volaris [18]. Nombrado presidente el 25-sep-2025 tras la dimisión de Mark Leonard por salud [39]. Tiene 254.533 acciones de CSI (1,20 % del capital), 521.237 de Topicus y 806.261 de Lumine [18]. Renunció a salario y bonus desde el 1-ene-2026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Jamal Baksh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2003 como controller de Jonas y fue vicepresidente de finanzas de CSI antes de ser director financiero, cargo que MarketScreener data en 2013 [18, 42]. Consejero desde mayo de 2025 [18]. Remuneración 2025: 866.296 USD, de los que 463.012 USD de bonus van a compra de acciones [18]. Declaraba 1.811 acciones de CSI a 28-mar-2026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Billowits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CSI de 2003 a 2020: director financiero, presidente de la división Jonas Club y consejero delegado de Vela [18]. Antes, Bain &amp; Company, Dell y PwC [18]. Tenía 35.961 acciones de CSI a 28-mar-2026 [18] y vendió 1.200 el 28-ago-2026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Anzarouth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inversiones (Chief Investment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Forma parte del consejo asesor que se reúne con el consejo [18]. MarketScreener le atribuye 288.587 acciones (1,36 % del capital) [42].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 Bender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Harris Operating Group</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hasta mayo de 2025; ahora en el consejo asesor [18]. Remuneración 2025: 1,54 M USD, con 836.110 USD de bonus para comprar acciones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 Leonard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asesor (expresidente)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Fundó CSI en 1995 y fue su presidente hasta el 25-sep-2025, cuando dimitió por salud [39]. No se presentó a la reelección como consejero en la junta de 15-may-2026 y sigue como asesor centrado en la estrategia de participaciones minoritarias permanentes (PEMS) [37, 40]. Renunció a salario y bonus en 2023-2025 [18]. MarketScreener le atribuye 392.932 acciones (1,85 %) [42].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CSI no publica guía. Al nombrar a Miller (sept-2025), la dirección prometió una transición sin sobresaltos y seguir ejecutando el plan de negocio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ingresos de 6.516 M USD (+19 %), con crecimiento orgánico del 4 % (1 % a tipo de cambio constante); FCFA2S de 1.078 M USD frente a 730 M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Miller dijo que renunciaría a salario y bonus desde el 1-ene-2026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recoge la circular de 2026; el cobro de 2026 no se podrá comprobar hasta la circular de 2027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 renunció a salario y bonus (política descrita en la carta a los accionistas de abril de 2015) [18].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nula en 2023, 2024 y 2025 según la tabla resumen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CSI no da guía, así que la credibilidad se mide por la continuidad de su modelo. La sucesión fue interna e inmediata: Miller, con más de 30 años en el grupo, sustituyó a Leonard el mismo día de su dimisión por salud (25-sep-2025) [39]. Leonard dejó el consejo en mayo de 2026, pero sigue como asesor [37, 40]. El equipo es muy estable: Baksh lleva en CSI desde 2003 y Billowits estuvo de 2003 a 2020 [18]. La circular no describe ningún plan de sucesión formal, solo que el comité de remuneración lo supervisa [18]. La alineación es alta: Miller tiene el 1,20 % del capital y los directivos reinvierten el 75 % del bonus neto en acciones [18]. El crecimiento orgánico es bajo: 1 % a tipo constante en el 1S26 [10].</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Billowits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Lawrence Cunningham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RR. HH.</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Miller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(primer ejecutivo) y director de operaciones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Jamal Baksh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Kittel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Nombramientos y RR. HH.</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Claire Kennedy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Laurie Schultz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Pastor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(socio de EdgePoint)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RR. HH.</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Donna Parr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9,33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Leonard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asesor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392.932 acciones según MarketScreener; dejó el consejo en mayo de 2026 [37,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Anzarouth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(director de inversiones)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288.587 acciones según MarketScreener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Miller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y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254.533 acciones a 28-mar-2026 [18]; compró 275 el 26-sep-2025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Manulife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202.909 acciones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Dexter Salna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del grupo (consejo asesor, Perseus)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195.917 acciones [42]; exconsejero hasta mayo de 2025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Consejo de administración (9 consejeros)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295.628 acciones en total a 28-mar-2026, de ellas 254.533 de Miller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circular no menciona autocartera; 21.191.530 acciones en circulación a 28-mar-2026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Jamal Baksh (director financiero 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Billowits (presidente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Jamal Baksh (director financiero 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Barry Symons (consejero delegado de Jonas, consejo asesor)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retribución es solo salario y bonus anual en efectivo: no hay opciones, acciones restringidas ni variable a largo plazo [18]. El bonus es salario × factor de la compañía × factor individual. El factor de la compañía depende del ROIC (beneficio para el bonus entre el capital invertido medio, menos una tasa sin riesgo del 5 % fijada por el consejo) y del crecimiento de los ingresos netos. Si el ROIC no supera ese 5 %, no hay bonus [18]. Los directivos deben invertir el 75 % del bonus neto de impuestos en acciones, bloqueadas una media mínima de cuatro años [18]. La circular no menciona cláusulas de recuperación (clawback) y no hay política contra la cobertura de acciones [18]. Indemnizaciones: 12 meses para Miller y Bender, seis para McKay y ninguna para Baksh [18].</w:t>
      </w:r>
    </w:p>
    <w:p>
      <w:pPr>
        <w:pStyle w:val="Heading2"/>
      </w:pPr>
      <w:r>
        <w:t xml:space="preserve">Operaciones vinculadas, estructura de control y defensas</w:t>
      </w:r>
    </w:p>
    <w:p>
      <w:pPr>
        <w:spacing w:after="100"/>
      </w:pPr>
      <w:r>
        <w:t xml:space="preserve">CSI no tiene accionista de control: según la circular, nadie posee más del 10 % [18]. Hay una sola clase de acciones ordinarias, con un voto por acción [18]. Los consejeros se eligen cada año, uno a uno, y la política de mayoría obliga a dimitir a quien reciba más votos retenidos que a favor [18]. No hay límites de mandato: Kittel es consejero desde 2013 [18]. La operación vinculada relevante es el IRGA con el Joday Group, formado por los vendedores de TSS y directivos de Topicus. Joday tiene el 29,38 % de Topicus Coop y opciones de venta frente a CSI, incluida una por cambio de control [9, 10]. El consejero delegado de Topicus, Van Poelje, es uno de los directivos con remuneración publicada de CSI [18].</w:t>
      </w:r>
    </w:p>
    <w:p>
      <w:pPr>
        <w:pStyle w:val="Heading2"/>
      </w:pPr>
      <w:r>
        <w:t xml:space="preserve">Señales de alerta</w:t>
      </w:r>
    </w:p>
    <w:p>
      <w:pPr>
        <w:pStyle w:val="ListParagraph"/>
        <w:numPr>
          <w:ilvl w:val="0"/>
          <w:numId w:val="2"/>
        </w:numPr>
        <w:spacing w:after="60"/>
      </w:pPr>
      <w:r>
        <w:t xml:space="preserve">En la junta de 2025, el 15,48 % de los votos se retuvo contra John Billowits y el 9,77 % contra Robert Kittel; en 2026 bajó al 3,19 % y al 4,85 % [37, 38].</w:t>
      </w:r>
    </w:p>
    <w:p>
      <w:pPr>
        <w:pStyle w:val="ListParagraph"/>
        <w:numPr>
          <w:ilvl w:val="0"/>
          <w:numId w:val="2"/>
        </w:numPr>
        <w:spacing w:after="60"/>
      </w:pPr>
      <w:r>
        <w:t xml:space="preserve">Cambio de primer ejecutivo sin preaviso: Leonard dimitió por salud el 25-sep-2025 con efecto inmediato, días después de una conferencia con inversores sobre la IA [39].</w:t>
      </w:r>
    </w:p>
    <w:p>
      <w:pPr>
        <w:pStyle w:val="ListParagraph"/>
        <w:numPr>
          <w:ilvl w:val="0"/>
          <w:numId w:val="2"/>
        </w:numPr>
        <w:spacing w:after="60"/>
      </w:pPr>
      <w:r>
        <w:t xml:space="preserve">No hay código ético escrito a nivel de la matriz (solo en las filiales) ni política contra la cobertura de acciones [18].</w:t>
      </w:r>
    </w:p>
    <w:p>
      <w:pPr>
        <w:pStyle w:val="ListParagraph"/>
        <w:numPr>
          <w:ilvl w:val="0"/>
          <w:numId w:val="2"/>
        </w:numPr>
        <w:spacing w:after="60"/>
      </w:pPr>
      <w:r>
        <w:t xml:space="preserve">KPMG es el auditor desde 1995 (31 ejercicios) [18].</w:t>
      </w:r>
    </w:p>
    <w:p>
      <w:pPr>
        <w:pStyle w:val="ListParagraph"/>
        <w:numPr>
          <w:ilvl w:val="0"/>
          <w:numId w:val="2"/>
        </w:numPr>
        <w:spacing w:after="60"/>
      </w:pPr>
      <w:r>
        <w:t xml:space="preserve">El consejo bajó de 16 a 9 miembros en la junta de 2025: siete consejeros no se presentaron a la reelección [38].</w:t>
      </w:r>
    </w:p>
    <w:p>
      <w:pPr>
        <w:pStyle w:val="ListParagraph"/>
        <w:numPr>
          <w:ilvl w:val="0"/>
          <w:numId w:val="2"/>
        </w:numPr>
        <w:spacing w:after="60"/>
      </w:pPr>
      <w:r>
        <w:t xml:space="preserve">Ventas de directivos en 12 meses: unos 9,3 M USD y ninguna compra, según el agregador de SEDI [41].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Constellation no publica guía de resultados ni objetivos a medio plazo, y la carta del presidente tampoco da cifras [11, 45]. Lo único verificable que repite la dirección es su criterio de inversión: dedicar el flujo libre disponible para el accionista (FCFA2S: 2.031 M en los últimos 12 meses) a comprar negocios de software vertical que superen su tasa mínima de rentabilidad, y no recomprar acciones [10]. Después del 30-jun-2026 cerró o comprometió compras por 818 M [45]. El consenso de ingresos de 2026e (13.819 M, +18,9 %) supone que el ritmo de compras del primer semestre se mantiene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[48]; ingresos coinciden con Yahoo (13.819 M, 11 analistas)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[48]; ingresos coinciden con Yahoo (16.130 M, 11 analistas)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[48]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18.329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2.836,45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2.367,95 – 3.946,29</w:t>
            </w:r>
          </w:p>
        </w:tc>
      </w:tr>
    </w:tbl>
    <w:p>
      <w:pPr>
        <w:spacing w:after="160" w:before="0"/>
      </w:pPr>
    </w:p>
    <w:p>
      <w:pPr>
        <w:pStyle w:val="Heading2"/>
      </w:pPr>
      <w:r>
        <w:t xml:space="preserve">Revisiones de estimaciones</w:t>
      </w:r>
    </w:p>
    <w:p>
      <w:pPr>
        <w:spacing w:after="100"/>
      </w:pPr>
      <w:r>
        <w:t xml:space="preserve">En tres meses el consenso de ingresos de Yahoo apenas se mueve y el BPA de 2026e sube de 114,94 a 115,50 USD (+0,5 %), mientras el de 2027e baja de 134,83 a 131,97 USD (−2,1 %) [49]. El BPA de Yahoo (115,50 USD en 2026e) no es comparable con el de MarketScreener (58,36 USD): el primero parece ajustado (sin amortización de intangibles adquiridos ni revaluación del IRGA) y el segundo, NIIF [48, 49]. El precio objetivo medio es 4.048 CAD (2.836 USD) con 12 analistas en Yahoo y 2.839,92 USD en MarketScreener (12 analistas, consenso «comprar») [48, 49]. No hay serie gratuita de revisiones del EBITDA a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rPr>
          <w:b/>
        </w:rPr>
        <w:t xml:space="preserve">La mitad del valor se fue en nueve meses.</w:t>
      </w:r>
      <w:r>
        <w:t xml:space="preserve"> De máximos en mayo de 2025 al mínimo del 17-feb-2026 la acción cayó un 56,4 % en dólares canadienses [44]. Tres hechos lo explican: el miedo a que la IA generativa abarate el software vertical (el ETF de software IGV llegó a −18 % en el año en marzo de 2026) [32], la dimisión de Mark Leonard por salud el 25-sep-2025 [39] y un crecimiento orgánico que bajó al 1 % sin divisa en el 2T26, que costó un −6,8 % el día de resultados [31]. En 2026 rinde un −9,0 % frente al +12,5 % del S&amp;P/TSX; a diez años, aún un +17,6 % anual frente al +9,4 % [44]. La volatilidad (44,6 %) es la de una tecnológica pequeña, no la de un grupo de 45.000 M; la beta mensual en dólares frente al S&amp;P 500 (0,69) es baja porque la caída fue propia.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Constellation cotiza a 15,3 veces el EBITDA de los últimos 12 meses, el mínimo de su década (media de 21,3 veces, mínimo anterior de 16,2) y un 28 % por debajo de la media; el PER de 46,4 veces está un 27 % por debajo de su media (63,8). El descuento tiene causas estructurales: el ROIC ha bajado del 54-68 % de 2016-2018 al 21,7 % de 2025, porque las compras son cada vez mayores y más caras, y el orgánico se ha frenado [1]. Pero ese ROIC sigue más de doce puntos por encima del WACC. El PER es poco útil: la amortización de intangibles adquiridos (≈1.200 M) y la revaluación del IRGA deprimen el beneficio contable.</w:t>
      </w:r>
    </w:p>
    <w:p>
      <w:pPr>
        <w:pStyle w:val="Heading1"/>
      </w:pPr>
      <w:r>
        <w:t xml:space="preserve">18. Comparables cotizados</w:t>
      </w:r>
    </w:p>
    <w:p>
      <w:pPr>
        <w:pStyle w:val="Confianza"/>
        <w:spacing w:after="100"/>
      </w:pPr>
      <w:r>
        <w:t xml:space="preserve">Confianza: Media</w:t>
      </w:r>
    </w:p>
    <w:p>
      <w:pPr>
        <w:spacing w:after="100"/>
      </w:pPr>
      <w:r>
        <w:t xml:space="preserve">Nueve compañías de software vertical o de compras de software: las dos filiales cotizadas de Constellation (Topicus y Lumine), dos compounders de software con estrategia de compras (Roper y Vitec), Enghouse (compras de software en Canadá), y cuatro líderes de software vertical en EE. UU. y Canadá (Tyler, Bentley, Guidewire y Descartes) [50]. Topicus y Lumine son el referente más directo, aunque no independiente. Se excluyó Lagercrantz por industrial. Los EBITDA de Tyler, Bentley, Guidewire y Descartes se ponen en la misma base que el de Constellation, restando los pagos en acciones [50,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Topicus.com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Lumine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Tyler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Guidewire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Descartes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Enghouse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Vitec Software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13,3x / 19,1x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3.443,35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 / 15,5x / 22,9x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1.767,30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3.362,03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 / 29,4x / 32,3x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 / 5,7x / 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2.221,80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3.003,23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3.808,52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(9 comparables): múltiplo = 11,9 + 0,57 × crecimiento; R² = 0,09. El crecimiento explica poco los múltiplos de estos comparables (R² &lt; 0,3): la regresión no se usa en la valoración.</w:t>
      </w:r>
    </w:p>
    <w:p>
      <w:pPr>
        <w:spacing w:after="100"/>
      </w:pPr>
      <w:r>
        <w:t xml:space="preserve">Constellation cotiza a 12,5 veces el EBITDA de los próximos 12 meses, por debajo de la mediana de 13,3 veces, pese a crecer más (17,9 % frente a 11,4 %, casi todo comprado) con un margen algo menor (27,6 % frente a 30,2 %). Sus propias filiales cotizan parecido: Topicus a 12,8 veces y Lumine a 9,8 [50]. La mediana de EV/EBITDA y PER da 2.027,51 USD (−3,7 %). La muestra es frágil: va de Enghouse, que decrece y cotiza a 5,4 veces, a Guidewire, a 56,2 veces, y la mediana se mueve de 13,1 a 15,2 veces según el comparable que se quite. El múltiplo sirve para decir que Constellation no está cara frente al software vertical, no para fijar su valor: el mercado no paga por su crecimiento comprado.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Weave Communications (software vertical para clínicas dentales y médicas)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Francisco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del 34 % sobre el cierre del 17-ago-2026; EV/ventas de 12 meses a jun-2026 interpolado del rango de Jefferies (2,0x-3,0x = 6,60-9,51 USD por acción) con el precio de 7,40 USD (estimación propia) [53].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MeridianLink (software vertical de préstamos para bancos y cooperativas)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Centerbridge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estimado: 20,00 USD × 73,87 M de acciones + deuda de 470 M − caja de 91,6 M; sobre un EBITDA ajustado de 12 meses de 133 M (estimación propia con las cifras del proxy)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NCR Digital Banking (software de banca digital)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Veritas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ajustado de 12 meses calculado por Centerview; EBITDA cargado con costes corporativos asignados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Computer Services, Inc. (software para bancos)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Centerbridge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ajustado de 12 meses calculado por Centerview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 Knight (software hipotecario)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inicial; EV/EBITDA ajustado de 12 meses calculado por Centerview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Bottomline Technologies (software de pagos para empresas y bancos)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 Bravo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ajustado de 12 meses calculado por Centerview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CoreLogic (datos y software inmobiliario)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Point Capital e Insight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ajustado de 12 meses calculado por Centerview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Ellie Mae (software hipotecario)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seis años antes de la fecha de corte; EV/EBITDA ajustado calculado por Centerview [52].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15,5x (14,3x – 20,0x)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2.137,21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1.944,04 – 2.885,26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Siete operaciones de software vertical de 2019-2026 con múltiplo publicado, casi todas compras de capital privado de empresas de software financiero analizadas por Centerview en la opinión sobre MeridianLink: mediana de 15,5 veces el EBITDA y prima del 34 % [52, 53]. Dan 2.137,21 USD por acción (+1,5 %). Para Constellation tienen otra lectura: son los precios contra los que compite al comprar. Sus compras pequeñas se hacen a múltiplos mucho menores (≈1,3 veces las ventas en 2025, estimación propia con las compras y el crecimiento adquirido), pero las grandes (Altera, DerbySoft, Synchronoss) se acercan a los de capital privado [1, 9]. Con 45.000 M de capitalización y un accionariado disperso, una opa no es realista.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Constellation crece comprando: de 2016 a 2025 los ingresos pasaron de 2.125 a 11.623 M (20,8 % anual), con un orgánico del 2-4 % y el resto adquirido [1, 11]. El DCF lo trata así: 2026e +18,9 % (fijo: dos trimestres publicados con +19 % y el consenso en 13.819 M) [9, 48]; luego el crecimiento baja de 14 % en 2027e a 5 % en 2035e, con un orgánico del 3 % y un crecimiento comprado que se reduce de 11 a 2 puntos a medida que el tamaño hace más difícil reinvertir todo el flujo libre. El consenso da +16,7 % en 2027e y +13,6 % en 2028e [48], algo más que nosotros.</w:t>
      </w:r>
    </w:p>
    <w:p>
      <w:pPr>
        <w:keepNext/>
        <w:spacing w:after="100"/>
      </w:pPr>
      <w:r>
        <w:rPr>
          <w:b/>
          <w:bCs/>
        </w:rPr>
        <w:t xml:space="preserve">Márgenes.</w:t>
      </w:r>
    </w:p>
    <w:p>
      <w:pPr>
        <w:spacing w:after="100"/>
      </w:pPr>
      <w:r>
        <w:t xml:space="preserve">Margen EBITDA del 28,0 % todos los años, el de 2025 (28,2 %) y por debajo del 31 % de 2020 [1]. Las compras recientes tienen márgenes menores (Altera, en hospitales) y la IA puede bajar costes de desarrollo y soporte, pero no hay datos para suponer ninguna de las dos cosas; el consenso da un 27,2 % en 2026e y un 27,4 % en 2027e [48].</w:t>
      </w:r>
    </w:p>
    <w:p>
      <w:pPr>
        <w:keepNext/>
        <w:spacing w:after="100"/>
      </w:pPr>
      <w:r>
        <w:rPr>
          <w:b/>
          <w:bCs/>
        </w:rPr>
        <w:t xml:space="preserve">Inversión y circulante.</w:t>
      </w:r>
    </w:p>
    <w:p>
      <w:pPr>
        <w:spacing w:after="100"/>
      </w:pPr>
      <w:r>
        <w:t xml:space="preserve">La clave del modelo: las adquisiciones son la inversión. Cada punto de crecimiento comprado cuesta ≈1,3 veces las ventas adquiridas (estimación propia: en 2025 compró por 1.579 M y el crecimiento no orgánico fue de ≈11,5 puntos, ≈1.160 M de ventas) [1, 11]. El capex del DCF suma esas compras, el capex propio (0,6 %) y las altas de derechos de uso (≈1 %): 18,0 % de las ventas en 2026e, que baja al 5,5 % en 2035e. La amortización, sobre todo de intangibles adquiridos (11,9 % de las ventas en 2025), converge al capex. El circulante es negativo (−18 % de las ventas: cobra el mantenimiento por adelantado).</w:t>
      </w:r>
    </w:p>
    <w:p>
      <w:pPr>
        <w:keepNext/>
        <w:spacing w:after="100"/>
      </w:pPr>
      <w:r>
        <w:rPr>
          <w:b/>
          <w:bCs/>
        </w:rPr>
        <w:t xml:space="preserve">Coste del capital.</w:t>
      </w:r>
    </w:p>
    <w:p>
      <w:pPr>
        <w:spacing w:after="100"/>
      </w:pPr>
      <w:r>
        <w:t xml:space="preserve">Tasa libre del 5,22 %, el Tesoro de EE. UU. a 10 años del 8-oct-2026, porque los flujos están en dólares [47]. Beta de 0,79: la mensual a 5 años de la acción en dólares frente al S&amp;P 500 (0,69), ajustada por Blume; la semanal da 0,86 [44]. Prima de mercado del 5,5 %, sin prima adicional (vende en EE. UU., Europa y Canadá). Coste de la deuda del 6,3 % y un 9,4 % de deuda a valor de mercado. WACC del 9,11 %; con la prima implícita del mercado (4,20 %), el 8,18 % [54].</w:t>
      </w:r>
    </w:p>
    <w:p>
      <w:pPr>
        <w:keepNext/>
        <w:spacing w:after="100"/>
      </w:pPr>
      <w:r>
        <w:rPr>
          <w:b/>
          <w:bCs/>
        </w:rPr>
        <w:t xml:space="preserve">Valor terminal.</w:t>
      </w:r>
    </w:p>
    <w:p>
      <w:pPr>
        <w:spacing w:after="100"/>
      </w:pPr>
      <w:r>
        <w:t xml:space="preserve">Crecimiento a perpetuidad del 3,0 %: inflación esperada en dólares de unos 2,5 % y un orgánico real pequeño, por debajo de la tasa libre menos medio punto (4,72 %). Supone que, en el largo plazo, Constellation crece como su orgánico y deja de reinvertir con prima. El múltiplo de salida implícito es de 10,7 veces el EBITDA, por debajo de los 15,3 veces de hoy y de la mediana de los comparables.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2.484,20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3.739,82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1.934,29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2.161,85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2.303,57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2.862,51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3.278,70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 M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2031e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(hoy: 7,9 %)</w:t>
            </w:r>
          </w:p>
        </w:tc>
      </w:tr>
    </w:tbl>
    <w:p>
      <w:pPr>
        <w:spacing w:after="160" w:before="0"/>
      </w:pPr>
    </w:p>
    <w:p>
      <w:pPr>
        <w:spacing w:after="100"/>
      </w:pPr>
      <w:r>
        <w:t xml:space="preserve">La proyección no necesita inversión neta de la amortización (reinversión acumulada de -2.348 M, con un capex bruto medio del 10,5 % de las ventas). En un negocio de activos ligeros, el crecimiento medio del 10,1 % tiene que salir de subir precios y de ganar volumen sin capital nuevo, y la prueba es el poder de precios y la cuota (8,3 % del mercado en 2031e, frente al 7,9 %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2-4 % (la empresa no separa precio y volumen) y compras del 1S26 más 818 M comprometidos después [9, 11, 45].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como en 2024-2025 y compras de ≈2.000 M, el FCFA2S de un año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compras crecen menos que el grupo: el crecimiento comprado baja [1].</w:t>
            </w:r>
          </w:p>
        </w:tc>
      </w:tr>
    </w:tbl>
    <w:p>
      <w:pPr>
        <w:spacing w:after="160" w:before="0"/>
      </w:pPr>
    </w:p>
    <w:p>
      <w:pPr>
        <w:spacing w:after="100"/>
      </w:pPr>
      <w:r>
        <w:t xml:space="preserve">El crecimiento del caso base (10,1 % anual de media) es, sobre todo, comprado. Ese tramo es financiable: comprar el 11 % de crecimiento de 2027e cuesta unos 2.000 M (1,3 veces las ventas que compra), lo mismo que el FCFA2S de un año (2.031 M) [10]. El orgánico es lo que flojea: del 2-4 % en 2024-2025 bajó al 1 % sin divisa en el 2T26, el más bajo de la década, y las licencias caen [10, 11]. El foso de cada nicho y el 74,9 % de ingresos recurrentes sostienen un 3 % orgánico, pero no lo garantizan con la IA. La cuota del mercado de software vertical apenas sube (del 7,9 % al 8,3 % en 2031e). Por eso el crecimiento baja del 14 % al 5 % y el bajista quita 4 puntos al año.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 (base: 9,1 %)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 (base: 28,0 %)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 (WACC: 9,1 %)</w:t>
            </w:r>
          </w:p>
        </w:tc>
      </w:tr>
    </w:tbl>
    <w:p>
      <w:pPr>
        <w:spacing w:after="160" w:before="0"/>
      </w:pPr>
    </w:p>
    <w:p>
      <w:pPr>
        <w:spacing w:after="100"/>
      </w:pPr>
      <w:r>
        <w:t xml:space="preserve">El DCF da 2.484,20 USD por acción (3.545 CAD), un 18,0 % por encima del precio, con un 66 % del valor en el terminal. </w:t>
      </w:r>
      <w:r>
        <w:rPr>
          <w:b/>
        </w:rPr>
        <w:t xml:space="preserve">El precio descuenta una Constellation que sigue comprando, pero menos que antes.</w:t>
      </w:r>
      <w:r>
        <w:t xml:space="preserve"> El DCF inverso dice que, con nuestros márgenes y la misma relación entre crecimiento comprado e inversión, los 2.104,75 USD de hoy suponen un crecimiento anual del 7,4 % de 2027e a 2035e, frente al 9,1 % de nuestro caso base y al 20,8 % de la década pasada; o, con nuestro crecimiento, un margen EBITDA del 25,1 % en vez del 28,0 %. Comprar a este precio rinde un 9,9 % anual si se cumple el caso base, apenas por encima del WACC del 9,1 %. No es un precio exigente para el historial de la empresa, pero tampoco una ganga: el valor depende de que el orgánico no pase a negativo y de que las compras sigan rindiendo por encima del coste de capital. Cada punto menos de crecimiento anual quita unos 223 USD por acción (−9 %).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generativa abarata el software a medida y los clientes renegocian el mantenimiento: el orgánico pasa a negativo (como el −19 % de Altera en el 2T26 o las licencias, −8 % en 2025) [10, 11], y la competencia del capital privado sube los precios de compra y baja el capital desplegado. Crecimiento 4 puntos menor cada año, margen EBITDA del 25 % y crecimiento a perpetuidad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2.484,20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3 % y compras que bajan poco a poco del 11 % al 2 % del crecimiento: ingresos +9,1 % de media en 2027-2035 con un margen EBITDA del 28 %, el de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3.131,17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orgánico vuelve al 4-5 % de 2021-2022, la IA baja los costes de desarrollo y soporte de unos 1.700 M de I+D anual, y el capital desplegado sube con compras grandes a buenos precios. Crecimiento 2 puntos mayor y margen del 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104,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2.297,67 USD (+9,2 %).</w:t>
      </w:r>
    </w:p>
    <w:p>
      <w:pPr>
        <w:spacing w:after="100"/>
      </w:pPr>
      <w:r>
        <w:t xml:space="preserve">La asimetría es justa con nuestro coste de capital: el alcista vale 3.131,17 USD (+48,8 %) y el bajista 1.220,49 (−42,0 %), una asimetría de 1,16 veces. El bajista no es cosmético: si el orgánico se vuelve negativo, el modelo de compras también se resiente, porque las empresas que compra pierden valor y el flujo libre que reinvierte baja. La caída de 2025-2026 ya llevó la acción a 2.196 CAD en febrero, cerca de ese escenario [44]. Con la prima de riesgo que pide hoy el mercado (4,20 %), la asimetría mejora a 2,81 veces y el valor objetivo sube a 2.710,71 USD. El valor ponderado por probabilidad es de 2.297,67 USD.</w:t>
      </w:r>
    </w:p>
    <w:p>
      <w:pPr>
        <w:pStyle w:val="Heading1"/>
      </w:pPr>
      <w:r>
        <w:t xml:space="preserve">22. Suma de partes</w:t>
      </w:r>
    </w:p>
    <w:p>
      <w:pPr>
        <w:pStyle w:val="Confianza"/>
        <w:spacing w:after="100"/>
      </w:pPr>
      <w:r>
        <w:t xml:space="preserve">Confianza: Alta</w:t>
      </w:r>
    </w:p>
    <w:p>
      <w:pPr>
        <w:spacing w:after="100"/>
      </w:pPr>
      <w:r>
        <w:t xml:space="preserve">No aplica: Constellation reporta un único segmento (NIIF 8) y sus seis grupos operativos no publican cifras propias; Topicus y Lumine, las dos filiales cotizadas, entran en el puente con los minoritarios a valor de mercado [19, 44].</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104,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2.860,05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3.946,29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2.885,26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3.457,10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2.104,75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2.115,27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2.297,67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objetivo ponderado:</w:t>
      </w:r>
      <w:r>
        <w:t xml:space="preserve"> 2.320,86 USD (+10,3 % sobre 2.104,75).</w:t>
      </w:r>
    </w:p>
    <w:p>
      <w:pPr>
        <w:spacing w:after="100"/>
      </w:pPr>
      <w:r>
        <w:t xml:space="preserve">Pesos: DCF 50 %, comparables 20 %, escenarios 20 %, transacciones 10 % y suma de partes 0 %. El DCF manda porque es el único método que separa el crecimiento comprado de su coste: los múltiplos tratan igual a una empresa que crece un 18 % comprando que a otra que crece igual sin invertir. Los comparables pesan menos (20 %) por la fragilidad de la muestra, y las transacciones (10 %) porque son el precio al que compite Constellation al comprar, no una opa probable. La dispersión es moderada: de 2.027,51 USD (comparables) a 2.484,20 USD (DCF), con el precio dentro del rango. El valor objetivo es de 2.320,86 USD (3.312,20 CAD).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tras el 1 % sin divisa del 2T26 y capital desplegado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completos y carta anual del presidente (la primera sin Mark Leonard)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explica Mark Miller la estrategia de compras y la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grandes (como Altera o DerbySoft)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puede reinvertir el flujo libre a buenos precios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Evolución del mantenimiento de Altera (−19 % orgánico en el 2T26)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más grande de los últimos años; su caída arrastra el orgánico del grupo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sin Leonard en el consejo; votos de los consejeros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Posible escisión de otro grupo operativo (como Topicus y Lumine)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Revelaría valor de un grupo por separado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erosiona el software vertical (menos barreras de entrada, presión sobre el mantenimiento)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1.220,49 USD, −51 %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crítico con datos propios y clientes pequeños que no desarrollan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negativo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Menor rentabilidad de las compras al hacerse más grandes y competir con el capital privado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menos de crecimiento anual quita ≈223 USD (−9 %)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de tasa mínima y miles de compras pequeñas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por debajo del 18 % o capital desplegado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sin Mark Leonard en el día a día ni en el consejo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Retrasa el ritmo de compras del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Miller dirigió Volaris; estructura descentralizada en seis grupos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Salidas en la dirección de los grupos operativos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Altera y las compras grandes en sectores en declive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Altera aporta 301 M de ingresos semestrales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pequeño en el grupo (≈5 % de los ingresos)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Mantenimiento de Altera por debajo de −10 % orgánico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 del IRGA con Joday a mercado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 la cotización de Topicus, ≈55 USD por acción menos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pasivo se liquida por fórmula, no a mercado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de la opción de venta de Joday</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y coste de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del 10,1 %: el DCF baja a 2.040,07 USD (−18 %)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ajustada de 1,3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Tesoro a 10 años por encima del 5,75 %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cuentas en dólares y cotización en dólares canadienses; el 35 % de las ventas en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Mueve el orgánico 1-2 puntos al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en las mismas divisas que los ingresos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Dólar fuerte frente al euro y la libra</w:t>
            </w:r>
          </w:p>
        </w:tc>
      </w:tr>
    </w:tbl>
    <w:p>
      <w:pPr>
        <w:spacing w:after="160" w:before="0"/>
      </w:pPr>
    </w:p>
    <w:p>
      <w:pPr>
        <w:pStyle w:val="Heading2"/>
      </w:pPr>
      <w:r>
        <w:t xml:space="preserve">Pre-mortem</w:t>
      </w:r>
    </w:p>
    <w:p>
      <w:pPr>
        <w:spacing w:after="100"/>
      </w:pPr>
      <w:r>
        <w:t xml:space="preserve">Octubre de 2029: la acción ha caído un 40 %, a unos 1.260 USD (1.800 CAD). La historia más probable empieza en 2027: los asistentes de programación permiten a los clientes medianos de los verticales de Constellation (municipios, concesionarios, clubes) migrar a software genérico configurado con IA, y el mantenimiento empieza a perder un 1-2 % orgánico al año. Las empresas que compra pierden valor y los vendedores lo saben: los precios no bajan tanto como su crecimiento, y la dirección, sin la voz de Leonard en el consejo, responde con compras grandes a precios de capital privado para mantener el capital desplegado. El ROIC baja del 21,7 % al 13 %, cerca del WACC, y el mercado deja de pagar prima por la reinversión: el múltiplo baja a 10 veces el EBITDA, como Enghouse o Vitec. El indicador que lo habría anticipado: el orgánico sin divisa del 2T26 (1 %) y el −19 % de Altera.</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ESG que más mueven las cifras son tres. Capital humano: con unos 64.000 empleados a cierre de 2024 [19], el personal es el principal coste [11], y la retención de los directivos de las empresas compradas es central en el modelo [19]; el bonus obliga a reinvertir entre el 25 % y el 75 % en acciones bloqueadas [19]. Ciberseguridad y privacidad: sus clientes son administraciones, hospitales y entidades financieras, y la empresa señala riesgos de privacidad, ciberseguridad, sesgo e infracción de propiedad intelectual ligados a la IA [11]. Gobierno: tres mujeres en el consejo (30 %) [18], estructura de supervoto en Topicus y Lumine [19] y relevo del fundador [33, 34]. La huella de carbono de un negocio de software es pequeña y no la hemos visto cuantificada. Publica un informe fiscal por países (CbCR) del ejercicio 2025 [36].</w:t>
      </w:r>
    </w:p>
    <w:p>
      <w:pPr>
        <w:pStyle w:val="Heading2"/>
      </w:pPr>
      <w:r>
        <w:t xml:space="preserve">Controversias</w:t>
      </w:r>
    </w:p>
    <w:p>
      <w:pPr>
        <w:spacing w:after="100"/>
      </w:pPr>
      <w:r>
        <w:t xml:space="preserve">No hemos encontrado sanciones ni litigios relevantes en los últimos tres años: la nota de contingencias de 2025 dice que los pleitos del curso normal no tendrán un efecto material [21]. En 2025 una filial incumplió una condición financiera de un préstamo de 51 M USD, que se reclasificó a corto plazo [21].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mantenimiento ha perdido o renegociado precio por alternativas con IA, y en qué verticales?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sin divisa bajó al 1 % en el 2T26; es la variable que separa el base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de las 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tasa interna de rentabilidad han dado las compras de más de 250 M de los últimos cinco años frente a la tasa mínima?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ha bajado del 54-68 % al 21,7 % y las compras grandes se pagan a precios de capital privado.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cae un 19 % el mantenimiento de Altera y qué plan hay?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compra reciente y arrastra el orgánico del grupo.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desplegado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flujo libre espera poder reinvertir al año en 2027-2028 y a qué precios?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compras que bajan del 11 % al 2 % del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IRGA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pasa con el pasivo del IRGA si Joday ejerce su opción de venta y a qué valor se liquidaría?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mercado vale 1.161 M más que en libros, ≈55 USD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papel tendrá Mark Leonard en la estrategia de participaciones minoritarias (PEMS) y quién decide las compras grandes?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salida coincide con la mayor caída de la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y 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¿Recompraría acciones si el precio cae por debajo de su valor intrínseco, en vez de comprar empresas?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 recomprado nunca y el precio está en el mínimo de su década en EV/EBITDA.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 en la televisión financiera canadiense)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Quince opiniones del 7-jul al 5-oct-2026: ocho de compra (cuatro claras, dos en caídas y dos débiles), tres antiguas favoritas, dos a la espera, una de mantener y una de no comprar; casi todos creen que el miedo a la IA está exagerado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Canada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la IA y la salida de Mark Leonard ya descontadas y la presenta como compra a contracorriente; recuerda que la negativa de Mark Miller a dar objetivos de IA decepcionó al mercado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Motley Fool Canada (tras los resultados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caída del 6,8 % tras el 2T26 abrió el debate sobre si es una oportunidad o el principio de una erosión del orgánico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y el software vertical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añadió como riesgo en 2025, pero el orgánico sigue positivo (1 % sin divisa en el 2T26) y la caída se concentra en Altera.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los datos: 15,3 veces el EBITDA, el mínimo de su década; el DCF inverso pide un 7,4 % anual.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y transparencia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 dimitió en septiembre de 2025 y dejó el consejo en mayo; Miller no da objetivos ni guía, como siempre en la casa.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Ritmo de 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Respaldado: 1.700 M desplegados en el 1S26 y 818 M comprometidos después del balance.</w:t>
            </w:r>
          </w:p>
        </w:tc>
      </w:tr>
    </w:tbl>
    <w:p>
      <w:pPr>
        <w:spacing w:after="160" w:before="0"/>
      </w:pPr>
    </w:p>
    <w:p>
      <w:pPr>
        <w:spacing w:after="100"/>
      </w:pPr>
      <w:r>
        <w:t xml:space="preserve">Los gestores que comentan en la televisión canadiense son mucho más optimistas que el precio: ocho de quince recomiendan comprar y casi todos ven exagerado el miedo a la IA [57]. Coincide con la opinión del consenso de analistas (11 de 12 en compra), así que no es una visión contraria: el pesimismo está en el precio, no en los comentarios. Sirve de aviso: si el orgánico del 3T26 sale negativo, la decepción será mayor. Los foros de particulares (Reddit, Stockhouse, Stocktwits) no se pudieron leer.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21 controles correctos y 4 explicados. Fuentes: 58 (36 primarias); citas distintas en el texto: 58.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77,0 %: explica la causa (créditos fiscales, regularizaciones, mezcla de países) y no lo proyectes en el DCF. Explicación: La revaluación del pasivo del IRGA y otras partidas bajo el EBIT no son deducibles: el tipo efectivo sale del 77 %. No se proyecta: el DCF usa un 25 % sobre el EBIT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37,6 %: explica la causa (créditos fiscales, regularizaciones, mezcla de países) y no lo proyectes en el DCF. Explicación: Mismo motivo: 440 M de revaluación del IRGA y la pérdida de Asseco sin efecto fiscal pleno dejan el tipo en el 37,6 % (353 M sobre 939 M)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8,3 % en 2031e frente al 7,9 %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-18,0 % frente a -18,6 % real: genera una variación de circulante de -321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0,09: el crecimiento no explica los múltiplos de estos comparables; no uses el valor de la regresión. Explicación: Con Guidewire (76 veces el EBITDA) y Enghouse (5 veces) en la muestra, el crecimiento no explica los múltiplos (R² = 0,09);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13,1x a 15,2x según qué comparable se quite (2.225,05 a 2.658,00 por acción): la muestra es frágil; explícalo y no le des mucho peso. Explicación: La mediana del EV/EBITDA de los próximos 12 meses va de 13,1 a 15,2 veces según el comparable que se quite; por eso los comparables pesan solo un 20 % y el texto lo dice.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fuentes (36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(transcripciones de las conferencias del 4T25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solo audio de la retransmisión, sin transcripción; 2) financialfilings.com y GuruFocus: 403; 3) Seeking Alpha (transcripción del 2T26):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MD&amp;A y estados financieros no citan consenso; 2) la empresa no da guía; 3) resúmenes de prensa de las conferencias no accesibles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adquisiciones[].ev_ebitda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4 de combinaciones de negocios (2021-2025): no publica EBITDA de las compradas; 2) MD&amp;A de cada año: tampoco; 3) solo hay ingresos pro forma del año de compra, no un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Mordor Intelligence (solo da 2025 y previsiones); 2) Grand View Research vía GII (solo 2024 y previsión); 3) búsqueda de otras series (Technavio, MarketIntelo) con definiciones incompatibles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Mordor Intelligence (da los diez mayores ≈ 35 %, no los cinco); 2) Grand View Research (sin cuotas); 3) derivarlo con ingresos de los comparables: el perímetro de los informes no lo permite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Sustainalytics de la empresa (no muestra datos sin JavaScript); 2) KnowESG (HTTP 403); 3) búsqueda web: solo resúmenes del buscador, no utilizables como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 / voto_remuneracion_contra_pct (voto consultivo sobre retribución, juntas 2024-2026)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SEDAR+ (informe de resultados de votación): 403 Forbidden con el navegador integrado; 2) notas de prensa de las juntas de 2025 y 2026: solo publican la votación de consejeros; 3) financialfilings.com (copia de los documentos de SEDAR+) y búsqueda web: 403 y ningún resultado con el recuento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(registro oficial SEDI)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www.sedi.ca con el navegador: bloqueo antibot de Radware; 2) canadianinsider.com: 403; 3) agregador InsiderTrades.com (datos de SEDI): usado como fuente secundaria, sin las compras automáticas del bonus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remuneracion_ceo.ratio_salario_medio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circular de 2026: no publica el ratio; 2) MD&amp;A del 2T26: gasto de personal sin plantilla media; 3) no hay plantilla de 2025 en los documentos leídos (informe anual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participacion_pct de Bender, Van Poelje y McKay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circular de 2026: solo da las acciones de los candidatos a consejero; 2) circular de 2025: no está en la web (404 en las URL probadas); 3) MarketScreener: no los lista entre los principales accionistas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Finance quoteSummary de CSU.TO (no publica posición corta para valores canadienses); 2) informes de posiciones cortas de la TSX/CIRO (no hay descarga gratuita por valor sin registro); 3) MarketScreener (no lo publica)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finanzas (solo estimaciones actuales); 2) Yahoo earningsTrend (revisiones del BPA a 7-90 días, no del EBITDA); 3) búsqueda web (sin series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 las operaciones de la tabla de Centerview</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de MeridianLink (solo publica el múltiplo); 2) proxy de Weave (solo la mediana de EV/ventas); 3) no se recalculó con los proxies de cada operación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(r/CanadianInvestor, r/ValueInvesting): bloqueado para la lectura automática; 2) Stockhouse (bullboard de CSU): 403; 3) búsqueda de comentarios de 2026: Getquin sin fecha verificable y artículos sin comentarios visibles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years ended December 31, 2025 and 2024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https://www.csisoftware.com/wp-content/uploads/2026/04/CSI-Financial-Statement-Q425-Final.pdf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years ended December 31, 2024 and 2023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https://www.csisoftware.com/wp-content/uploads/2026/03/CSI-Financial-Statements-Q424-Final.pdf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years ended December 31, 2023 and 2022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https://www.csisoftware.com/wp-content/uploads/2026/04/CSI-Financial-Statements-Q423-Final.pdf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years ended December 31, 2022 and 2021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https://www.csisoftware.com/wp-content/uploads/2026/04/CSI-Financial-Statements-Q422-Final.pdf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years ended December 31, 2021 and 2020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https://www.csisoftware.com/wp-content/uploads/2026/04/CSI-Financial-Statements-Q421-Final.pdf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years ended December 31, 2020 and 2019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https://www.csisoftware.com/wp-content/uploads/2026/04/csi-financial-statements-q420-final.pdf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years ended December 31, 2019 and 2018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https://www.csisoftware.com/wp-content/uploads/2026/04/csi-financial-statements-q419-final.pdf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years ended December 31, 2017 and 2016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https://www.csisoftware.com/wp-content/uploads/2026/04/csi-financial-statements-q417-final.pdf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Unaudited Condensed Consolidated Interim Financial Statements, three and six months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https://www.csisoftware.com/wp-content/uploads/2026/08/CSI-Financial-Statement-Q226-Final.pdf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Q2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https://www.csisoftware.com/wp-content/uploads/2026/08/CSI-MDA-Q2-2026-Final.pdf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Q4 and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https://www.csisoftware.com/wp-content/uploads/2026/04/CSI-MDA-Q4-2025-Final.pdf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Q3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https://www.csisoftware.com/wp-content/uploads/2026/04/CSI-MDA-Q3-2025-Final.pdf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Q2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https://www.csisoftware.com/wp-content/uploads/2026/04/CSI-MDA-Q2-2025-Final.pdf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https://www.csisoftware.com/wp-content/uploads/2026/04/CSI-MDA-Q1-2025-Final.pdf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Q4 and year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https://www.csisoftware.com/wp-content/uploads/2026/03/CSI-MDA-Q4-2024-Final.pdf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Q3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https://www.csisoftware.com/wp-content/uploads/2026/04/CSI-MDA-Q3-2024-Final.pdf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https://www.csisoftware.com/wp-content/uploads/2026/05/CSI-MDA-Q1-2026-Final.pdf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Information Circular 2026 (junta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https://www.csisoftware.com/wp-content/uploads/2026/04/MIC-EN-2026.pdf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Information Form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https://www.csisoftware.com/wp-content/uploads/2026/04/2024-Annual-Information-Form-Final.pdf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Form Prospectus, Unsecured Subordinated Floating Rate Debentures Series 1 due 2040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https://www.csisoftware.com/wp-content/uploads/2026/04/csi-final-prospectus-eng.pdf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Q4 2025 (estados financieros anuales 2025 con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https://www.csisoftware.com/wp-content/uploads/2026/04/Q4-2025-Shareholder-Report.pdf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Tyler Technologies,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https://data.sec.gov/api/xbrl/companyfacts/CIK0000860731.json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Roper Technologies,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https://data.sec.gov/api/xbrl/companyfacts/CIK0000882835.json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Topicus.com, estados financieros consolidados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Topicus.com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https://cdn.topicusplatform.nl/__/topicuscom/q4-2025/topicuscom-fs-q425-final.pdf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Descartes Systems Group, Form 40-F ejercicio 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https://data.sec.gov/api/xbrl/companyfacts/CIK0001050140.json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Enghouse Systems, Q4 2025 Message to Shareholders (ejercicio a 31-oct-2025)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Enghouse Systems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https://www.enghouse.com/wp-content/uploads/2025/12/20251215-Q4-2025-Message-to-shareholders.pdf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Vitec Software Group, presentación del informe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Vitec Software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https://www.vitecsoftware.com/media/tkzlabsp/vitec_q2-report-2026.pdf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Vertical Software Market Size and Share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Mordor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https://www.mordorintelligence.com/industry-reports/vertical-software-market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Vertical Software Market Size, Share &amp; Trends (Grand View Research, vía GII)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https://www.gii.tw/report/grvi1814014-vertical-software-market-size-share-trends.html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It's time for investors to get greedy and buy the beaten-down shares of Constellation Software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Globe and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https://theglobeandmail.com/investing/investment-ideas/article-constellation-ai-threat-software-stocks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Down 6.8% after earnings: is Constellation Software a good stock to buy 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Canada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https://www.fool.ca/2026/08/18/down-6-8-after-earnings-is-constellation-software-a-good-stock-to-buy-now/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IGV Bounces 5% But the SaaS Selloff May Not Be Over Yet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https://finance.yahoo.com/news/igv-bounces-5-saas-selloff-184237901.html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Announces the Resignation of Mark Leonard and Appointment of Mark Miller as President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https://www.csisoftware.com/wp-content/uploads/2026/04/September-25-2025-press-release-final.pdf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gibt Rückzug von Mark Leonard aus dem Verwaltungsrat zum 15. Mai 2026 bekannt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https://de.marketscreener.com/boerse-nachrichten/constellation-software-inc-gibt-rueckzug-von-mark-leonard-aus-dem-verwaltungsrat-zum-15-mai-2026-be-ce7e51d8da81f620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SEK, CAD),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https://data-api.ecb.europa.eu/service/data/EXR/D.USD+SEK+CAD.EUR.SP00.A?startPeriod=2025-12-29&amp;endPeriod=2025-12-31&amp;format=csvdata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Public Country-by-Country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https://www.csisoftware.com/wp-content/uploads/2026/06/CSI_FY2025-Public-CbCR.pdf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Announces Results of Voting for Directors at Annual General Shareholders'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https://www.csisoftware.com/wp-content/uploads/2026/05/CSI-AGM-May-15-2026-Press-Release-Final.pdf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Announces Results of Voting for Directors at Annual General Shareholders' Meeting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(GlobeNewswire,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https://mfn.se/all/a/constellation-software/constellation-software-inc-announces-results-of-voting-for-directors-at-annual-general-shareholders-meeting-6b869ca6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Announces the Resignation of Mark Leonard and Appointment of Mark Miller as President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(GlobeNewswire,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https://mfn.se/one/a/constellation-software/constellation-software-inc-announces-the-resignation-of-mark-leonard-and-appointment-of-mark-miller-as-president-of-constellation-software-bfb7cdb7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Announces Mark Leonard's Decision to Not Stand for Re-election to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(GlobeNewswire,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https://mfn.se/all/a/constellation-software/constellation-software-inc-announces-mark-leonards-decision-to-not-stand-for-re-election-to-board-of-directors-0e5b4f52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CSU Insider Trading History (datos de SEDI)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InsiderTrades.com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https://www.insidertrades.com/constellation-software-inc-csuto-stock/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Shareholders, Board Members, Managers and Company Profile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https://ca.marketscreener.com/quote/stock/CONSTELLATION-SOFTWARE-IN-1409607/company/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diario FXUSDCAD (Valet API)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de Canadá</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https://www.bankofcanada.ca/valet/observations/FXUSDCAD/json?start_date=2026-10-05&amp;end_date=2026-10-09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y mensuales de CSU.TO, ^GSPTSE, XIT.TO, ^GSPC, URTH, ACWI, TOI.V, LMN.V y tipos CADUSD=X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https://finance.yahoo.com/quote/CSU.TO/history/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Condensed Consolidated Interim Financial Statements, three and six months ended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https://www.csisoftware.com/investor-relations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exchange rates FXUSDCAD y FXCADUSD (Valet API)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Canada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https://www.bankofcanada.ca/valet/observations/FXUSDCAD,FXCADUSD/json?start_date=2026-09-25&amp;end_date=2026-10-10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(CSU): estimaciones anuales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https://www.marketscreener.com/quote/stock/CONSTELLATION-SOFTWARE-IN-1409607/finances/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CSU.TO: análisis (earningsTrend, recommendationTrend, financialData, calendarEvents)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https://finance.yahoo.com/quote/CSU.TO/analysis/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anuales de Topicus, Lumine, Roper, Tyler, Bentley, Guidewire, Descartes, Enghouse y Vitec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https://www.marketscreener.com/quote/stock/ROPER-TECHNOLOGIES-INC-14279/finances/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los comparables (cotización, acciones, deuda, caja, FCF de 12 meses, series anuales de EBIT, capital invertido y pagos en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https://finance.yahoo.com/quote/TYL/key-statistics/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MeridianLink, Inc. Definitive Proxy Statement (DEFM14A), opinión de Centerview: Selected Precedent Transactions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MeridianLink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https://www.sec.gov/Archives/edgar/data/1834494/000114036125035721/ny20054829x2_defm14a.htm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Weave Communications, Inc. Definitive Proxy Statement (DEFM14A), fusión con Francisco Partners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Weave Communications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https://www.sec.gov/Archives/edgar/data/1609151/000114036126037628/ny20081403x2_defm14a.htm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exchange rates FXUSDCAD 2016-2025 (Valet API)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Canada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https://www.bankofcanada.ca/valet/observations/FXUSDCAD/json?start_date=2016-12-01&amp;end_date=2025-12-31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Inc. announces conference call to discuss second 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BNN Bloomberg (comunicado de la 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https://www.bnnbloomberg.ca/press-releases/2026/07/17/constellation-software-inc-announces-conference-call-to-discuss-second-quarter-results/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Software (CSU-T): opiniones de expertos,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https://stockchase.com/CSU-T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Market Has Punished This Stock Enough: I'd Buy Before Sentiment Turns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 Canada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https://www.fool.ca/2026/09/16/the-market-has-punished-this-stock-enough-id-buy-before-sentiment-turns/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91,2 %</w:t>
      </w:r>
      <w:r>
        <w:t xml:space="preserve"> · Secciones con menos del 60 % de campos cubiertos: </w:t>
      </w:r>
      <w:r>
        <w:rPr>
          <w:b/>
          <w:bCs/>
        </w:rPr>
        <w:t xml:space="preserve">ninguna</w:t>
      </w:r>
      <w:r>
        <w:t xml:space="preserve"> · Generado el 10 oct 2026.</w:t>
      </w:r>
    </w:p>
    <w:p>
      <w:pPr>
        <w:pStyle w:val="Nota"/>
        <w:spacing w:after="100"/>
      </w:pPr>
      <w:r>
        <w:t xml:space="preserve">Se valora la acción ordinaria de la Bolsa de Toronto (CSU), que cotiza en dólares canadienses; las cuentas están en dólares de EE. UU. Precio, rango de 52 semanas y precios objetivo se convierten a 0,7007 USD por CAD del 9-oct-2026 (Banco de Canadá) [46]; los cierres de cada ejercicio, al tipo del último día hábil del año [55]. El precio es el cierre del viernes 9-oct-2026 (3.003,78 CAD = 2.104,75 USD); el corte cae en sábado [44]. Hay 21,19 M de acciones, sin instrumentos dilutivos [45]. El puente es del 30-jun-2026: los minoritarios de Topicus y Lumine van a valor de mercado (4.720 M) y el pasivo del IRGA con Joday a su valor contable por fórmula (1.186 M); a la cotización de Topicus ese pasivo valdría 2.347 M, unos 55 USD por acción menos [45]. Los otros ajustes incluyen 818 M de compras cerradas o comprometidas después del balance, cuyo crecimiento está en la proyección de 2026e [45]. La cuenta se presenta por naturaleza. La empresa reporta un único segmento (NIIF 8): los segmentos del informe son los tipos de ingreso [1]. Sin guía de la dirección ni transcripciones gratuitas de las conferencias; consenso y comparables de MarketScreener, con los ingresos contrastados con Yahoo [48, 49]. Sin calificaciones ESG accesibles ni voto consultivo sobre la remuneración.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Constellation Software Inc. (CSU)</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2.104,75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(1.538,74 – 2.860,05)</c:v>
                </c:pt>
                <c:pt idx="1">
                  <c:v>Precio objetivo de los analistas (2.367,95 – 3.946,29)</c:v>
                </c:pt>
                <c:pt idx="2">
                  <c:v>Comparables: EV/EBITDA NTM (1.570,59 – 3.443,35)</c:v>
                </c:pt>
                <c:pt idx="3">
                  <c:v>Comparables: PER NTM (1.180,36 – 1.955,16)</c:v>
                </c:pt>
                <c:pt idx="4">
                  <c:v>Transacciones precedentes (EV/EBITDA) (1.944,04 – 2.885,26)</c:v>
                </c:pt>
                <c:pt idx="5">
                  <c:v>DCF (WACC y g ± 0,5) (2.118,54 – 2.990,46)</c:v>
                </c:pt>
                <c:pt idx="6">
                  <c:v>Escenarios (bajista – alcista) (1.220,49 – 3.131,17)</c:v>
                </c:pt>
                <c:pt idx="7">
                  <c:v>DCF con la prima implícita del mercado (4,2 %)</c:v>
                </c:pt>
                <c:pt idx="8">
                  <c:v>Precio actual (2.104,75)</c:v>
                </c:pt>
              </c:strCache>
            </c:strRef>
          </c:cat>
          <c:val>
            <c:numRef>
              <c:f>Hoja1!$B$2:$B$10</c:f>
              <c:numCache>
                <c:formatCode>#,##0</c:formatCode>
                <c:ptCount val="9"/>
                <c:pt idx="0">
                  <c:v>1538.74</c:v>
                </c:pt>
                <c:pt idx="1">
                  <c:v>2367.95</c:v>
                </c:pt>
                <c:pt idx="2">
                  <c:v>1570.59</c:v>
                </c:pt>
                <c:pt idx="3">
                  <c:v>1180.36</c:v>
                </c:pt>
                <c:pt idx="4">
                  <c:v>1944.04</c:v>
                </c:pt>
                <c:pt idx="5">
                  <c:v>2118.54</c:v>
                </c:pt>
                <c:pt idx="6">
                  <c:v>1220.49</c:v>
                </c:pt>
                <c:pt idx="7">
                  <c:v>2724.6</c:v>
                </c:pt>
                <c:pt idx="8">
                  <c:v>2094.23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(1.538,74 – 2.860,05)</c:v>
                </c:pt>
                <c:pt idx="1">
                  <c:v>Precio objetivo de los analistas (2.367,95 – 3.946,29)</c:v>
                </c:pt>
                <c:pt idx="2">
                  <c:v>Comparables: EV/EBITDA NTM (1.570,59 – 3.443,35)</c:v>
                </c:pt>
                <c:pt idx="3">
                  <c:v>Comparables: PER NTM (1.180,36 – 1.955,16)</c:v>
                </c:pt>
                <c:pt idx="4">
                  <c:v>Transacciones precedentes (EV/EBITDA) (1.944,04 – 2.885,26)</c:v>
                </c:pt>
                <c:pt idx="5">
                  <c:v>DCF (WACC y g ± 0,5) (2.118,54 – 2.990,46)</c:v>
                </c:pt>
                <c:pt idx="6">
                  <c:v>Escenarios (bajista – alcista) (1.220,49 – 3.131,17)</c:v>
                </c:pt>
                <c:pt idx="7">
                  <c:v>DCF con la prima implícita del mercado (4,2 %)</c:v>
                </c:pt>
                <c:pt idx="8">
                  <c:v>Precio actual (2.104,75)</c:v>
                </c:pt>
              </c:strCache>
            </c:strRef>
          </c:cat>
          <c:val>
            <c:numRef>
              <c:f>Hoja1!$C$2:$C$10</c:f>
              <c:numCache>
                <c:formatCode>#,##0</c:formatCode>
                <c:ptCount val="9"/>
                <c:pt idx="0">
                  <c:v>1321.3100000000002</c:v>
                </c:pt>
                <c:pt idx="1">
                  <c:v>1578.3400000000001</c:v>
                </c:pt>
                <c:pt idx="2">
                  <c:v>1872.76</c:v>
                </c:pt>
                <c:pt idx="3">
                  <c:v>774.8000000000002</c:v>
                </c:pt>
                <c:pt idx="4">
                  <c:v>941.2200000000003</c:v>
                </c:pt>
                <c:pt idx="5">
                  <c:v>871.9200000000001</c:v>
                </c:pt>
                <c:pt idx="6">
                  <c:v>1910.68</c:v>
                </c:pt>
                <c:pt idx="7">
                  <c:v>732.5</c:v>
                </c:pt>
                <c:pt idx="8">
                  <c:v>21.039999999999964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Mantenimiento y otros recurrentes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1400.3</c:v>
                </c:pt>
                <c:pt idx="1">
                  <c:v>1643.2</c:v>
                </c:pt>
                <c:pt idx="2">
                  <c:v>2072</c:v>
                </c:pt>
                <c:pt idx="3">
                  <c:v>2417</c:v>
                </c:pt>
                <c:pt idx="4">
                  <c:v>2815</c:v>
                </c:pt>
                <c:pt idx="5">
                  <c:v>3611</c:v>
                </c:pt>
                <c:pt idx="6">
                  <c:v>4688</c:v>
                </c:pt>
                <c:pt idx="7">
                  <c:v>5985</c:v>
                </c:pt>
                <c:pt idx="8">
                  <c:v>7396</c:v>
                </c:pt>
                <c:pt idx="9">
                  <c:v>8700</c:v>
                </c:pt>
              </c:numCache>
            </c:numRef>
          </c:val>
        </c:ser>
        <c:ser>
          <c:idx val="1"/>
          <c:order val="1"/>
          <c:tx>
            <c:strRef>
              <c:f>Hoja1!$C$1</c:f>
              <c:strCache>
                <c:ptCount val="1"/>
                <c:pt idx="0">
                  <c:v>Servicios profesionales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434.5</c:v>
                </c:pt>
                <c:pt idx="1">
                  <c:v>498.2</c:v>
                </c:pt>
                <c:pt idx="2">
                  <c:v>616</c:v>
                </c:pt>
                <c:pt idx="3">
                  <c:v>673</c:v>
                </c:pt>
                <c:pt idx="4">
                  <c:v>751</c:v>
                </c:pt>
                <c:pt idx="5">
                  <c:v>1033</c:v>
                </c:pt>
                <c:pt idx="6">
                  <c:v>1381</c:v>
                </c:pt>
                <c:pt idx="7">
                  <c:v>1766</c:v>
                </c:pt>
                <c:pt idx="8">
                  <c:v>1975</c:v>
                </c:pt>
                <c:pt idx="9">
                  <c:v>2126</c:v>
                </c:pt>
              </c:numCache>
            </c:numRef>
          </c:val>
        </c:ser>
        <c:ser>
          <c:idx val="2"/>
          <c:order val="2"/>
          <c:tx>
            <c:strRef>
              <c:f>Hoja1!$D$1</c:f>
              <c:strCache>
                <c:ptCount val="1"/>
                <c:pt idx="0">
                  <c:v>Licencias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142.5</c:v>
                </c:pt>
                <c:pt idx="1">
                  <c:v>170.4</c:v>
                </c:pt>
                <c:pt idx="2">
                  <c:v>198</c:v>
                </c:pt>
                <c:pt idx="3">
                  <c:v>226</c:v>
                </c:pt>
                <c:pt idx="4">
                  <c:v>234</c:v>
                </c:pt>
                <c:pt idx="5">
                  <c:v>287</c:v>
                </c:pt>
                <c:pt idx="6">
                  <c:v>320</c:v>
                </c:pt>
                <c:pt idx="7">
                  <c:v>386</c:v>
                </c:pt>
                <c:pt idx="8">
                  <c:v>393</c:v>
                </c:pt>
                <c:pt idx="9">
                  <c:v>415</c:v>
                </c:pt>
              </c:numCache>
            </c:numRef>
          </c:val>
        </c:ser>
        <c:ser>
          <c:idx val="3"/>
          <c:order val="3"/>
          <c:tx>
            <c:strRef>
              <c:f>Hoja1!$E$1</c:f>
              <c:strCache>
                <c:ptCount val="1"/>
                <c:pt idx="0">
                  <c:v>Hardware y otros</c:v>
                </c:pt>
              </c:strCache>
            </c:strRef>
          </c:tx>
          <c:spPr>
            <a:solidFill>
              <a:srgbClr val="EDA100"/>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147.7</c:v>
                </c:pt>
                <c:pt idx="1">
                  <c:v>167.6</c:v>
                </c:pt>
                <c:pt idx="2">
                  <c:v>175</c:v>
                </c:pt>
                <c:pt idx="3">
                  <c:v>173</c:v>
                </c:pt>
                <c:pt idx="4">
                  <c:v>169</c:v>
                </c:pt>
                <c:pt idx="5">
                  <c:v>176</c:v>
                </c:pt>
                <c:pt idx="6">
                  <c:v>233</c:v>
                </c:pt>
                <c:pt idx="7">
                  <c:v>268</c:v>
                </c:pt>
                <c:pt idx="8">
                  <c:v>302</c:v>
                </c:pt>
                <c:pt idx="9">
                  <c:v>382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Mantenimiento y otros recurrentes</c:v>
                </c:pt>
                <c:pt idx="1">
                  <c:v>Servicios profesionales</c:v>
                </c:pt>
                <c:pt idx="2">
                  <c:v>Licencias</c:v>
                </c:pt>
                <c:pt idx="3">
                  <c:v>Hardware y otros</c:v>
                </c:pt>
              </c:strCache>
            </c:strRef>
          </c:cat>
          <c:val>
            <c:numRef>
              <c:f>Hoja1!$B$2:$B$5</c:f>
              <c:numCache>
                <c:formatCode>General</c:formatCode>
                <c:ptCount val="4"/>
                <c:pt idx="0">
                  <c:v>74.9</c:v>
                </c:pt>
                <c:pt idx="1">
                  <c:v>18.3</c:v>
                </c:pt>
                <c:pt idx="2">
                  <c:v>3.6</c:v>
                </c:pt>
                <c:pt idx="3">
                  <c:v>3.3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EE. UU.</c:v>
                </c:pt>
                <c:pt idx="1">
                  <c:v>Reino Unido y Europa</c:v>
                </c:pt>
                <c:pt idx="2">
                  <c:v>Canadá</c:v>
                </c:pt>
                <c:pt idx="3">
                  <c:v>Otros</c:v>
                </c:pt>
              </c:strCache>
            </c:strRef>
          </c:cat>
          <c:val>
            <c:numRef>
              <c:f>Hoja1!$B$2:$B$5</c:f>
              <c:numCache>
                <c:formatCode>0"%"</c:formatCode>
                <c:ptCount val="4"/>
                <c:pt idx="0">
                  <c:v>41.6</c:v>
                </c:pt>
                <c:pt idx="1">
                  <c:v>35</c:v>
                </c:pt>
                <c:pt idx="2">
                  <c:v>9.1</c:v>
                </c:pt>
                <c:pt idx="3">
                  <c:v>14.3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(Mordor Intelligence))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2031e</c:v>
                </c:pt>
              </c:strCache>
            </c:strRef>
          </c:cat>
          <c:val>
            <c:numRef>
              <c:f>Hoja1!$B$2:$B$4</c:f>
              <c:numCache>
                <c:formatCode>#,##0</c:formatCode>
                <c:ptCount val="3"/>
                <c:pt idx="0">
                  <c:v>147110</c:v>
                </c:pt>
                <c:pt idx="1">
                  <c:v>164060</c:v>
                </c:pt>
                <c:pt idx="2">
                  <c:v>282980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Constellation</c:v>
                </c:pt>
                <c:pt idx="1">
                  <c:v>Roper Technologies</c:v>
                </c:pt>
                <c:pt idx="2">
                  <c:v>Tyler Technologies</c:v>
                </c:pt>
                <c:pt idx="3">
                  <c:v>Topicus.com (filial de CSU)</c:v>
                </c:pt>
                <c:pt idx="4">
                  <c:v>Lumine Group (filial de CSU)</c:v>
                </c:pt>
                <c:pt idx="5">
                  <c:v>Descartes Systems Group</c:v>
                </c:pt>
                <c:pt idx="6">
                  <c:v>Vitec Software Group</c:v>
                </c:pt>
                <c:pt idx="7">
                  <c:v>Enghouse Systems</c:v>
                </c:pt>
              </c:strCache>
            </c:strRef>
          </c:cat>
          <c:val>
            <c:numRef>
              <c:f>Hoja1!$B$2:$B$9</c:f>
              <c:numCache>
                <c:formatCode>0.0"%"</c:formatCode>
                <c:ptCount val="8"/>
                <c:pt idx="0">
                  <c:v>16.3</c:v>
                </c:pt>
                <c:pt idx="1">
                  <c:v>28.3</c:v>
                </c:pt>
                <c:pt idx="2">
                  <c:v>15.3</c:v>
                </c:pt>
                <c:pt idx="3">
                  <c:v>14.8</c:v>
                </c:pt>
                <c:pt idx="4">
                  <c:v>22.3</c:v>
                </c:pt>
                <c:pt idx="5">
                  <c:v>28.8</c:v>
                </c:pt>
                <c:pt idx="6">
                  <c:v>21.6</c:v>
                </c:pt>
                <c:pt idx="7">
                  <c:v>22.9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2</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2125.1</c:v>
                </c:pt>
                <c:pt idx="1">
                  <c:v>2479.4</c:v>
                </c:pt>
                <c:pt idx="2">
                  <c:v>3060</c:v>
                </c:pt>
                <c:pt idx="3">
                  <c:v>3490</c:v>
                </c:pt>
                <c:pt idx="4">
                  <c:v>3969</c:v>
                </c:pt>
                <c:pt idx="5">
                  <c:v>5106</c:v>
                </c:pt>
                <c:pt idx="6">
                  <c:v>6622</c:v>
                </c:pt>
                <c:pt idx="7">
                  <c:v>8407</c:v>
                </c:pt>
                <c:pt idx="8">
                  <c:v>10066</c:v>
                </c:pt>
                <c:pt idx="9">
                  <c:v>11623</c:v>
                </c:pt>
                <c:pt idx="10">
                  <c:v>13820</c:v>
                </c:pt>
                <c:pt idx="11">
                  <c:v>15755</c:v>
                </c:pt>
                <c:pt idx="12">
                  <c:v>17645</c:v>
                </c:pt>
                <c:pt idx="13">
                  <c:v>19586</c:v>
                </c:pt>
                <c:pt idx="14">
                  <c:v>21545</c:v>
                </c:pt>
                <c:pt idx="15">
                  <c:v>23484</c:v>
                </c:pt>
                <c:pt idx="16">
                  <c:v>25362</c:v>
                </c:pt>
                <c:pt idx="17">
                  <c:v>27138</c:v>
                </c:pt>
                <c:pt idx="18">
                  <c:v>28766</c:v>
                </c:pt>
                <c:pt idx="19">
                  <c:v>30204</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552.5</c:v>
                </c:pt>
                <c:pt idx="1">
                  <c:v>643.8</c:v>
                </c:pt>
                <c:pt idx="2">
                  <c:v>784</c:v>
                </c:pt>
                <c:pt idx="3">
                  <c:v>934</c:v>
                </c:pt>
                <c:pt idx="4">
                  <c:v>1231</c:v>
                </c:pt>
                <c:pt idx="5">
                  <c:v>1512</c:v>
                </c:pt>
                <c:pt idx="6">
                  <c:v>1701</c:v>
                </c:pt>
                <c:pt idx="7">
                  <c:v>2209</c:v>
                </c:pt>
                <c:pt idx="8">
                  <c:v>2690</c:v>
                </c:pt>
                <c:pt idx="9">
                  <c:v>3278</c:v>
                </c:pt>
                <c:pt idx="10">
                  <c:v>3870</c:v>
                </c:pt>
                <c:pt idx="11">
                  <c:v>4411</c:v>
                </c:pt>
                <c:pt idx="12">
                  <c:v>4941</c:v>
                </c:pt>
                <c:pt idx="13">
                  <c:v>5484</c:v>
                </c:pt>
                <c:pt idx="14">
                  <c:v>6032</c:v>
                </c:pt>
                <c:pt idx="15">
                  <c:v>6575</c:v>
                </c:pt>
                <c:pt idx="16">
                  <c:v>7101</c:v>
                </c:pt>
                <c:pt idx="17">
                  <c:v>7599</c:v>
                </c:pt>
                <c:pt idx="18">
                  <c:v>8054</c:v>
                </c:pt>
                <c:pt idx="19">
                  <c:v>8457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87.1</c:v>
                </c:pt>
                <c:pt idx="1">
                  <c:v>87.7</c:v>
                </c:pt>
                <c:pt idx="2">
                  <c:v>88.2</c:v>
                </c:pt>
                <c:pt idx="3">
                  <c:v>88.5</c:v>
                </c:pt>
                <c:pt idx="4">
                  <c:v>89.2</c:v>
                </c:pt>
                <c:pt idx="5">
                  <c:v>89.6</c:v>
                </c:pt>
                <c:pt idx="6">
                  <c:v>88.5</c:v>
                </c:pt>
                <c:pt idx="7">
                  <c:v>88.5</c:v>
                </c:pt>
                <c:pt idx="8">
                  <c:v>88.8</c:v>
                </c:pt>
                <c:pt idx="9">
                  <c:v>88.5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26</c:v>
                </c:pt>
                <c:pt idx="1">
                  <c:v>26</c:v>
                </c:pt>
                <c:pt idx="2">
                  <c:v>25.6</c:v>
                </c:pt>
                <c:pt idx="3">
                  <c:v>26.8</c:v>
                </c:pt>
                <c:pt idx="4">
                  <c:v>31</c:v>
                </c:pt>
                <c:pt idx="5">
                  <c:v>29.6</c:v>
                </c:pt>
                <c:pt idx="6">
                  <c:v>25.7</c:v>
                </c:pt>
                <c:pt idx="7">
                  <c:v>26.3</c:v>
                </c:pt>
                <c:pt idx="8">
                  <c:v>26.7</c:v>
                </c:pt>
                <c:pt idx="9">
                  <c:v>28.2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16</c:v>
                </c:pt>
                <c:pt idx="1">
                  <c:v>15.8</c:v>
                </c:pt>
                <c:pt idx="2">
                  <c:v>15.6</c:v>
                </c:pt>
                <c:pt idx="3">
                  <c:v>14.6</c:v>
                </c:pt>
                <c:pt idx="4">
                  <c:v>18.2</c:v>
                </c:pt>
                <c:pt idx="5">
                  <c:v>17.1</c:v>
                </c:pt>
                <c:pt idx="6">
                  <c:v>13.3</c:v>
                </c:pt>
                <c:pt idx="7">
                  <c:v>14.1</c:v>
                </c:pt>
                <c:pt idx="8">
                  <c:v>14.5</c:v>
                </c:pt>
                <c:pt idx="9">
                  <c:v>16.3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9.7</c:v>
                </c:pt>
                <c:pt idx="1">
                  <c:v>9</c:v>
                </c:pt>
                <c:pt idx="2">
                  <c:v>12.4</c:v>
                </c:pt>
                <c:pt idx="3">
                  <c:v>9.5</c:v>
                </c:pt>
                <c:pt idx="4">
                  <c:v>11</c:v>
                </c:pt>
                <c:pt idx="5">
                  <c:v>6.1</c:v>
                </c:pt>
                <c:pt idx="6">
                  <c:v>7.7</c:v>
                </c:pt>
                <c:pt idx="7">
                  <c:v>6.7</c:v>
                </c:pt>
                <c:pt idx="8">
                  <c:v>7.3</c:v>
                </c:pt>
                <c:pt idx="9">
                  <c:v>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19.5</c:v>
                </c:pt>
                <c:pt idx="1">
                  <c:v>16.4</c:v>
                </c:pt>
                <c:pt idx="2">
                  <c:v>12.8</c:v>
                </c:pt>
                <c:pt idx="3">
                  <c:v>15.2</c:v>
                </c:pt>
                <c:pt idx="4">
                  <c:v>16</c:v>
                </c:pt>
                <c:pt idx="5">
                  <c:v>17.5</c:v>
                </c:pt>
                <c:pt idx="6">
                  <c:v>19.9</c:v>
                </c:pt>
                <c:pt idx="7">
                  <c:v>17.3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2</c:v>
                </c:pt>
                <c:pt idx="1">
                  <c:v>1</c:v>
                </c:pt>
                <c:pt idx="2">
                  <c:v>0</c:v>
                </c:pt>
                <c:pt idx="3">
                  <c:v>5</c:v>
                </c:pt>
                <c:pt idx="4">
                  <c:v>5</c:v>
                </c:pt>
                <c:pt idx="5">
                  <c:v>6</c:v>
                </c:pt>
                <c:pt idx="6">
                  <c:v>6</c:v>
                </c:pt>
                <c:pt idx="7">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42</c:v>
                </c:pt>
                <c:pt idx="1">
                  <c:v>47</c:v>
                </c:pt>
                <c:pt idx="2">
                  <c:v>43</c:v>
                </c:pt>
                <c:pt idx="3">
                  <c:v>44</c:v>
                </c:pt>
                <c:pt idx="4">
                  <c:v>44</c:v>
                </c:pt>
                <c:pt idx="5">
                  <c:v>43</c:v>
                </c:pt>
                <c:pt idx="6">
                  <c:v>49</c:v>
                </c:pt>
                <c:pt idx="7">
                  <c:v>49</c:v>
                </c:pt>
                <c:pt idx="8">
                  <c:v>47</c:v>
                </c:pt>
                <c:pt idx="9">
                  <c:v>46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c:v>
                </c:pt>
                <c:pt idx="1">
                  <c:v>5</c:v>
                </c:pt>
                <c:pt idx="2">
                  <c:v>5</c:v>
                </c:pt>
                <c:pt idx="3">
                  <c:v>4</c:v>
                </c:pt>
                <c:pt idx="4">
                  <c:v>4</c:v>
                </c:pt>
                <c:pt idx="5">
                  <c:v>4</c:v>
                </c:pt>
                <c:pt idx="6">
                  <c:v>4</c:v>
                </c:pt>
                <c:pt idx="7">
                  <c:v>3</c:v>
                </c:pt>
                <c:pt idx="8">
                  <c:v>3</c:v>
                </c:pt>
                <c:pt idx="9">
                  <c:v>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68</c:v>
                </c:pt>
                <c:pt idx="1">
                  <c:v>75</c:v>
                </c:pt>
                <c:pt idx="2">
                  <c:v>74</c:v>
                </c:pt>
                <c:pt idx="3">
                  <c:v>76</c:v>
                </c:pt>
                <c:pt idx="4">
                  <c:v>89</c:v>
                </c:pt>
                <c:pt idx="5">
                  <c:v>84</c:v>
                </c:pt>
                <c:pt idx="6">
                  <c:v>80</c:v>
                </c:pt>
                <c:pt idx="7">
                  <c:v>84</c:v>
                </c:pt>
                <c:pt idx="8">
                  <c:v>79</c:v>
                </c:pt>
                <c:pt idx="9">
                  <c:v>85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448.9</c:v>
                </c:pt>
                <c:pt idx="1">
                  <c:v>485.99999999999994</c:v>
                </c:pt>
                <c:pt idx="2">
                  <c:v>613</c:v>
                </c:pt>
                <c:pt idx="3">
                  <c:v>644</c:v>
                </c:pt>
                <c:pt idx="4">
                  <c:v>1055</c:v>
                </c:pt>
                <c:pt idx="5">
                  <c:v>1139</c:v>
                </c:pt>
                <c:pt idx="6">
                  <c:v>1077</c:v>
                </c:pt>
                <c:pt idx="7">
                  <c:v>1484</c:v>
                </c:pt>
                <c:pt idx="8">
                  <c:v>1819</c:v>
                </c:pt>
                <c:pt idx="9">
                  <c:v>2321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206.8</c:v>
                </c:pt>
                <c:pt idx="1">
                  <c:v>222</c:v>
                </c:pt>
                <c:pt idx="2">
                  <c:v>379</c:v>
                </c:pt>
                <c:pt idx="3">
                  <c:v>333</c:v>
                </c:pt>
                <c:pt idx="4">
                  <c:v>436</c:v>
                </c:pt>
                <c:pt idx="5">
                  <c:v>310</c:v>
                </c:pt>
                <c:pt idx="6">
                  <c:v>512</c:v>
                </c:pt>
                <c:pt idx="7">
                  <c:v>565</c:v>
                </c:pt>
                <c:pt idx="8">
                  <c:v>731</c:v>
                </c:pt>
                <c:pt idx="9">
                  <c:v>512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54.4</c:v>
                </c:pt>
                <c:pt idx="1">
                  <c:v>60.2</c:v>
                </c:pt>
                <c:pt idx="2">
                  <c:v>68.4</c:v>
                </c:pt>
                <c:pt idx="3">
                  <c:v>42.4</c:v>
                </c:pt>
                <c:pt idx="4">
                  <c:v>49.1</c:v>
                </c:pt>
                <c:pt idx="5">
                  <c:v>37.9</c:v>
                </c:pt>
                <c:pt idx="6">
                  <c:v>28.5</c:v>
                </c:pt>
                <c:pt idx="7">
                  <c:v>21.4</c:v>
                </c:pt>
                <c:pt idx="8">
                  <c:v>25</c:v>
                </c:pt>
                <c:pt idx="9">
                  <c:v>21.7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9.1</c:v>
                </c:pt>
                <c:pt idx="1">
                  <c:v>9.1</c:v>
                </c:pt>
                <c:pt idx="2">
                  <c:v>9.1</c:v>
                </c:pt>
                <c:pt idx="3">
                  <c:v>9.1</c:v>
                </c:pt>
                <c:pt idx="4">
                  <c:v>9.1</c:v>
                </c:pt>
                <c:pt idx="5">
                  <c:v>9.1</c:v>
                </c:pt>
                <c:pt idx="6">
                  <c:v>9.1</c:v>
                </c:pt>
                <c:pt idx="7">
                  <c:v>9.1</c:v>
                </c:pt>
                <c:pt idx="8">
                  <c:v>9.1</c:v>
                </c:pt>
                <c:pt idx="9">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45.2</c:v>
                </c:pt>
                <c:pt idx="1">
                  <c:v>41.8</c:v>
                </c:pt>
                <c:pt idx="2">
                  <c:v>51.6</c:v>
                </c:pt>
                <c:pt idx="3">
                  <c:v>42.9</c:v>
                </c:pt>
                <c:pt idx="4">
                  <c:v>50.3</c:v>
                </c:pt>
                <c:pt idx="5">
                  <c:v>29.4</c:v>
                </c:pt>
                <c:pt idx="6">
                  <c:v>36.9</c:v>
                </c:pt>
                <c:pt idx="7">
                  <c:v>31.5</c:v>
                </c:pt>
                <c:pt idx="8">
                  <c:v>31.3</c:v>
                </c:pt>
                <c:pt idx="9">
                  <c:v>16.1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-0.01</c:v>
                </c:pt>
                <c:pt idx="1">
                  <c:v>-0.24</c:v>
                </c:pt>
                <c:pt idx="2">
                  <c:v>-0.28</c:v>
                </c:pt>
                <c:pt idx="3">
                  <c:v>0.46</c:v>
                </c:pt>
                <c:pt idx="4">
                  <c:v>-0.03</c:v>
                </c:pt>
                <c:pt idx="5">
                  <c:v>0.15</c:v>
                </c:pt>
                <c:pt idx="6">
                  <c:v>0.59</c:v>
                </c:pt>
                <c:pt idx="7">
                  <c:v>0.8</c:v>
                </c:pt>
                <c:pt idx="8">
                  <c:v>0.69</c:v>
                </c:pt>
                <c:pt idx="9">
                  <c:v>0.45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c:v>
                </c:pt>
                <c:pt idx="1">
                  <c:v>2027</c:v>
                </c:pt>
                <c:pt idx="2">
                  <c:v>2028</c:v>
                </c:pt>
                <c:pt idx="3">
                  <c:v>2029</c:v>
                </c:pt>
                <c:pt idx="4">
                  <c:v>2030</c:v>
                </c:pt>
                <c:pt idx="5">
                  <c:v>2031</c:v>
                </c:pt>
                <c:pt idx="6">
                  <c:v>2032</c:v>
                </c:pt>
                <c:pt idx="7">
                  <c:v>2033+</c:v>
                </c:pt>
              </c:strCache>
            </c:strRef>
          </c:cat>
          <c:val>
            <c:numRef>
              <c:f>Hoja1!$B$2:$B$9</c:f>
              <c:numCache>
                <c:formatCode>#,##0</c:formatCode>
                <c:ptCount val="8"/>
                <c:pt idx="0">
                  <c:v>592</c:v>
                </c:pt>
                <c:pt idx="1">
                  <c:v>500</c:v>
                </c:pt>
                <c:pt idx="2">
                  <c:v>488</c:v>
                </c:pt>
                <c:pt idx="3">
                  <c:v>664</c:v>
                </c:pt>
                <c:pt idx="4">
                  <c:v>372</c:v>
                </c:pt>
                <c:pt idx="5">
                  <c:v>3</c:v>
                </c:pt>
                <c:pt idx="6">
                  <c:v>131</c:v>
                </c:pt>
                <c:pt idx="7">
                  <c:v>1361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178.1</c:v>
                </c:pt>
                <c:pt idx="1">
                  <c:v>256</c:v>
                </c:pt>
                <c:pt idx="2">
                  <c:v>485</c:v>
                </c:pt>
                <c:pt idx="3">
                  <c:v>505</c:v>
                </c:pt>
                <c:pt idx="4">
                  <c:v>485</c:v>
                </c:pt>
                <c:pt idx="5">
                  <c:v>1216</c:v>
                </c:pt>
                <c:pt idx="6">
                  <c:v>1566</c:v>
                </c:pt>
                <c:pt idx="7">
                  <c:v>1695</c:v>
                </c:pt>
                <c:pt idx="8">
                  <c:v>1519</c:v>
                </c:pt>
                <c:pt idx="9">
                  <c:v>1340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84.8</c:v>
                </c:pt>
                <c:pt idx="1">
                  <c:v>84.8</c:v>
                </c:pt>
                <c:pt idx="2">
                  <c:v>85</c:v>
                </c:pt>
                <c:pt idx="3">
                  <c:v>509</c:v>
                </c:pt>
                <c:pt idx="4">
                  <c:v>85</c:v>
                </c:pt>
                <c:pt idx="5">
                  <c:v>85</c:v>
                </c:pt>
                <c:pt idx="6">
                  <c:v>85</c:v>
                </c:pt>
                <c:pt idx="7">
                  <c:v>85</c:v>
                </c:pt>
                <c:pt idx="8">
                  <c:v>85</c:v>
                </c:pt>
                <c:pt idx="9">
                  <c:v>85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0</c:v>
                </c:pt>
                <c:pt idx="2">
                  <c:v>0</c:v>
                </c:pt>
                <c:pt idx="3">
                  <c:v>0</c:v>
                </c:pt>
                <c:pt idx="4">
                  <c:v>0</c:v>
                </c:pt>
                <c:pt idx="5">
                  <c:v>0</c:v>
                </c:pt>
                <c:pt idx="6">
                  <c:v>0</c:v>
                </c:pt>
                <c:pt idx="7">
                  <c:v>0</c:v>
                </c:pt>
                <c:pt idx="8">
                  <c:v>0</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7</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Mark Leonard (fundador)</c:v>
                </c:pt>
                <c:pt idx="1">
                  <c:v>Bernard Anzarouth</c:v>
                </c:pt>
                <c:pt idx="2">
                  <c:v>Mark Miller</c:v>
                </c:pt>
                <c:pt idx="3">
                  <c:v>Manulife Investment Management</c:v>
                </c:pt>
                <c:pt idx="4">
                  <c:v>Dexter Salna</c:v>
                </c:pt>
                <c:pt idx="5">
                  <c:v>Consejo de administración (9 consejeros)</c:v>
                </c:pt>
                <c:pt idx="6">
                  <c:v>Autocartera</c:v>
                </c:pt>
              </c:strCache>
            </c:strRef>
          </c:cat>
          <c:val>
            <c:numRef>
              <c:f>Hoja1!$B$2:$B$8</c:f>
              <c:numCache>
                <c:formatCode>0.0"%"</c:formatCode>
                <c:ptCount val="7"/>
                <c:pt idx="0">
                  <c:v>1.85</c:v>
                </c:pt>
                <c:pt idx="1">
                  <c:v>1.36</c:v>
                </c:pt>
                <c:pt idx="2">
                  <c:v>1.2</c:v>
                </c:pt>
                <c:pt idx="3">
                  <c:v>0.96</c:v>
                </c:pt>
                <c:pt idx="4">
                  <c:v>0.92</c:v>
                </c:pt>
                <c:pt idx="5">
                  <c:v>1.4</c:v>
                </c:pt>
                <c:pt idx="6">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5.8</c:v>
                </c:pt>
                <c:pt idx="1">
                  <c:v>24.9</c:v>
                </c:pt>
                <c:pt idx="2">
                  <c:v>14.7</c:v>
                </c:pt>
                <c:pt idx="3">
                  <c:v>44.3</c:v>
                </c:pt>
                <c:pt idx="4">
                  <c:v>31.1</c:v>
                </c:pt>
                <c:pt idx="5">
                  <c:v>42</c:v>
                </c:pt>
                <c:pt idx="6">
                  <c:v>-9.9</c:v>
                </c:pt>
                <c:pt idx="7">
                  <c:v>55.4</c:v>
                </c:pt>
                <c:pt idx="8">
                  <c:v>35.3</c:v>
                </c:pt>
                <c:pt idx="9">
                  <c:v>-25.7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17.5</c:v>
                </c:pt>
                <c:pt idx="1">
                  <c:v>6</c:v>
                </c:pt>
                <c:pt idx="2">
                  <c:v>-11.6</c:v>
                </c:pt>
                <c:pt idx="3">
                  <c:v>19.1</c:v>
                </c:pt>
                <c:pt idx="4">
                  <c:v>2.2</c:v>
                </c:pt>
                <c:pt idx="5">
                  <c:v>21.7</c:v>
                </c:pt>
                <c:pt idx="6">
                  <c:v>-8.7</c:v>
                </c:pt>
                <c:pt idx="7">
                  <c:v>8.1</c:v>
                </c:pt>
                <c:pt idx="8">
                  <c:v>18</c:v>
                </c:pt>
                <c:pt idx="9">
                  <c:v>28.2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17.3</c:v>
                </c:pt>
                <c:pt idx="1">
                  <c:v>19.8</c:v>
                </c:pt>
                <c:pt idx="2">
                  <c:v>17</c:v>
                </c:pt>
                <c:pt idx="3">
                  <c:v>22.5</c:v>
                </c:pt>
                <c:pt idx="4">
                  <c:v>22.3</c:v>
                </c:pt>
                <c:pt idx="5">
                  <c:v>26.4</c:v>
                </c:pt>
                <c:pt idx="6">
                  <c:v>20.2</c:v>
                </c:pt>
                <c:pt idx="7">
                  <c:v>24.7</c:v>
                </c:pt>
                <c:pt idx="8">
                  <c:v>25.2</c:v>
                </c:pt>
                <c:pt idx="9">
                  <c:v>16.2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21.3</c:v>
                </c:pt>
                <c:pt idx="1">
                  <c:v>21.3</c:v>
                </c:pt>
                <c:pt idx="2">
                  <c:v>21.3</c:v>
                </c:pt>
                <c:pt idx="3">
                  <c:v>21.3</c:v>
                </c:pt>
                <c:pt idx="4">
                  <c:v>21.3</c:v>
                </c:pt>
                <c:pt idx="5">
                  <c:v>21.3</c:v>
                </c:pt>
                <c:pt idx="6">
                  <c:v>21.3</c:v>
                </c:pt>
                <c:pt idx="7">
                  <c:v>21.3</c:v>
                </c:pt>
                <c:pt idx="8">
                  <c:v>21.3</c:v>
                </c:pt>
                <c:pt idx="9">
                  <c:v>21.3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Constellation</c:v>
                </c:pt>
                <c:pt idx="1">
                  <c:v>Topicus.com</c:v>
                </c:pt>
                <c:pt idx="2">
                  <c:v>Lumine Group</c:v>
                </c:pt>
                <c:pt idx="3">
                  <c:v>Roper Technologies</c:v>
                </c:pt>
                <c:pt idx="4">
                  <c:v>Tyler Technologies</c:v>
                </c:pt>
                <c:pt idx="5">
                  <c:v>Bentley Systems</c:v>
                </c:pt>
                <c:pt idx="6">
                  <c:v>Guidewire Software</c:v>
                </c:pt>
                <c:pt idx="7">
                  <c:v>Descartes Systems</c:v>
                </c:pt>
                <c:pt idx="8">
                  <c:v>Enghouse Systems</c:v>
                </c:pt>
                <c:pt idx="9">
                  <c:v>Vitec Software</c:v>
                </c:pt>
              </c:strCache>
            </c:strRef>
          </c:cat>
          <c:val>
            <c:numRef>
              <c:f>Hoja1!$B$2:$B$11</c:f>
              <c:numCache>
                <c:formatCode>0.0"x"</c:formatCode>
                <c:ptCount val="10"/>
                <c:pt idx="0">
                  <c:v>12.5</c:v>
                </c:pt>
                <c:pt idx="1">
                  <c:v>12.8</c:v>
                </c:pt>
                <c:pt idx="2">
                  <c:v>9.8</c:v>
                </c:pt>
                <c:pt idx="3">
                  <c:v>13.3</c:v>
                </c:pt>
                <c:pt idx="4">
                  <c:v>22.2</c:v>
                </c:pt>
                <c:pt idx="5">
                  <c:v>19.1</c:v>
                </c:pt>
                <c:pt idx="6">
                  <c:v>56.2</c:v>
                </c:pt>
                <c:pt idx="7">
                  <c:v>17.1</c:v>
                </c:pt>
                <c:pt idx="8">
                  <c:v>5.4</c:v>
                </c:pt>
                <c:pt idx="9">
                  <c:v>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Constellation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17.9</c:v>
                </c:pt>
              </c:numCache>
            </c:numRef>
          </c:xVal>
          <c:yVal>
            <c:numRef>
              <c:f>Hoja1!$C$2</c:f>
              <c:numCache>
                <c:formatCode>0.0"x"</c:formatCode>
                <c:ptCount val="1"/>
                <c:pt idx="0">
                  <c:v>12.5</c:v>
                </c:pt>
              </c:numCache>
            </c:numRef>
          </c:yVal>
          <c:smooth val="0"/>
        </c:ser>
        <c:ser>
          <c:idx val="1"/>
          <c:order val="1"/>
          <c:tx>
            <c:strRef>
              <c:f>Hoja1!$A$3</c:f>
              <c:strCache>
                <c:ptCount val="1"/>
                <c:pt idx="0">
                  <c:v>Topicus.com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14.9</c:v>
                </c:pt>
              </c:numCache>
            </c:numRef>
          </c:xVal>
          <c:yVal>
            <c:numRef>
              <c:f>Hoja1!$C$3</c:f>
              <c:numCache>
                <c:formatCode>0.0"x"</c:formatCode>
                <c:ptCount val="1"/>
                <c:pt idx="0">
                  <c:v>12.8</c:v>
                </c:pt>
              </c:numCache>
            </c:numRef>
          </c:yVal>
          <c:smooth val="0"/>
        </c:ser>
        <c:ser>
          <c:idx val="2"/>
          <c:order val="2"/>
          <c:tx>
            <c:strRef>
              <c:f>Hoja1!$A$4</c:f>
              <c:strCache>
                <c:ptCount val="1"/>
                <c:pt idx="0">
                  <c:v>Lumine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26.8</c:v>
                </c:pt>
              </c:numCache>
            </c:numRef>
          </c:xVal>
          <c:yVal>
            <c:numRef>
              <c:f>Hoja1!$C$4</c:f>
              <c:numCache>
                <c:formatCode>0.0"x"</c:formatCode>
                <c:ptCount val="1"/>
                <c:pt idx="0">
                  <c:v>9.8</c:v>
                </c:pt>
              </c:numCache>
            </c:numRef>
          </c:yVal>
          <c:smooth val="0"/>
        </c:ser>
        <c:ser>
          <c:idx val="3"/>
          <c:order val="3"/>
          <c:tx>
            <c:strRef>
              <c:f>Hoja1!$A$5</c:f>
              <c:strCache>
                <c:ptCount val="1"/>
                <c:pt idx="0">
                  <c:v>Roper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c:v>
                </c:pt>
              </c:numCache>
            </c:numRef>
          </c:xVal>
          <c:yVal>
            <c:numRef>
              <c:f>Hoja1!$C$5</c:f>
              <c:numCache>
                <c:formatCode>0.0"x"</c:formatCode>
                <c:ptCount val="1"/>
                <c:pt idx="0">
                  <c:v>13.3</c:v>
                </c:pt>
              </c:numCache>
            </c:numRef>
          </c:yVal>
          <c:smooth val="0"/>
        </c:ser>
        <c:ser>
          <c:idx val="4"/>
          <c:order val="4"/>
          <c:tx>
            <c:strRef>
              <c:f>Hoja1!$A$6</c:f>
              <c:strCache>
                <c:ptCount val="1"/>
                <c:pt idx="0">
                  <c:v>Tyler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9.8</c:v>
                </c:pt>
              </c:numCache>
            </c:numRef>
          </c:xVal>
          <c:yVal>
            <c:numRef>
              <c:f>Hoja1!$C$6</c:f>
              <c:numCache>
                <c:formatCode>0.0"x"</c:formatCode>
                <c:ptCount val="1"/>
                <c:pt idx="0">
                  <c:v>22.2</c:v>
                </c:pt>
              </c:numCache>
            </c:numRef>
          </c:yVal>
          <c:smooth val="0"/>
        </c:ser>
        <c:ser>
          <c:idx val="5"/>
          <c:order val="5"/>
          <c:tx>
            <c:strRef>
              <c:f>Hoja1!$A$7</c:f>
              <c:strCache>
                <c:ptCount val="1"/>
                <c:pt idx="0">
                  <c:v>Bentley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11.4</c:v>
                </c:pt>
              </c:numCache>
            </c:numRef>
          </c:xVal>
          <c:yVal>
            <c:numRef>
              <c:f>Hoja1!$C$7</c:f>
              <c:numCache>
                <c:formatCode>0.0"x"</c:formatCode>
                <c:ptCount val="1"/>
                <c:pt idx="0">
                  <c:v>19.1</c:v>
                </c:pt>
              </c:numCache>
            </c:numRef>
          </c:yVal>
          <c:smooth val="0"/>
        </c:ser>
        <c:ser>
          <c:idx val="6"/>
          <c:order val="6"/>
          <c:tx>
            <c:strRef>
              <c:f>Hoja1!$A$8</c:f>
              <c:strCache>
                <c:ptCount val="1"/>
                <c:pt idx="0">
                  <c:v>Guidewire Software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16.5</c:v>
                </c:pt>
              </c:numCache>
            </c:numRef>
          </c:xVal>
          <c:yVal>
            <c:numRef>
              <c:f>Hoja1!$C$8</c:f>
              <c:numCache>
                <c:formatCode>0.0"x"</c:formatCode>
                <c:ptCount val="1"/>
                <c:pt idx="0">
                  <c:v>56.2</c:v>
                </c:pt>
              </c:numCache>
            </c:numRef>
          </c:yVal>
          <c:smooth val="0"/>
        </c:ser>
        <c:ser>
          <c:idx val="7"/>
          <c:order val="7"/>
          <c:tx>
            <c:strRef>
              <c:f>Hoja1!$A$9</c:f>
              <c:strCache>
                <c:ptCount val="1"/>
                <c:pt idx="0">
                  <c:v>Descartes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12.3</c:v>
                </c:pt>
              </c:numCache>
            </c:numRef>
          </c:xVal>
          <c:yVal>
            <c:numRef>
              <c:f>Hoja1!$C$9</c:f>
              <c:numCache>
                <c:formatCode>0.0"x"</c:formatCode>
                <c:ptCount val="1"/>
                <c:pt idx="0">
                  <c:v>17.1</c:v>
                </c:pt>
              </c:numCache>
            </c:numRef>
          </c:yVal>
          <c:smooth val="0"/>
        </c:ser>
        <c:ser>
          <c:idx val="8"/>
          <c:order val="8"/>
          <c:tx>
            <c:strRef>
              <c:f>Hoja1!$A$10</c:f>
              <c:strCache>
                <c:ptCount val="1"/>
                <c:pt idx="0">
                  <c:v>Enghouse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-1.5</c:v>
                </c:pt>
              </c:numCache>
            </c:numRef>
          </c:xVal>
          <c:yVal>
            <c:numRef>
              <c:f>Hoja1!$C$10</c:f>
              <c:numCache>
                <c:formatCode>0.0"x"</c:formatCode>
                <c:ptCount val="1"/>
                <c:pt idx="0">
                  <c:v>5.4</c:v>
                </c:pt>
              </c:numCache>
            </c:numRef>
          </c:yVal>
          <c:smooth val="0"/>
        </c:ser>
        <c:ser>
          <c:idx val="9"/>
          <c:order val="9"/>
          <c:tx>
            <c:strRef>
              <c:f>Hoja1!$A$11</c:f>
              <c:strCache>
                <c:ptCount val="1"/>
                <c:pt idx="0">
                  <c:v>Vitec Software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Hoja1!$B$11</c:f>
              <c:numCache>
                <c:formatCode>0"%"</c:formatCode>
                <c:ptCount val="1"/>
                <c:pt idx="0">
                  <c:v>4.3</c:v>
                </c:pt>
              </c:numCache>
            </c:numRef>
          </c:xVal>
          <c:yVal>
            <c:numRef>
              <c:f>Hoja1!$C$11</c:f>
              <c:numCache>
                <c:formatCode>0.0"x"</c:formatCode>
                <c:ptCount val="1"/>
                <c:pt idx="0">
                  <c:v>8.6</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Weave Communications (software vertical para clínicas dentales y médicas)</c:v>
                </c:pt>
                <c:pt idx="1">
                  <c:v>MeridianLink (software vertical de préstamos para bancos y cooperativas)</c:v>
                </c:pt>
                <c:pt idx="2">
                  <c:v>NCR Digital Banking (software de banca digital)</c:v>
                </c:pt>
                <c:pt idx="3">
                  <c:v>Computer Services, Inc. (software para bancos)</c:v>
                </c:pt>
                <c:pt idx="4">
                  <c:v>Black Knight (software hipotecario)</c:v>
                </c:pt>
                <c:pt idx="5">
                  <c:v>Bottomline Technologies (software de pagos para empresas y bancos)</c:v>
                </c:pt>
                <c:pt idx="6">
                  <c:v>CoreLogic (datos y software inmobiliario)</c:v>
                </c:pt>
                <c:pt idx="7">
                  <c:v>Ellie Mae (software hipotecario)</c:v>
                </c:pt>
              </c:strCache>
            </c:strRef>
          </c:cat>
          <c:val>
            <c:numRef>
              <c:f>Hoja1!$B$2:$B$9</c:f>
              <c:numCache>
                <c:formatCode>0.0"x"</c:formatCode>
                <c:ptCount val="8"/>
                <c:pt idx="1">
                  <c:v>14</c:v>
                </c:pt>
                <c:pt idx="2">
                  <c:v>15.8</c:v>
                </c:pt>
                <c:pt idx="3">
                  <c:v>15.1</c:v>
                </c:pt>
                <c:pt idx="4">
                  <c:v>21.4</c:v>
                </c:pt>
                <c:pt idx="5">
                  <c:v>26.6</c:v>
                </c:pt>
                <c:pt idx="6">
                  <c:v>13.1</c:v>
                </c:pt>
                <c:pt idx="7">
                  <c:v>23.4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1150</c:v>
                </c:pt>
                <c:pt idx="1">
                  <c:v>1616</c:v>
                </c:pt>
                <c:pt idx="2">
                  <c:v>2202</c:v>
                </c:pt>
                <c:pt idx="3">
                  <c:v>2651</c:v>
                </c:pt>
                <c:pt idx="4">
                  <c:v>3137</c:v>
                </c:pt>
                <c:pt idx="5">
                  <c:v>3660</c:v>
                </c:pt>
                <c:pt idx="6">
                  <c:v>4181</c:v>
                </c:pt>
                <c:pt idx="7">
                  <c:v>4716</c:v>
                </c:pt>
                <c:pt idx="8">
                  <c:v>5255</c:v>
                </c:pt>
                <c:pt idx="9">
                  <c:v>5356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20782</c:v>
                </c:pt>
                <c:pt idx="1">
                  <c:v>40398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2.104,75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1220.49</c:v>
                </c:pt>
                <c:pt idx="1">
                  <c:v>2484.2</c:v>
                </c:pt>
                <c:pt idx="2">
                  <c:v>3131.17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2.104,75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(1.538,74 – 2.860,05)</c:v>
                </c:pt>
                <c:pt idx="1">
                  <c:v>Precio objetivo de los analistas (2.367,95 – 3.946,29)</c:v>
                </c:pt>
                <c:pt idx="2">
                  <c:v>Comparables: EV/EBITDA NTM (1.570,59 – 3.443,35)</c:v>
                </c:pt>
                <c:pt idx="3">
                  <c:v>Comparables: PER NTM (1.180,36 – 1.955,16)</c:v>
                </c:pt>
                <c:pt idx="4">
                  <c:v>Transacciones precedentes (EV/EBITDA) (1.944,04 – 2.885,26)</c:v>
                </c:pt>
                <c:pt idx="5">
                  <c:v>DCF (WACC y g ± 0,5) (2.118,54 – 2.990,46)</c:v>
                </c:pt>
                <c:pt idx="6">
                  <c:v>Escenarios (bajista – alcista) (1.220,49 – 3.131,17)</c:v>
                </c:pt>
                <c:pt idx="7">
                  <c:v>DCF con la prima implícita del mercado (4,2 %)</c:v>
                </c:pt>
                <c:pt idx="8">
                  <c:v>Precio actual (2.104,75)</c:v>
                </c:pt>
              </c:strCache>
            </c:strRef>
          </c:cat>
          <c:val>
            <c:numRef>
              <c:f>Hoja1!$B$2:$B$10</c:f>
              <c:numCache>
                <c:formatCode>#,##0</c:formatCode>
                <c:ptCount val="9"/>
                <c:pt idx="0">
                  <c:v>1538.74</c:v>
                </c:pt>
                <c:pt idx="1">
                  <c:v>2367.95</c:v>
                </c:pt>
                <c:pt idx="2">
                  <c:v>1570.59</c:v>
                </c:pt>
                <c:pt idx="3">
                  <c:v>1180.36</c:v>
                </c:pt>
                <c:pt idx="4">
                  <c:v>1944.04</c:v>
                </c:pt>
                <c:pt idx="5">
                  <c:v>2118.54</c:v>
                </c:pt>
                <c:pt idx="6">
                  <c:v>1220.49</c:v>
                </c:pt>
                <c:pt idx="7">
                  <c:v>2724.6</c:v>
                </c:pt>
                <c:pt idx="8">
                  <c:v>2094.23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(1.538,74 – 2.860,05)</c:v>
                </c:pt>
                <c:pt idx="1">
                  <c:v>Precio objetivo de los analistas (2.367,95 – 3.946,29)</c:v>
                </c:pt>
                <c:pt idx="2">
                  <c:v>Comparables: EV/EBITDA NTM (1.570,59 – 3.443,35)</c:v>
                </c:pt>
                <c:pt idx="3">
                  <c:v>Comparables: PER NTM (1.180,36 – 1.955,16)</c:v>
                </c:pt>
                <c:pt idx="4">
                  <c:v>Transacciones precedentes (EV/EBITDA) (1.944,04 – 2.885,26)</c:v>
                </c:pt>
                <c:pt idx="5">
                  <c:v>DCF (WACC y g ± 0,5) (2.118,54 – 2.990,46)</c:v>
                </c:pt>
                <c:pt idx="6">
                  <c:v>Escenarios (bajista – alcista) (1.220,49 – 3.131,17)</c:v>
                </c:pt>
                <c:pt idx="7">
                  <c:v>DCF con la prima implícita del mercado (4,2 %)</c:v>
                </c:pt>
                <c:pt idx="8">
                  <c:v>Precio actual (2.104,75)</c:v>
                </c:pt>
              </c:strCache>
            </c:strRef>
          </c:cat>
          <c:val>
            <c:numRef>
              <c:f>Hoja1!$C$2:$C$10</c:f>
              <c:numCache>
                <c:formatCode>#,##0</c:formatCode>
                <c:ptCount val="9"/>
                <c:pt idx="0">
                  <c:v>1321.3100000000002</c:v>
                </c:pt>
                <c:pt idx="1">
                  <c:v>1578.3400000000001</c:v>
                </c:pt>
                <c:pt idx="2">
                  <c:v>1872.76</c:v>
                </c:pt>
                <c:pt idx="3">
                  <c:v>774.8000000000002</c:v>
                </c:pt>
                <c:pt idx="4">
                  <c:v>941.2200000000003</c:v>
                </c:pt>
                <c:pt idx="5">
                  <c:v>871.9200000000001</c:v>
                </c:pt>
                <c:pt idx="6">
                  <c:v>1910.68</c:v>
                </c:pt>
                <c:pt idx="7">
                  <c:v>732.5</c:v>
                </c:pt>
                <c:pt idx="8">
                  <c:v>21.039999999999964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