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31,05 EUR · mercado 34,28</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+1,0 % · mercado +11,2 %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31,05 EUR</w:t>
      </w:r>
      <w:r>
        <w:t xml:space="preserve"> frente a 31,40 · con la prima implícita del mercado: 34,28 (+9,2 %) · Rentabilidad total esperada a 12 meses </w:t>
      </w:r>
      <w:r>
        <w:rPr>
          <w:b/>
          <w:bCs/>
        </w:rPr>
        <w:t xml:space="preserve">+1,0 %</w:t>
      </w:r>
      <w:r>
        <w:t xml:space="preserve">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31,05 EUR</w:t>
      </w:r>
      <w:r>
        <w:t xml:space="preserve"> (-1,1 % sobre 31,40; rentabilidad total esperada +1,0 %)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calidad de la empresa sostiene el crecimiento previsto?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Sí (4,9 % anual proyectado; financiable al ROIC actual: 1,3 %)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 un Comprar solo relativo exige ≥ 5 % con nuestro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según los criterios (Mantener con las dos reglas de acuerdo y lejos de los umbrales)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Media</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30,18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30,18 y 37,10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37,10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¿Puede la empresa sostener el crecimiento previsto?</w:t>
      </w:r>
    </w:p>
    <w:p>
      <w:pPr>
        <w:spacing w:after="100"/>
      </w:pPr>
      <w:r>
        <w:rPr>
          <w:b/>
          <w:bCs/>
        </w:rPr>
        <w:t xml:space="preserve">Veredicto: Sí.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medio de ingresos proyectado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Capex bruto medio (incluidas compras si van como inversión)</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 de las ventas</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Reinversión neta acumulada (capex − amortización + circulante)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M (11 %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que financia esa reinversión al ROIC actual</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 (ROIC 11,8 %)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Rendimiento que la proyección supone para el capital nuevo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49,1 % (histórico: 19,3 %)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de mercado implícita en 2032e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 (hoy: 4,1 %)</w:t>
            </w:r>
          </w:p>
        </w:tc>
      </w:tr>
    </w:tbl>
    <w:p>
      <w:pPr>
        <w:spacing w:after="160" w:before="0"/>
      </w:pPr>
    </w:p>
    <w:p>
      <w:pPr>
        <w:spacing w:after="100"/>
      </w:pPr>
      <w:r>
        <w:t xml:space="preserve">La proyección reinvierte el 11 % del NOPAT. Con el ROIC del último ejercicio (11,8 %), eso financia un crecimiento del 1,3 % anual, frente al 4,9 % de ingresos proyectado. Supone que el capital nuevo rinde un 49,1 %, frente a un ROIC incremental histórico del 19,3 %; la cuota de mercado pasaría al 6,1 % desde el 4,1 %.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redes de 1,4 años de ventas y subidas indexadas al cobre [5].</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de capacidad: +12 % de producción de transformadores [8].</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regulada en redes [20].</w:t>
            </w:r>
          </w:p>
        </w:tc>
      </w:tr>
    </w:tbl>
    <w:p>
      <w:pPr>
        <w:spacing w:after="160" w:before="0"/>
      </w:pPr>
    </w:p>
    <w:p>
      <w:pPr>
        <w:spacing w:after="100"/>
      </w:pPr>
      <w:r>
        <w:t xml:space="preserve">El crecimiento proyectado (5 % de media) está por debajo del previsto para el mercado (7,3 %) [19] y se apoya en una cartera de pedidos que ya cubre 1,4 años de ventas [5]. La reinversión prevista lo financia con el ROIC actual y la cuota apenas cambia. El poder de precios es limitado (la competencia asiática presiona en transformadores [26]), por eso el precio aporta solo 2,5 puntos al año.</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pPr>
        <w:pStyle w:val="Heading1"/>
      </w:pPr>
      <w:r>
        <w:t xml:space="preserve">28. Sentimiento en foros y comentarios</w:t>
      </w:r>
    </w:p>
    <w:p>
      <w:pPr>
        <w:pStyle w:val="Confianza"/>
        <w:spacing w:after="100"/>
      </w:pPr>
      <w:r>
        <w:t xml:space="preserve">Confianza: Baja</w:t>
      </w:r>
    </w:p>
    <w:p>
      <w:pPr>
        <w:spacing w:after="100"/>
      </w:pPr>
      <w:r>
        <w:rPr>
          <w:b/>
          <w:bCs/>
        </w:rPr>
        <w:t xml:space="preserve">Tono:</w:t>
      </w:r>
      <w:r>
        <w:t xml:space="preserve"> Dividido · </w:t>
      </w:r>
      <w:r>
        <w:rPr>
          <w:b/>
          <w:bCs/>
        </w:rPr>
        <w:t xml:space="preserve">Tendencia:</w:t>
      </w:r>
      <w:r>
        <w:t xml:space="preserve"> Empeora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Foro de inversores 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inversores particulares celebran la cartera de redes y piden más dividendo [27].</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Comentarios de lectores (prensa económica)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Neutro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Dudas sobre el margen de automoción; pocos comentarios con datos [28].</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 de inversores B</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2026-09</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Negativo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Inquietud por los precios de los fabricantes asiáticos en transformadores [29].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redes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datos lo respaldan: la cartera crece y cubre 1,4 años de ventas [5].</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Coincide con el riesgo principal del informe; el margen aún no lo refleja [26].</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Dividendo</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payout ya está en la parte alta de la política [1].</w:t>
            </w:r>
          </w:p>
        </w:tc>
      </w:tr>
    </w:tbl>
    <w:p>
      <w:pPr>
        <w:spacing w:after="160" w:before="0"/>
      </w:pPr>
    </w:p>
    <w:p>
      <w:pPr>
        <w:spacing w:after="100"/>
      </w:pPr>
      <w:r>
        <w:t xml:space="preserve">El tono se ha enfriado desde los resultados del 1S: el optimismo por las redes sigue, pero el hilo más activo de septiembre gira en torno a la competencia asiática [27, 29]. No aporta cifras nuevas; confirma que el mercado ya mira el riesgo de margen que el informe sitúa en primer lugar, de modo que no es un catalizador oculto.</w:t>
      </w:r>
    </w:p>
    <w:p>
      <w:pPr>
        <w:pStyle w:val="Nota"/>
        <w:spacing w:after="100"/>
      </w:pPr>
      <w:r>
        <w:t xml:space="preserve">Opiniones de inversores en foros, redes y comentarios de prensa: sirven para saber qué preocupa o entusiasma al mercado, no como fuente de cifras. No entran en la valoración.</w:t>
      </w:r>
    </w:p>
    <w:p>
      <w:r>
        <w:br w:type="page"/>
      </w:r>
    </w:p>
    <w:p>
      <w:pPr>
        <w:pStyle w:val="Parte"/>
      </w:pPr>
      <w:r>
        <w:t xml:space="preserve">Anexos</w:t>
      </w:r>
    </w:p>
    <w:p>
      <w:pPr>
        <w:pStyle w:val="Heading1"/>
      </w:pPr>
      <w:r>
        <w:t xml:space="preserve">A. Controles de calidad del análisis</w:t>
      </w:r>
    </w:p>
    <w:p>
      <w:pPr>
        <w:spacing w:after="100"/>
      </w:pPr>
      <w:r>
        <w:t xml:space="preserve">16 de 19 controles correctos y 1 explicados. Fuentes: 29 (15 primarias); citas distintas en el texto: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Puente de ingresos (volumen + precio + otros) = crecimiento del DCF</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Rendimiento del capital nuevo de la proyección ≤ 1,25 × el histórico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proyección supone que la inversión nueva rinde un 49,1 % frente a un ROIC de 11,8 % y un incremental histórico de 19,3 %: crecimiento que la empresa no ha demostrado poder comprar.</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implícita al final de la proyección ≤ 1,5 × la actual (o +10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 de 6,1 % en 2032e frente al 4,1 % de hoy.</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síntesis explica la convicción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síntesis debe decir por qué tiene esa convicción y qué la subiría o la bajaría.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Foros y redes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«Compañía Ejemplo tras el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Comentarios de lectores a la noticia de resultados del 1S (ficticios)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sobre transformadores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97,3 %</w:t>
      </w:r>
      <w:r>
        <w:t xml:space="preserve"> · Secciones con menos del 60 % de campos cubiertos: </w:t>
      </w:r>
      <w:r>
        <w:rPr>
          <w:b/>
          <w:bCs/>
        </w:rPr>
        <w:t xml:space="preserve">ninguna</w:t>
      </w:r>
      <w:r>
        <w:t xml:space="preserve"> · Generado el 10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2026-10-10T11:47:10.462Z</dcterms:created>
  <dcterms:modified xsi:type="dcterms:W3CDTF">2026-10-10T11:47:10.463Z</dcterms:modified>
</cp:coreProperties>
</file>

<file path=docProps/custom.xml><?xml version="1.0" encoding="utf-8"?>
<Properties xmlns="http://schemas.openxmlformats.org/officeDocument/2006/custom-properties" xmlns:vt="http://schemas.openxmlformats.org/officeDocument/2006/docPropsVTypes"/>
</file>