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sz w:val="24"/>
          <w:szCs w:val="24"/>
        </w:rPr>
        <w:t xml:space="preserve">AI Smart Learning Companion for Graduate Students:</w:t>
      </w:r>
    </w:p>
    <w:p>
      <w:pPr>
        <w:jc w:val="center"/>
      </w:pPr>
      <w:r>
        <w:rPr>
          <w:b/>
          <w:bCs/>
          <w:sz w:val="24"/>
          <w:szCs w:val="24"/>
        </w:rPr>
        <w:t xml:space="preserve">A Prompt Engineering-Based Educational Tool</w:t>
      </w:r>
    </w:p>
    <w:p>
      <w:pPr>
        <w:spacing w:before="1440"/>
        <w:jc w:val="center"/>
      </w:pPr>
      <w:r>
        <w:rPr>
          <w:sz w:val="24"/>
          <w:szCs w:val="24"/>
        </w:rPr>
        <w:t xml:space="preserve">Harshitha Chennareddy, Hotragn Pettugani, Mengxia Qiu (Group 10)</w:t>
      </w:r>
    </w:p>
    <w:p>
      <w:pPr>
        <w:spacing w:before="720"/>
        <w:jc w:val="center"/>
      </w:pPr>
      <w:r>
        <w:rPr>
          <w:sz w:val="24"/>
          <w:szCs w:val="24"/>
        </w:rPr>
        <w:t xml:space="preserve">INFO 7375: Prompt Engineering for GenAI Developers</w:t>
      </w:r>
    </w:p>
    <w:p>
      <w:pPr>
        <w:spacing w:before="720"/>
        <w:jc w:val="center"/>
      </w:pPr>
      <w:r>
        <w:rPr>
          <w:sz w:val="24"/>
          <w:szCs w:val="24"/>
        </w:rPr>
        <w:t xml:space="preserve">February 9, 2026</w:t>
      </w:r>
    </w:p>
    <w:p>
      <w:pPr>
        <w:pageBreakBefore/>
      </w:pPr>
    </w:p>
    <w:p>
      <w:pPr>
        <w:pStyle w:val="Heading1"/>
      </w:pPr>
      <w:r>
        <w:t xml:space="preserve">Introduction</w:t>
      </w:r>
    </w:p>
    <w:p>
      <w:r>
        <w:t xml:space="preserve">Graduate students struggle with dense course materials, competing deadlines, and transforming passive reading into active learning. This project develops an AI Smart Learning Companion using advanced prompt engineering to create an intelligent study partner that transforms static materials into interactive experiences through personalized summaries, diagnostic quizzes, study plans, and Virtual TA feedback. By implementing Chain-of-Thought reasoning, Retrieval-Augmented Generation, and dynamic system personas, the application bridges the gap between information access and genuine comprehension.</w:t>
      </w:r>
    </w:p>
    <w:p>
      <w:pPr>
        <w:pStyle w:val="Heading1"/>
      </w:pPr>
      <w:r>
        <w:t xml:space="preserve">Project Objectives and Applications</w:t>
      </w:r>
    </w:p>
    <w:p>
      <w:r>
        <w:rPr>
          <w:b/>
          <w:bCs/>
        </w:rPr>
        <w:t xml:space="preserve">Core Objectives: </w:t>
      </w:r>
      <w:r>
        <w:t xml:space="preserve">Transform syllabi into actionable study plans; provide rubric-based assignment feedback; generate diagnostic quizzes with explanatory responses; connect concepts to supplementary materials; and demonstrate advanced prompt engineering in education.</w:t>
      </w:r>
    </w:p>
    <w:p>
      <w:r>
        <w:rPr>
          <w:b/>
          <w:bCs/>
        </w:rPr>
        <w:t xml:space="preserve">Applications: </w:t>
      </w:r>
      <w:r>
        <w:t xml:space="preserve">The system addresses coursework synthesis (processes slides into hierarchical summaries), assignment refinement (reviews drafts against rubrics), exam preparation (generates Bloom's Taxonomy-based quizzes with explanations), literature synthesis (analyzes papers and connects to themes), concept reinforcement (retrieves external explanations), deadline management (creates study timelines), and certification preparation (supports professional exams).</w:t>
      </w:r>
    </w:p>
    <w:p>
      <w:pPr>
        <w:pStyle w:val="Heading1"/>
      </w:pPr>
      <w:r>
        <w:t xml:space="preserve">Prompt Engineering Strategy</w:t>
      </w:r>
    </w:p>
    <w:p>
      <w:r>
        <w:rPr>
          <w:b/>
          <w:bCs/>
        </w:rPr>
        <w:t xml:space="preserve">System Personas. </w:t>
      </w:r>
      <w:r>
        <w:t xml:space="preserve">The system employs three distinct personas. The Strict Scheduler analyzes syllabi to create balanced study schedules with adequate preparation time. The Socratic Tutor generates quizzes using questioning approaches that encourage deeper thinking. The Thoughtful Reviewer provides constructive assignment feedback with specific examples and encouraging tone. Research shows well-defined system roles significantly improve output quality (Lee &amp; Palmer, 2025).</w:t>
      </w:r>
    </w:p>
    <w:p>
      <w:r>
        <w:rPr>
          <w:b/>
          <w:bCs/>
        </w:rPr>
        <w:t xml:space="preserve">Zero-Shot and Few-Shot Prompting. </w:t>
      </w:r>
      <w:r>
        <w:t xml:space="preserve">Zero-shot prompting relies on the model's general understanding for straightforward tasks like content summarization. Few-shot prompting provides two to three examples for tasks requiring consistent formatting like quiz generation and study plans. Research shows major performance gains after two examples with diminishing returns thereafter, making this approach token-efficient while maintaining accuracy.</w:t>
      </w:r>
    </w:p>
    <w:p>
      <w:r>
        <w:rPr>
          <w:b/>
          <w:bCs/>
        </w:rPr>
        <w:t xml:space="preserve">Chain-of-Thought Reasoning. </w:t>
      </w:r>
      <w:r>
        <w:t xml:space="preserve">CoT makes reasoning visible through phrases like "Let's think step-by-step." For quiz feedback, when students answer incorrectly, the system acknowledges their reasoning pattern, identifies misconceptions, walks through correct reasoning, and suggests review areas. For assignments, CoT explains assessments by breaking down rubric criteria rather than simply stating requirements (Cronjé, 2024).</w:t>
      </w:r>
    </w:p>
    <w:p>
      <w:r>
        <w:rPr>
          <w:b/>
          <w:bCs/>
        </w:rPr>
        <w:t xml:space="preserve">Retrieval-Augmented Generation. </w:t>
      </w:r>
      <w:r>
        <w:t xml:space="preserve">RAG grounds responses in course materials rather than model training data. Materials are embedded in a vector database, enabling semantic retrieval before response generation. This ensures terminology and examples align with course content while the system cites sources to model good academic practice.</w:t>
      </w:r>
    </w:p>
    <w:p>
      <w:r>
        <w:rPr>
          <w:b/>
          <w:bCs/>
        </w:rPr>
        <w:t xml:space="preserve">Generated Knowledge Prompting. </w:t>
      </w:r>
      <w:r>
        <w:t xml:space="preserve">For concept reinforcement, the system first generates foundational background information, then uses this context for comprehensive explanations. This two-step process provides deeper understanding for complex topics requiring contextual knowledge.</w:t>
      </w:r>
    </w:p>
    <w:p>
      <w:r>
        <w:rPr>
          <w:b/>
          <w:bCs/>
        </w:rPr>
        <w:t xml:space="preserve">Structured Output and Prompt Chaining. </w:t>
      </w:r>
      <w:r>
        <w:t xml:space="preserve">Study plans use markdown tables; quizzes use JSON format; assignment feedback follows rubric organization. Complex tasks use prompt chaining where sequential prompts build on previous outputs, preventing quality degradation in long responses.</w:t>
      </w:r>
    </w:p>
    <w:p>
      <w:pPr>
        <w:pStyle w:val="Heading1"/>
      </w:pPr>
      <w:r>
        <w:t xml:space="preserve">Methodology</w:t>
      </w:r>
    </w:p>
    <w:p>
      <w:r>
        <w:rPr>
          <w:b/>
          <w:bCs/>
        </w:rPr>
        <w:t xml:space="preserve">Development Environment. </w:t>
      </w:r>
      <w:r>
        <w:t xml:space="preserve">Jupyter Notebook with Python 3.9+ enables iterative testing, visualization, and collaborative development through easy sharing.</w:t>
      </w:r>
    </w:p>
    <w:p>
      <w:r>
        <w:rPr>
          <w:b/>
          <w:bCs/>
        </w:rPr>
        <w:t xml:space="preserve">API Integration. </w:t>
      </w:r>
      <w:r>
        <w:t xml:space="preserve">OpenAI's GPT-4 and GPT-3.5-turbo provide reasoning capabilities and cost-efficiency. Implementation includes secure key management, request throttling, error handling, and token tracking.</w:t>
      </w:r>
    </w:p>
    <w:p>
      <w:r>
        <w:rPr>
          <w:b/>
          <w:bCs/>
        </w:rPr>
        <w:t xml:space="preserve">Prompting Techniques. </w:t>
      </w:r>
      <w:r>
        <w:t xml:space="preserve">Zero-shot handles straightforward summarization. Few-shot uses two to three examples for consistent formatting. Chain-of-Thought includes "Let's think step-by-step" for transparent reasoning. Generated knowledge creates background context before explaining complex concepts.</w:t>
      </w:r>
    </w:p>
    <w:p>
      <w:r>
        <w:rPr>
          <w:b/>
          <w:bCs/>
        </w:rPr>
        <w:t xml:space="preserve">Data and Quality Assurance. </w:t>
      </w:r>
      <w:r>
        <w:t xml:space="preserve">RAG knowledge base includes syllabi, study plans, and quiz banks embedded using text-embedding-ada-002, stored in ChromaDB. Session state uses in-memory variables. RAG grounds responses to prevent hallucinations. Testing compares outputs against known-correct materials. System functions as assistant requiring student review. Comparative testing evaluates zero-shot versus few-shot effectiveness, optimal example counts, and temperature variations.</w:t>
      </w:r>
    </w:p>
    <w:p>
      <w:pPr>
        <w:pStyle w:val="Heading1"/>
      </w:pPr>
      <w:r>
        <w:t xml:space="preserve">Literature Foundation</w:t>
      </w:r>
    </w:p>
    <w:p>
      <w:r>
        <w:t xml:space="preserve">Research shows carefully designed prompts aligned with pedagogical goals transform student learning. Lee and Palmer (2025) identified five critical themes through systematic review of 33 papers, concluding that high-order prompt engineering skills are essential for AI-integrated industries. Kim et al. (2025) demonstrated this through Ask.SMILE where 2,559 educators progressed from basic recall to complex evaluative questions via Bloom's Taxonomy-based AI feedback, with statistically significant results (p &lt; .01) validating our quiz approach, though they note GPT models rely on statistical predictions rather than true comprehension, informing our RAG implementation.</w:t>
      </w:r>
    </w:p>
    <w:p>
      <w:r>
        <w:t xml:space="preserve">Terblanche (2025) found generative AI chatbots outperformed scripted versions on adoption and engagement, with users feeling more competent and connected. However, for highly structured tasks like goal setting, both performed equally, influencing our hybrid design. Fitzsimons et al. (2025) and Cronjé (2024) emphasize protecting student agency: while students appreciate accessible AI feedback, over-reliance compromises authentic expression. Intelligent coaching should emphasize reflective prompts rather than corrections, directly informing our Virtual TA design.</w:t>
      </w:r>
    </w:p>
    <w:p>
      <w:r>
        <w:t xml:space="preserve">These studies establish that effective educational AI requires strategically designed prompts, structured explanatory feedback, outputs grounded in relevant materials, and design emphasizing student agency. Our project implements these through persona-based prompting, Chain-of-Thought reasoning, RAG integration, and positioning AI as supportive partner.</w:t>
      </w:r>
    </w:p>
    <w:p>
      <w:pPr>
        <w:pStyle w:val="Heading1"/>
      </w:pPr>
      <w:r>
        <w:t xml:space="preserve">Expected Outcomes</w:t>
      </w:r>
    </w:p>
    <w:p>
      <w:r>
        <w:t xml:space="preserve">The project delivers a functional application processing course materials, generating study plans, creating diagnostic quizzes, providing assignment feedback, and retrieving research materials. Documentation demonstrates prompt engineering through templates for each persona, comparative analysis, Chain-of-Thought examples, and RAG architecture. The interface provides visual study plans, interactive quizzes with explanatory feedback, organized assignment feedback by rubric, and summarized materials with citations.</w:t>
      </w:r>
    </w:p>
    <w:p>
      <w:r>
        <w:t xml:space="preserve">Evaluation assesses quiz accuracy, summary relevance, user satisfaction, and efficiency gains. The project contributes insights on educational AI best practices, persona effectiveness, and prompt optimization. Architecture supports future enhancements including domain expansion, LMS integration, and mobile development.</w:t>
      </w:r>
    </w:p>
    <w:p>
      <w:pPr>
        <w:pStyle w:val="Heading1"/>
      </w:pPr>
      <w:r>
        <w:t xml:space="preserve">Conclusion</w:t>
      </w:r>
    </w:p>
    <w:p>
      <w:r>
        <w:t xml:space="preserve">The AI Smart Learning Companion demonstrates how thoughtful prompt engineering transforms AI into an intelligent educational partner. Through system personas, zero-shot and few-shot strategies, Chain-of-Thought reasoning, RAG integration, and generated knowledge prompting, this project addresses graduate education challenges while advancing prompt design understanding. The scope across study planning, assignment review, quiz generation, and research synthesis showcases versatility, with each feature using optimized strategies. As AI integrates into education, engineering effective prompts becomes critical. This project assists current coursework while preparing students for futures where AI collaboration is core professional competency.</w:t>
      </w:r>
    </w:p>
    <w:p>
      <w:pPr>
        <w:pageBreakBefore/>
      </w:pPr>
    </w:p>
    <w:p>
      <w:pPr>
        <w:pStyle w:val="Heading1"/>
      </w:pPr>
      <w:r>
        <w:t xml:space="preserve">References</w:t>
      </w:r>
    </w:p>
    <w:p>
      <w:pPr>
        <w:spacing w:after="0" w:line="480" w:lineRule="auto"/>
      </w:pPr>
      <w:r>
        <w:t xml:space="preserve">Cronjé, J. (2024). Exploring the role of ChatGPT as a peer coach. </w:t>
      </w:r>
      <w:r>
        <w:rPr>
          <w:i/>
          <w:iCs/>
        </w:rPr>
        <w:t xml:space="preserve">The Electronic Journal of</w:t>
      </w:r>
      <w:r>
        <w:t xml:space="preserve"> </w:t>
      </w:r>
      <w:r>
        <w:rPr>
          <w:i/>
          <w:iCs/>
        </w:rPr>
        <w:t xml:space="preserve">e-Learning, 22</w:t>
      </w:r>
      <w:r>
        <w:t xml:space="preserve">(2), 1-11.</w:t>
      </w:r>
    </w:p>
    <w:p>
      <w:pPr>
        <w:spacing w:after="0" w:line="480" w:lineRule="auto"/>
      </w:pPr>
      <w:r>
        <w:t xml:space="preserve">Fitzsimons, A. Z., Gerber, E., &amp; Long, D. (2025). Pressure to use AI for college</w:t>
      </w:r>
      <w:r>
        <w:t xml:space="preserve"> admissions: Implications for adolescent self-concept and intelligent coaching</w:t>
      </w:r>
      <w:r>
        <w:t xml:space="preserve"> design. In </w:t>
      </w:r>
      <w:r>
        <w:rPr>
          <w:i/>
          <w:iCs/>
        </w:rPr>
        <w:t xml:space="preserve">Proceedings of the 2025 Conference on Creativity and</w:t>
      </w:r>
      <w:r>
        <w:t xml:space="preserve"> </w:t>
      </w:r>
      <w:r>
        <w:rPr>
          <w:i/>
          <w:iCs/>
        </w:rPr>
        <w:t xml:space="preserve">Cognition</w:t>
      </w:r>
      <w:r>
        <w:t xml:space="preserve"> (pp. 975-987). ACM.</w:t>
      </w:r>
      <w:r>
        <w:t xml:space="preserve"> https://doi.org/10.1145/3698061.3726909</w:t>
      </w:r>
    </w:p>
    <w:p>
      <w:pPr>
        <w:spacing w:after="0" w:line="480" w:lineRule="auto"/>
      </w:pPr>
      <w:r>
        <w:t xml:space="preserve">Kim, P., Wang, W., &amp; Bonk, C. J. (2025). Generative AI as a coach to help students</w:t>
      </w:r>
      <w:r>
        <w:t xml:space="preserve"> enhance proficiency in question formulation. </w:t>
      </w:r>
      <w:r>
        <w:rPr>
          <w:i/>
          <w:iCs/>
        </w:rPr>
        <w:t xml:space="preserve">Journal of Educational</w:t>
      </w:r>
      <w:r>
        <w:t xml:space="preserve"> </w:t>
      </w:r>
      <w:r>
        <w:rPr>
          <w:i/>
          <w:iCs/>
        </w:rPr>
        <w:t xml:space="preserve">Computing Research, 63</w:t>
      </w:r>
      <w:r>
        <w:t xml:space="preserve">(3), 565-586.</w:t>
      </w:r>
      <w:r>
        <w:t xml:space="preserve"> https://doi.org/10.1177/07356331251314222</w:t>
      </w:r>
    </w:p>
    <w:p>
      <w:pPr>
        <w:spacing w:after="0" w:line="480" w:lineRule="auto"/>
      </w:pPr>
      <w:r>
        <w:t xml:space="preserve">Lee, D., &amp; Palmer, E. (2025). Prompt engineering in higher education: A systematic</w:t>
      </w:r>
      <w:r>
        <w:t xml:space="preserve"> review to help inform curricula. </w:t>
      </w:r>
      <w:r>
        <w:rPr>
          <w:i/>
          <w:iCs/>
        </w:rPr>
        <w:t xml:space="preserve">International Journal of Educational</w:t>
      </w:r>
      <w:r>
        <w:t xml:space="preserve"> </w:t>
      </w:r>
      <w:r>
        <w:rPr>
          <w:i/>
          <w:iCs/>
        </w:rPr>
        <w:t xml:space="preserve">Technology in Higher Education, 22</w:t>
      </w:r>
      <w:r>
        <w:t xml:space="preserve">(7), 1-22.</w:t>
      </w:r>
      <w:r>
        <w:t xml:space="preserve"> https://doi.org/10.1186/s41239-025-00503-7</w:t>
      </w:r>
    </w:p>
    <w:p>
      <w:pPr>
        <w:spacing w:after="0" w:line="480" w:lineRule="auto"/>
      </w:pPr>
      <w:r>
        <w:t xml:space="preserve">Terblanche, N. H. D. (2025). Smooth talking: Generative versus scripted coaching</w:t>
      </w:r>
      <w:r>
        <w:t xml:space="preserve"> chatbot adoption and efficacy comparison. </w:t>
      </w:r>
      <w:r>
        <w:rPr>
          <w:i/>
          <w:iCs/>
        </w:rPr>
        <w:t xml:space="preserve">International Journal of</w:t>
      </w:r>
      <w:r>
        <w:t xml:space="preserve"> </w:t>
      </w:r>
      <w:r>
        <w:rPr>
          <w:i/>
          <w:iCs/>
        </w:rPr>
        <w:t xml:space="preserve">Human-Computer Interaction, 41</w:t>
      </w:r>
      <w:r>
        <w:t xml:space="preserve">(14), 9109-9122.</w:t>
      </w:r>
      <w:r>
        <w:t xml:space="preserve"> https://doi.org/10.1080/10447318.2024.2423125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line="480" w:lineRule="auto"/>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180" w:after="60" w:line="480" w:lineRule="auto"/>
      <w:jc w:val="left"/>
      <w:outlineLvl w:val="1"/>
    </w:pPr>
    <w:rPr>
      <w:rFonts w:ascii="Times New Roman" w:cs="Times New Roman" w:eastAsia="Times New Roman" w:hAnsi="Times New Roman"/>
      <w:b/>
      <w:bCs/>
      <w:sz w:val="24"/>
      <w:szCs w:val="24"/>
    </w:rPr>
  </w:style>
  <w:style w:type="paragraph" w:styleId="Normal">
    <w:name w:val="Normal"/>
    <w:pPr>
      <w:spacing w:line="480" w:lineRule="auto" w:after="0"/>
      <w:jc w:val="left"/>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2026-02-09T02:19:13.410Z</dcterms:created>
  <dcterms:modified xsi:type="dcterms:W3CDTF">2026-02-09T02:19:13.411Z</dcterms:modified>
</cp:coreProperties>
</file>

<file path=docProps/custom.xml><?xml version="1.0" encoding="utf-8"?>
<Properties xmlns="http://schemas.openxmlformats.org/officeDocument/2006/custom-properties" xmlns:vt="http://schemas.openxmlformats.org/officeDocument/2006/docPropsVTypes"/>
</file>