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CABINET A2A AUDIT — PATRICK PAPON</w:t>
      </w:r>
    </w:p>
    <w:p>
      <w:r>
        <w:t>Expert-Comptable inscrit — Commissaire aux comptes</w:t>
      </w:r>
    </w:p>
    <w:p>
      <w:r>
        <w:t>12, rue des Comptoirs — 16000 Angoulême — Tél. 05 45 00 00 01 — contact@a2a-audit.fr</w:t>
      </w:r>
    </w:p>
    <w:p>
      <w:r>
        <w:t>————————————————————————————————————————————————————————————</w:t>
      </w:r>
    </w:p>
    <w:p>
      <w:r>
        <w:rPr>
          <w:b/>
          <w:sz w:val="26"/>
        </w:rPr>
        <w:t>ATTESTATION D’EXPERT-COMPTABLE — CA ET MARGE BRUTE</w:t>
      </w:r>
    </w:p>
    <w:p>
      <w:pPr>
        <w:jc w:val="right"/>
      </w:pPr>
      <w:r>
        <w:t>Fait à Angoulême, le 25/07/2014</w:t>
      </w:r>
    </w:p>
    <w:p>
      <w:r>
        <w:rPr>
          <w:b/>
        </w:rPr>
        <w:t>Identité du signataire</w:t>
      </w:r>
    </w:p>
    <w:p>
      <w:r>
        <w:t>Je soussigné, M. Patrick PAPON, Expert-Comptable et Commissaire aux comptes, atteste ci-après des éléments demandés pour la société R. BOUTIN S.A.</w:t>
      </w:r>
    </w:p>
    <w:p>
      <w:r>
        <w:rPr>
          <w:b/>
        </w:rPr>
        <w:t>Périmètre temporel</w:t>
      </w:r>
    </w:p>
    <w:p>
      <w:r>
        <w:t>Période examinée : exercices 1998 à 2009 inclus.</w:t>
      </w:r>
    </w:p>
    <w:p>
      <w:r>
        <w:rPr>
          <w:b/>
        </w:rPr>
        <w:t>Méthode de détermination du taux de marge brute</w:t>
      </w:r>
    </w:p>
    <w:p>
      <w:r>
        <w:t>• Extraction des soldes des comptes 70 (Ventes) et 60 (Achats consommés) des liasses fiscales et balances générales.</w:t>
      </w:r>
    </w:p>
    <w:p>
      <w:r>
        <w:t>• Retraitements : neutralisation des éléments non récurrents identifiés (avoirs exceptionnels, remises fin d’année externes), homogénéisation périmètre R. BOUTIN ↔ TÔLERIE INDUSTRIELLE.</w:t>
      </w:r>
    </w:p>
    <w:p>
      <w:r>
        <w:t>• Calcul du taux de marge brute : (Ventes HT – Coût d’achat des marchandises/approvisionnements) / Ventes HT.</w:t>
      </w:r>
    </w:p>
    <w:p>
      <w:r>
        <w:t>• Contrôles : rapprochements arithmétiques, cohérence pluriannuelle, concordance avec tableaux de suivi internes.</w:t>
      </w:r>
    </w:p>
    <w:p>
      <w:r>
        <w:rPr>
          <w:b/>
        </w:rPr>
        <w:t>Résultat — taux de marge brute de référence</w:t>
      </w:r>
    </w:p>
    <w:p>
      <w:r>
        <w:t>Le taux moyen de marge brute observé sur 1998–2009, pour le courant d’affaires avec TÔLERIE INDUSTRIELLE, ressort à :</w:t>
      </w:r>
    </w:p>
    <w:p>
      <w:r>
        <w:rPr>
          <w:b/>
        </w:rPr>
        <w:t>65 % (soixante-cinq pour cent)</w:t>
      </w:r>
    </w:p>
    <w:p>
      <w:r>
        <w:t>Indication contextuelle : ce taux a fait l’objet de débats contradictoires. Les critiques portent notamment sur l’inclusion d’exercices à forte marge et sur la représentativité du périmètre.</w:t>
      </w:r>
    </w:p>
    <w:p>
      <w:r>
        <w:rPr>
          <w:b/>
        </w:rPr>
        <w:t>Pièces et sources</w:t>
      </w:r>
    </w:p>
    <w:p>
      <w:r>
        <w:t>• Liasses fiscales et balances générales 1998–2009 (comptes 70 et 60).</w:t>
      </w:r>
    </w:p>
    <w:p>
      <w:r>
        <w:t>• États de rapprochement ventes/achats par client et famille d’articles.</w:t>
      </w:r>
    </w:p>
    <w:p>
      <w:r>
        <w:t>• Tableaux internes de suivi des marges sur ventes TI.</w:t>
      </w:r>
    </w:p>
    <w:p>
      <w:r>
        <w:t>• Historique synthétique CA 1987–2012 (extrait de travail) — moyenne 1998–2009 ≈ 2.652 M€; moyenne 2002–2009 ≈ 2.916 M€.</w:t>
      </w:r>
    </w:p>
    <w:p>
      <w:r>
        <w:rPr>
          <w:b/>
        </w:rPr>
        <w:t>Limites</w:t>
      </w:r>
    </w:p>
    <w:p>
      <w:r>
        <w:t>La présente attestation repose sur informations comptables fournies par R. BOUTIN S.A et rapprochements internes. Elle ne constitue pas un audit au sens des normes professionnelles, ni une opinion sur les comptes annuels.</w:t>
      </w:r>
    </w:p>
    <w:p/>
    <w:p>
      <w:r>
        <w:t>En foi de quoi, j’ai signé la présente.</w:t>
      </w:r>
    </w:p>
    <w:p/>
    <w:p>
      <w:r>
        <w:rPr>
          <w:b/>
        </w:rPr>
        <w:t>Patrick PAPON</w:t>
      </w:r>
    </w:p>
    <w:p>
      <w:r>
        <w:t>Expert-Comptable — Commissaire aux comptes</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