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Commande n° 1947 — TÔLERIE INDUSTRIELLE (TI) → TFVM</w:t>
      </w:r>
    </w:p>
    <w:p>
      <w:r>
        <w:rPr>
          <w:i/>
        </w:rPr>
        <w:t>Date : 15/03/2011  •  Monnaie : EUR  •  Envoi par erreur (jeu de test non opposable)</w:t>
      </w:r>
    </w:p>
    <w:p/>
    <w:p>
      <w:r>
        <w:rPr>
          <w:b/>
        </w:rPr>
        <w:t>Conditions commerciales déclarées</w:t>
      </w:r>
    </w:p>
    <w:p>
      <w:r>
        <w:t>Incoterm : DAP Parthenay</w:t>
      </w:r>
    </w:p>
    <w:p>
      <w:r>
        <w:t>Livraison : Franco de port au-delà de 500 € net HT; sinon port dû</w:t>
      </w:r>
    </w:p>
    <w:p>
      <w:r>
        <w:t>Paiement : 45 jours fin de mois</w:t>
      </w:r>
    </w:p>
    <w:p/>
    <w:p>
      <w:r>
        <w:rPr>
          <w:b/>
        </w:rPr>
        <w:t>Comparatif des prix nets — TFVM vs BOUTIN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Désignation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Qté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Unité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Prix unitaire BOUTIN (€)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Prix unitaire TFVM (€)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Écart % (TFVM vs BOUTIN)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Total BOUTIN (€)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Total TFVM (€)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  <w:t>PLX-0820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Plaque acier S235, 8×2000×1000, découpée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pièce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34.50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38.64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4140.00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4636.80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  <w:t>COR-3040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Cornière 30×30×4, longueur 3 m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barre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11.20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10.30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-8%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2800.00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2575.00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  <w:t>CHS-1215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Châssis soudé 120×150, tolérance ISO 2768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pièce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92.00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115.00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5520.00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6900.00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  <w:t>PNS-0603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Panneau nervuré 600×300, galvanisé Z275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pièce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18.90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17.95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-5%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3402.00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3231.00</w:t>
            </w:r>
          </w:p>
        </w:tc>
      </w:tr>
      <w:tr>
        <w:tc>
          <w:tcPr>
            <w:tcW w:type="dxa" w:w="1108"/>
          </w:tcPr>
          <w:p>
            <w:r>
              <w:rPr>
                <w:sz w:val="18"/>
              </w:rPr>
              <w:t>ENC-4512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Ensemble mécano-soudé réf. 4512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ensemble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248.00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344.72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39%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8680.00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12065.20</w:t>
            </w:r>
          </w:p>
        </w:tc>
      </w:tr>
    </w:tbl>
    <w:p/>
    <w:p>
      <w:r>
        <w:rPr>
          <w:b/>
        </w:rPr>
        <w:t>Totaux : BOUTIN 24,542.00 €  |  TFVM 29,408.00 €  |  Écart global : 19.8%</w:t>
      </w:r>
    </w:p>
    <w:p/>
    <w:p>
      <w:r>
        <w:t>Notes :</w:t>
      </w:r>
    </w:p>
    <w:p>
      <w:r>
        <w:t>• Les écarts varient selon la référence. On observe des cas TFVM moins cher (-5 % à -8 %) et des cas plus chers (+12 % à +39 %).</w:t>
      </w:r>
    </w:p>
    <w:p>
      <w:r>
        <w:t>• Les conditions de livraison (franco) et les volumes commandés influent sur les prix nets effectifs.</w:t>
      </w:r>
    </w:p>
    <w:p>
      <w:r>
        <w:t>• Ce document simule une commande TFVM reçue par erreur et sert uniquement à nuancer l’argument d’un différentiel systématique en faveur de TFVM.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