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Impression email — Conditions de franco de port (concessions et coûts)</w:t>
      </w:r>
    </w:p>
    <w:p>
      <w:r>
        <w:rPr>
          <w:b/>
        </w:rPr>
        <w:t xml:space="preserve">De : </w:t>
      </w:r>
      <w:r>
        <w:t>achats@rboutin.fr</w:t>
      </w:r>
    </w:p>
    <w:p>
      <w:r>
        <w:rPr>
          <w:b/>
        </w:rPr>
        <w:t xml:space="preserve">À : </w:t>
      </w:r>
      <w:r>
        <w:t>adv@tolerie-industrielle.fr</w:t>
      </w:r>
    </w:p>
    <w:p>
      <w:r>
        <w:rPr>
          <w:b/>
        </w:rPr>
        <w:t xml:space="preserve">Cc : </w:t>
      </w:r>
      <w:r>
        <w:t>logistique@rboutin.fr; finance@rboutin.fr</w:t>
      </w:r>
    </w:p>
    <w:p>
      <w:r>
        <w:rPr>
          <w:b/>
        </w:rPr>
        <w:t xml:space="preserve">Date : </w:t>
      </w:r>
      <w:r>
        <w:t>29/05/2008 10:42</w:t>
      </w:r>
    </w:p>
    <w:p>
      <w:r>
        <w:rPr>
          <w:b/>
        </w:rPr>
        <w:t xml:space="preserve">Objet : </w:t>
      </w:r>
      <w:r>
        <w:t>Mise en place du franco de port — Client R. BOUTIN S.A — Conditions et portée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pPr>
        <w:spacing w:after="60"/>
      </w:pPr>
      <w:r>
        <w:t>Bonjour,</w:t>
      </w:r>
    </w:p>
    <w:p>
      <w:pPr>
        <w:spacing w:after="60"/>
      </w:pPr>
      <w:r>
        <w:t>Comme discuté, et afin de sécuriser les flux et réduire les ruptures pour nos clients finaux, nous acceptons à titre de concession commerciale les conditions suivantes :</w:t>
      </w:r>
    </w:p>
    <w:p>
      <w:pPr>
        <w:spacing w:after="60"/>
      </w:pPr>
      <w:r>
        <w:t>1) Franco de port dès 1 € net HT sur l’ensemble des commandes expédiées à nos sites référencés (Gond‑Pontouvre et plateformes associées).</w:t>
      </w:r>
    </w:p>
    <w:p>
      <w:pPr>
        <w:spacing w:after="60"/>
      </w:pPr>
      <w:r>
        <w:t>2) Durée initiale : six (6) mois à compter de ce jour (29/05/2008).</w:t>
      </w:r>
    </w:p>
    <w:p>
      <w:pPr>
        <w:spacing w:after="60"/>
      </w:pPr>
      <w:r>
        <w:t>3) Reconduction : tacite à l’issue de la période initiale, sauf dénonciation écrite par l’une des parties moyennant un préavis raisonnable.</w:t>
      </w:r>
    </w:p>
    <w:p>
      <w:pPr>
        <w:spacing w:after="60"/>
      </w:pPr>
      <w:r>
        <w:t>4) Champ d’application : références actives R. BOUTIN S.A traitées par TÔLERIE INDUSTRIELLE, y compris les urgences et livraisons fractionnées.</w:t>
      </w:r>
    </w:p>
    <w:p>
      <w:pPr>
        <w:spacing w:after="60"/>
      </w:pPr>
      <w:r>
        <w:t>5) Impact financier : les frais de transport jusqu’à nos sites resteront à la charge de TÔLERIE INDUSTRIELLE pendant la période d’application des présentes conditions.</w:t>
      </w:r>
    </w:p>
    <w:p>
      <w:pPr>
        <w:spacing w:after="60"/>
      </w:pPr>
      <w:r>
        <w:t>Merci de confirmer la bonne prise en compte de ces points et d’indiquer, le cas échéant, toute contrainte opérationnelle spécifique.</w:t>
      </w:r>
    </w:p>
    <w:p>
      <w:pPr>
        <w:spacing w:after="60"/>
      </w:pPr>
    </w:p>
    <w:p>
      <w:pPr>
        <w:spacing w:after="60"/>
      </w:pPr>
      <w:r>
        <w:t>Cordialement,</w:t>
      </w:r>
    </w:p>
    <w:p>
      <w:pPr>
        <w:spacing w:after="60"/>
      </w:pPr>
      <w:r>
        <w:t>Service Achats — R. BOUTIN S.A</w:t>
      </w:r>
    </w:p>
    <w:p/>
    <w:p>
      <w:r>
        <w:t>Pièces jointes : annexe estimative des frais de transport évités pour TI (juin–novembre 2008)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